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0FF8" w14:textId="77777777" w:rsidR="00B77D6A" w:rsidRPr="00B77D6A" w:rsidRDefault="00B77D6A" w:rsidP="00B77D6A">
      <w:pPr>
        <w:jc w:val="center"/>
        <w:rPr>
          <w:rFonts w:ascii="方正小标宋简体" w:eastAsia="方正小标宋简体"/>
          <w:color w:val="000000"/>
          <w:kern w:val="4"/>
          <w:sz w:val="44"/>
          <w:szCs w:val="44"/>
        </w:rPr>
      </w:pPr>
      <w:r w:rsidRPr="00B77D6A">
        <w:rPr>
          <w:rFonts w:ascii="方正小标宋简体" w:eastAsia="方正小标宋简体" w:hint="eastAsia"/>
          <w:color w:val="000000"/>
          <w:kern w:val="4"/>
          <w:sz w:val="44"/>
          <w:szCs w:val="44"/>
        </w:rPr>
        <w:t>珠海市中级人民法院民事诉讼</w:t>
      </w:r>
    </w:p>
    <w:p w14:paraId="78926B64" w14:textId="77777777" w:rsidR="00380D3E" w:rsidRPr="00B77D6A" w:rsidRDefault="00B77D6A" w:rsidP="00B77D6A">
      <w:pPr>
        <w:jc w:val="center"/>
        <w:rPr>
          <w:rFonts w:ascii="方正小标宋简体" w:eastAsia="方正小标宋简体"/>
          <w:color w:val="000000"/>
          <w:kern w:val="4"/>
          <w:sz w:val="44"/>
          <w:szCs w:val="44"/>
        </w:rPr>
      </w:pPr>
      <w:r w:rsidRPr="00B77D6A">
        <w:rPr>
          <w:rFonts w:ascii="方正小标宋简体" w:eastAsia="方正小标宋简体" w:hint="eastAsia"/>
          <w:color w:val="000000"/>
          <w:kern w:val="4"/>
          <w:sz w:val="44"/>
          <w:szCs w:val="44"/>
        </w:rPr>
        <w:t>庭前会议程序指引（试行）</w:t>
      </w:r>
    </w:p>
    <w:p w14:paraId="242ED46A" w14:textId="77777777" w:rsidR="00B77D6A" w:rsidRPr="00B77D6A" w:rsidRDefault="00B77D6A" w:rsidP="00B77D6A">
      <w:pPr>
        <w:pStyle w:val="1"/>
        <w:spacing w:line="630" w:lineRule="exact"/>
        <w:ind w:firstLine="68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第一条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为强化庭审核心职能，提升诉讼效率，实现程序公正，根据《中华人民共和国民事诉讼法》《最高人民法院关于适用 〈中华人民共和国民事诉讼法〉的解释》等相关规定，结合本院实际，制定本指引。</w:t>
      </w:r>
    </w:p>
    <w:p w14:paraId="3397AE5D" w14:textId="77777777" w:rsidR="00B77D6A" w:rsidRPr="00B77D6A" w:rsidRDefault="00B77D6A" w:rsidP="00B77D6A">
      <w:pPr>
        <w:pStyle w:val="1"/>
        <w:spacing w:line="633" w:lineRule="exact"/>
        <w:ind w:firstLine="68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第二条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争议事实和证据较多、法律关系复杂的案件，以及承办法官认为有必要的案件，应当召开庭前会议。</w:t>
      </w:r>
    </w:p>
    <w:p w14:paraId="5D09070A" w14:textId="77777777" w:rsidR="00B77D6A" w:rsidRPr="00B77D6A" w:rsidRDefault="00B77D6A" w:rsidP="00B77D6A">
      <w:pPr>
        <w:pStyle w:val="1"/>
        <w:spacing w:line="633" w:lineRule="exact"/>
        <w:ind w:firstLine="68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>第三条</w:t>
      </w:r>
      <w:r w:rsidRPr="00B77D6A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庭前会议一般由法院召集，由法官或者受法官指导的法官助理主持召开。</w:t>
      </w:r>
    </w:p>
    <w:p w14:paraId="3E6001FE" w14:textId="77777777" w:rsidR="00B77D6A" w:rsidRPr="00B77D6A" w:rsidRDefault="00B77D6A" w:rsidP="00B77D6A">
      <w:pPr>
        <w:pStyle w:val="1"/>
        <w:spacing w:line="633" w:lineRule="exact"/>
        <w:ind w:firstLine="68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color w:val="000000"/>
          <w:sz w:val="32"/>
          <w:szCs w:val="32"/>
        </w:rPr>
        <w:t>当事人申请召开的，应当在举证期限届满后五日内提出，法官根据案件具体情况，在收到申请后三日内</w:t>
      </w:r>
      <w:proofErr w:type="gramStart"/>
      <w:r w:rsidRPr="00B77D6A"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 w:rsidRPr="00B77D6A">
        <w:rPr>
          <w:rFonts w:ascii="仿宋_GB2312" w:eastAsia="仿宋_GB2312" w:hint="eastAsia"/>
          <w:color w:val="000000"/>
          <w:sz w:val="32"/>
          <w:szCs w:val="32"/>
        </w:rPr>
        <w:t>决定并告知当事人。</w:t>
      </w:r>
    </w:p>
    <w:p w14:paraId="043954AE" w14:textId="77777777" w:rsidR="00B77D6A" w:rsidRPr="00B77D6A" w:rsidRDefault="00B77D6A" w:rsidP="00B77D6A">
      <w:pPr>
        <w:pStyle w:val="1"/>
        <w:spacing w:line="633" w:lineRule="exact"/>
        <w:ind w:firstLine="68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第四条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庭前会议应当在举证期限届满后至开庭</w:t>
      </w:r>
      <w:proofErr w:type="gramStart"/>
      <w:r w:rsidRPr="00B77D6A">
        <w:rPr>
          <w:rFonts w:ascii="仿宋_GB2312" w:eastAsia="仿宋_GB2312" w:hint="eastAsia"/>
          <w:color w:val="000000"/>
          <w:sz w:val="32"/>
          <w:szCs w:val="32"/>
        </w:rPr>
        <w:t>审理前召</w:t>
      </w:r>
      <w:proofErr w:type="gramEnd"/>
      <w:r w:rsidRPr="00B77D6A">
        <w:rPr>
          <w:rFonts w:ascii="仿宋_GB2312" w:eastAsia="仿宋_GB2312" w:hint="eastAsia"/>
          <w:color w:val="000000"/>
          <w:sz w:val="32"/>
          <w:szCs w:val="32"/>
        </w:rPr>
        <w:t xml:space="preserve"> 开。</w:t>
      </w:r>
    </w:p>
    <w:p w14:paraId="26723DCD" w14:textId="57D62458" w:rsidR="00B77D6A" w:rsidRPr="00B77D6A" w:rsidRDefault="00B77D6A" w:rsidP="00B77D6A">
      <w:pPr>
        <w:pStyle w:val="1"/>
        <w:spacing w:line="633" w:lineRule="exact"/>
        <w:ind w:firstLine="68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>第五条</w:t>
      </w:r>
      <w:r w:rsidR="00A356BB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根据案件具体情况，庭前会议可以包括下列内容：</w:t>
      </w:r>
    </w:p>
    <w:p w14:paraId="07B9A9DB" w14:textId="77777777" w:rsidR="00B77D6A" w:rsidRPr="00B77D6A" w:rsidRDefault="00B77D6A" w:rsidP="00B77D6A">
      <w:pPr>
        <w:pStyle w:val="1"/>
        <w:tabs>
          <w:tab w:val="left" w:pos="1628"/>
        </w:tabs>
        <w:spacing w:line="633" w:lineRule="exact"/>
        <w:ind w:firstLine="780"/>
        <w:jc w:val="both"/>
        <w:rPr>
          <w:rFonts w:ascii="仿宋_GB2312" w:eastAsia="仿宋_GB2312"/>
          <w:sz w:val="32"/>
          <w:szCs w:val="32"/>
        </w:rPr>
      </w:pPr>
      <w:bookmarkStart w:id="0" w:name="bookmark9"/>
      <w:r w:rsidRPr="00B77D6A">
        <w:rPr>
          <w:rFonts w:ascii="仿宋_GB2312" w:eastAsia="仿宋_GB2312" w:hint="eastAsia"/>
          <w:color w:val="000000"/>
          <w:sz w:val="32"/>
          <w:szCs w:val="32"/>
        </w:rPr>
        <w:t>（</w:t>
      </w:r>
      <w:bookmarkEnd w:id="0"/>
      <w:r w:rsidRPr="00B77D6A">
        <w:rPr>
          <w:rFonts w:ascii="仿宋_GB2312" w:eastAsia="仿宋_GB2312" w:hint="eastAsia"/>
          <w:color w:val="000000"/>
          <w:sz w:val="32"/>
          <w:szCs w:val="32"/>
        </w:rPr>
        <w:t>一）明确原告的诉讼请求和被告的答辩意见；</w:t>
      </w:r>
    </w:p>
    <w:p w14:paraId="78B5FBDD" w14:textId="77777777" w:rsidR="00B77D6A" w:rsidRPr="00B77D6A" w:rsidRDefault="00B77D6A" w:rsidP="00B77D6A">
      <w:pPr>
        <w:pStyle w:val="1"/>
        <w:tabs>
          <w:tab w:val="left" w:pos="852"/>
        </w:tabs>
        <w:spacing w:line="633" w:lineRule="exact"/>
        <w:ind w:firstLine="780"/>
        <w:jc w:val="both"/>
        <w:rPr>
          <w:rFonts w:ascii="仿宋_GB2312" w:eastAsia="仿宋_GB2312"/>
          <w:sz w:val="32"/>
          <w:szCs w:val="32"/>
        </w:rPr>
      </w:pPr>
      <w:bookmarkStart w:id="1" w:name="bookmark10"/>
      <w:r w:rsidRPr="00B77D6A">
        <w:rPr>
          <w:rFonts w:ascii="仿宋_GB2312" w:eastAsia="仿宋_GB2312" w:hint="eastAsia"/>
          <w:color w:val="000000"/>
          <w:sz w:val="32"/>
          <w:szCs w:val="32"/>
        </w:rPr>
        <w:t>（</w:t>
      </w:r>
      <w:bookmarkEnd w:id="1"/>
      <w:r w:rsidRPr="00B77D6A">
        <w:rPr>
          <w:rFonts w:ascii="仿宋_GB2312" w:eastAsia="仿宋_GB2312" w:hint="eastAsia"/>
          <w:color w:val="000000"/>
          <w:sz w:val="32"/>
          <w:szCs w:val="32"/>
        </w:rPr>
        <w:t>二）审查处理当事人增加、变更诉讼请求的申请和提出的反诉，以及第三人提出的与本案有关的诉讼请求;</w:t>
      </w:r>
    </w:p>
    <w:p w14:paraId="788C4E29" w14:textId="77777777" w:rsidR="00B77D6A" w:rsidRPr="00B77D6A" w:rsidRDefault="00B77D6A" w:rsidP="00B77D6A">
      <w:pPr>
        <w:pStyle w:val="1"/>
        <w:tabs>
          <w:tab w:val="left" w:pos="1633"/>
        </w:tabs>
        <w:spacing w:line="627" w:lineRule="exact"/>
        <w:ind w:firstLine="800"/>
        <w:jc w:val="both"/>
        <w:rPr>
          <w:rFonts w:ascii="仿宋_GB2312" w:eastAsia="仿宋_GB2312"/>
          <w:sz w:val="32"/>
          <w:szCs w:val="32"/>
        </w:rPr>
      </w:pPr>
      <w:bookmarkStart w:id="2" w:name="bookmark11"/>
      <w:r w:rsidRPr="00B77D6A">
        <w:rPr>
          <w:rFonts w:ascii="仿宋_GB2312" w:eastAsia="仿宋_GB2312" w:hint="eastAsia"/>
          <w:color w:val="000000"/>
          <w:sz w:val="32"/>
          <w:szCs w:val="32"/>
        </w:rPr>
        <w:t>（</w:t>
      </w:r>
      <w:bookmarkEnd w:id="2"/>
      <w:r w:rsidRPr="00B77D6A">
        <w:rPr>
          <w:rFonts w:ascii="仿宋_GB2312" w:eastAsia="仿宋_GB2312" w:hint="eastAsia"/>
          <w:color w:val="000000"/>
          <w:sz w:val="32"/>
          <w:szCs w:val="32"/>
        </w:rPr>
        <w:t>三）根据当事人的申请决定调查收集证据，委托鉴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lastRenderedPageBreak/>
        <w:t>定，要求当事人提供证据，进行勘验，进行证据保全；</w:t>
      </w:r>
    </w:p>
    <w:p w14:paraId="399F64EB" w14:textId="77777777" w:rsidR="00B77D6A" w:rsidRPr="00B77D6A" w:rsidRDefault="00B77D6A" w:rsidP="00B77D6A">
      <w:pPr>
        <w:pStyle w:val="1"/>
        <w:tabs>
          <w:tab w:val="left" w:pos="1652"/>
        </w:tabs>
        <w:spacing w:line="627" w:lineRule="exact"/>
        <w:ind w:firstLine="800"/>
        <w:jc w:val="both"/>
        <w:rPr>
          <w:rFonts w:ascii="仿宋_GB2312" w:eastAsia="仿宋_GB2312"/>
          <w:sz w:val="32"/>
          <w:szCs w:val="32"/>
        </w:rPr>
      </w:pPr>
      <w:bookmarkStart w:id="3" w:name="bookmark12"/>
      <w:r w:rsidRPr="00B77D6A">
        <w:rPr>
          <w:rFonts w:ascii="仿宋_GB2312" w:eastAsia="仿宋_GB2312" w:hint="eastAsia"/>
          <w:color w:val="000000"/>
          <w:sz w:val="32"/>
          <w:szCs w:val="32"/>
        </w:rPr>
        <w:t>（</w:t>
      </w:r>
      <w:bookmarkEnd w:id="3"/>
      <w:r w:rsidRPr="00B77D6A">
        <w:rPr>
          <w:rFonts w:ascii="仿宋_GB2312" w:eastAsia="仿宋_GB2312" w:hint="eastAsia"/>
          <w:color w:val="000000"/>
          <w:sz w:val="32"/>
          <w:szCs w:val="32"/>
        </w:rPr>
        <w:t>四）组织交换证据；</w:t>
      </w:r>
    </w:p>
    <w:p w14:paraId="32EF661C" w14:textId="77777777" w:rsidR="00B77D6A" w:rsidRPr="00B77D6A" w:rsidRDefault="00B77D6A" w:rsidP="00B77D6A">
      <w:pPr>
        <w:pStyle w:val="1"/>
        <w:tabs>
          <w:tab w:val="left" w:pos="1652"/>
        </w:tabs>
        <w:spacing w:line="627" w:lineRule="exact"/>
        <w:ind w:firstLine="800"/>
        <w:jc w:val="both"/>
        <w:rPr>
          <w:rFonts w:ascii="仿宋_GB2312" w:eastAsia="仿宋_GB2312"/>
          <w:sz w:val="32"/>
          <w:szCs w:val="32"/>
        </w:rPr>
      </w:pPr>
      <w:bookmarkStart w:id="4" w:name="bookmark13"/>
      <w:r w:rsidRPr="00B77D6A">
        <w:rPr>
          <w:rFonts w:ascii="仿宋_GB2312" w:eastAsia="仿宋_GB2312" w:hint="eastAsia"/>
          <w:color w:val="000000"/>
          <w:sz w:val="32"/>
          <w:szCs w:val="32"/>
        </w:rPr>
        <w:t>（</w:t>
      </w:r>
      <w:bookmarkEnd w:id="4"/>
      <w:r w:rsidRPr="00B77D6A">
        <w:rPr>
          <w:rFonts w:ascii="仿宋_GB2312" w:eastAsia="仿宋_GB2312" w:hint="eastAsia"/>
          <w:color w:val="000000"/>
          <w:sz w:val="32"/>
          <w:szCs w:val="32"/>
        </w:rPr>
        <w:t>五）归纳争议焦点；</w:t>
      </w:r>
    </w:p>
    <w:p w14:paraId="252D18BD" w14:textId="77777777" w:rsidR="00B77D6A" w:rsidRPr="00B77D6A" w:rsidRDefault="00B77D6A" w:rsidP="00B77D6A">
      <w:pPr>
        <w:pStyle w:val="1"/>
        <w:tabs>
          <w:tab w:val="left" w:pos="1652"/>
        </w:tabs>
        <w:spacing w:line="627" w:lineRule="exact"/>
        <w:ind w:firstLine="800"/>
        <w:jc w:val="both"/>
        <w:rPr>
          <w:rFonts w:ascii="仿宋_GB2312" w:eastAsia="仿宋_GB2312"/>
          <w:sz w:val="32"/>
          <w:szCs w:val="32"/>
        </w:rPr>
      </w:pPr>
      <w:bookmarkStart w:id="5" w:name="bookmark14"/>
      <w:r w:rsidRPr="00B77D6A">
        <w:rPr>
          <w:rFonts w:ascii="仿宋_GB2312" w:eastAsia="仿宋_GB2312" w:hint="eastAsia"/>
          <w:color w:val="000000"/>
          <w:sz w:val="32"/>
          <w:szCs w:val="32"/>
        </w:rPr>
        <w:t>（</w:t>
      </w:r>
      <w:bookmarkEnd w:id="5"/>
      <w:r w:rsidRPr="00B77D6A">
        <w:rPr>
          <w:rFonts w:ascii="仿宋_GB2312" w:eastAsia="仿宋_GB2312" w:hint="eastAsia"/>
          <w:color w:val="000000"/>
          <w:sz w:val="32"/>
          <w:szCs w:val="32"/>
        </w:rPr>
        <w:t>六）进行调解。</w:t>
      </w:r>
    </w:p>
    <w:p w14:paraId="4E1AD8F6" w14:textId="77777777" w:rsidR="00B77D6A" w:rsidRPr="00B77D6A" w:rsidRDefault="00B77D6A" w:rsidP="00B77D6A">
      <w:pPr>
        <w:pStyle w:val="1"/>
        <w:spacing w:line="627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第六条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庭前会议证据交换中，与案件相关的证据应当全部交换，但涉及国家秘密、商业秘密和个人隐私的证据，涉及夫妻、</w:t>
      </w:r>
      <w:r w:rsidRPr="00B77D6A">
        <w:rPr>
          <w:rFonts w:ascii="仿宋_GB2312" w:eastAsia="仿宋_GB2312" w:hint="eastAsia"/>
          <w:sz w:val="32"/>
          <w:szCs w:val="32"/>
        </w:rPr>
        <w:t>父母、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子女等需要特殊保护的社会关系证据等可以不交换或限制交换。</w:t>
      </w:r>
    </w:p>
    <w:p w14:paraId="77022816" w14:textId="77777777" w:rsidR="00B77D6A" w:rsidRPr="00B77D6A" w:rsidRDefault="00B77D6A" w:rsidP="00B77D6A">
      <w:pPr>
        <w:pStyle w:val="1"/>
        <w:spacing w:line="628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第七条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当事人可以对证据进行初步质证，但法官不得在庭前会议中就当事人的异议和理由发表看法，不得对证据效力</w:t>
      </w:r>
      <w:proofErr w:type="gramStart"/>
      <w:r w:rsidRPr="00B77D6A"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 w:rsidRPr="00B77D6A">
        <w:rPr>
          <w:rFonts w:ascii="仿宋_GB2312" w:eastAsia="仿宋_GB2312" w:hint="eastAsia"/>
          <w:color w:val="000000"/>
          <w:sz w:val="32"/>
          <w:szCs w:val="32"/>
        </w:rPr>
        <w:t>认定或提出意见。</w:t>
      </w:r>
    </w:p>
    <w:p w14:paraId="28C8C237" w14:textId="77777777" w:rsidR="00B77D6A" w:rsidRPr="00B77D6A" w:rsidRDefault="00B77D6A" w:rsidP="00B77D6A">
      <w:pPr>
        <w:pStyle w:val="1"/>
        <w:spacing w:line="628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第八条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当事人在庭前会议上无异议的证据，除非有足以推翻的相反证据，在庭审中可以不再组织质证。</w:t>
      </w:r>
    </w:p>
    <w:p w14:paraId="38CF72F3" w14:textId="77777777" w:rsidR="00B77D6A" w:rsidRPr="00B77D6A" w:rsidRDefault="00B77D6A" w:rsidP="00B77D6A">
      <w:pPr>
        <w:pStyle w:val="1"/>
        <w:spacing w:line="628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第九条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庭前会议应当归纳争议焦点，缩小证据采信、法律适用、诉讼程序等方面争议问题的范围。</w:t>
      </w:r>
    </w:p>
    <w:p w14:paraId="0979AC3F" w14:textId="77777777" w:rsidR="00B77D6A" w:rsidRPr="00B77D6A" w:rsidRDefault="00B77D6A" w:rsidP="00B77D6A">
      <w:pPr>
        <w:pStyle w:val="1"/>
        <w:spacing w:line="628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color w:val="000000"/>
          <w:sz w:val="32"/>
          <w:szCs w:val="32"/>
        </w:rPr>
        <w:t>归纳的争议焦点应当形成清单，并记入笔录。庭审应当围绕已确认的争议焦点进行。</w:t>
      </w:r>
    </w:p>
    <w:p w14:paraId="1BD1A9CE" w14:textId="77777777" w:rsidR="00B77D6A" w:rsidRPr="00B77D6A" w:rsidRDefault="00B77D6A" w:rsidP="00B77D6A">
      <w:pPr>
        <w:pStyle w:val="1"/>
        <w:spacing w:after="260" w:line="628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第十条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庭前调解应当贯彻效率优先原则，以促成双方当事人自行和解为主，防止在庭前会议中过分拖延。</w:t>
      </w:r>
    </w:p>
    <w:p w14:paraId="556C1129" w14:textId="77777777" w:rsidR="00B77D6A" w:rsidRPr="00B77D6A" w:rsidRDefault="00B77D6A" w:rsidP="00B77D6A">
      <w:pPr>
        <w:pStyle w:val="1"/>
        <w:spacing w:after="260" w:line="628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第十一条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庭前会议应当制作笔录，由参加人签名确认。</w:t>
      </w:r>
    </w:p>
    <w:p w14:paraId="2DDB3D1E" w14:textId="77777777" w:rsidR="00B77D6A" w:rsidRPr="00B77D6A" w:rsidRDefault="00B77D6A" w:rsidP="00B77D6A">
      <w:pPr>
        <w:pStyle w:val="1"/>
        <w:spacing w:after="260" w:line="628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B77D6A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第十二条 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本指引由中院审判管理办公室负责解释。自</w:t>
      </w:r>
      <w:r w:rsidRPr="00B77D6A">
        <w:rPr>
          <w:rFonts w:ascii="仿宋_GB2312" w:eastAsia="仿宋_GB2312" w:hAnsi="Arial" w:cs="Arial" w:hint="eastAsia"/>
          <w:sz w:val="32"/>
          <w:szCs w:val="32"/>
        </w:rPr>
        <w:lastRenderedPageBreak/>
        <w:t>印</w:t>
      </w:r>
      <w:r w:rsidRPr="00B77D6A">
        <w:rPr>
          <w:rFonts w:ascii="仿宋_GB2312" w:eastAsia="仿宋_GB2312" w:hint="eastAsia"/>
          <w:color w:val="000000"/>
          <w:sz w:val="32"/>
          <w:szCs w:val="32"/>
        </w:rPr>
        <w:t>发之日起施行。</w:t>
      </w:r>
    </w:p>
    <w:sectPr w:rsidR="00B77D6A" w:rsidRPr="00B77D6A" w:rsidSect="0038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6A"/>
    <w:rsid w:val="00022660"/>
    <w:rsid w:val="00031136"/>
    <w:rsid w:val="000378D1"/>
    <w:rsid w:val="00061B1A"/>
    <w:rsid w:val="00062381"/>
    <w:rsid w:val="000846B5"/>
    <w:rsid w:val="000B204E"/>
    <w:rsid w:val="00130554"/>
    <w:rsid w:val="001A42B6"/>
    <w:rsid w:val="001D4215"/>
    <w:rsid w:val="00205101"/>
    <w:rsid w:val="00232B10"/>
    <w:rsid w:val="0027799A"/>
    <w:rsid w:val="00296FB3"/>
    <w:rsid w:val="00354150"/>
    <w:rsid w:val="00360107"/>
    <w:rsid w:val="00380D3E"/>
    <w:rsid w:val="00481215"/>
    <w:rsid w:val="004C2A53"/>
    <w:rsid w:val="004C44C2"/>
    <w:rsid w:val="00531A64"/>
    <w:rsid w:val="00570A26"/>
    <w:rsid w:val="00584817"/>
    <w:rsid w:val="005B12E1"/>
    <w:rsid w:val="005E465F"/>
    <w:rsid w:val="00647499"/>
    <w:rsid w:val="00651287"/>
    <w:rsid w:val="00651327"/>
    <w:rsid w:val="00680607"/>
    <w:rsid w:val="006837AD"/>
    <w:rsid w:val="006953C4"/>
    <w:rsid w:val="006C34FD"/>
    <w:rsid w:val="006D32CD"/>
    <w:rsid w:val="006F603D"/>
    <w:rsid w:val="00731513"/>
    <w:rsid w:val="00751E31"/>
    <w:rsid w:val="007560F1"/>
    <w:rsid w:val="007734C4"/>
    <w:rsid w:val="007779A6"/>
    <w:rsid w:val="00797EE3"/>
    <w:rsid w:val="007A339E"/>
    <w:rsid w:val="008021D8"/>
    <w:rsid w:val="0081516E"/>
    <w:rsid w:val="00817B73"/>
    <w:rsid w:val="00846D70"/>
    <w:rsid w:val="00890263"/>
    <w:rsid w:val="008A1B34"/>
    <w:rsid w:val="008C23AA"/>
    <w:rsid w:val="008C4F1A"/>
    <w:rsid w:val="00941675"/>
    <w:rsid w:val="009438B2"/>
    <w:rsid w:val="009510E7"/>
    <w:rsid w:val="00A356BB"/>
    <w:rsid w:val="00A61D19"/>
    <w:rsid w:val="00A80835"/>
    <w:rsid w:val="00AC7BAC"/>
    <w:rsid w:val="00AE6147"/>
    <w:rsid w:val="00B009C8"/>
    <w:rsid w:val="00B04870"/>
    <w:rsid w:val="00B646F8"/>
    <w:rsid w:val="00B71051"/>
    <w:rsid w:val="00B77D6A"/>
    <w:rsid w:val="00BA3344"/>
    <w:rsid w:val="00BB6C60"/>
    <w:rsid w:val="00BC3405"/>
    <w:rsid w:val="00BD0282"/>
    <w:rsid w:val="00BD16C7"/>
    <w:rsid w:val="00BF50B0"/>
    <w:rsid w:val="00C11628"/>
    <w:rsid w:val="00C31845"/>
    <w:rsid w:val="00C82577"/>
    <w:rsid w:val="00C8774B"/>
    <w:rsid w:val="00D1613E"/>
    <w:rsid w:val="00D23A73"/>
    <w:rsid w:val="00D61FCB"/>
    <w:rsid w:val="00D6566B"/>
    <w:rsid w:val="00D731D5"/>
    <w:rsid w:val="00D90FD6"/>
    <w:rsid w:val="00DA551F"/>
    <w:rsid w:val="00DB76CC"/>
    <w:rsid w:val="00DC1475"/>
    <w:rsid w:val="00DC2195"/>
    <w:rsid w:val="00E217DC"/>
    <w:rsid w:val="00E329E0"/>
    <w:rsid w:val="00E569EF"/>
    <w:rsid w:val="00E7795A"/>
    <w:rsid w:val="00ED2948"/>
    <w:rsid w:val="00F0779A"/>
    <w:rsid w:val="00F26977"/>
    <w:rsid w:val="00F44140"/>
    <w:rsid w:val="00F526BF"/>
    <w:rsid w:val="00F77042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A61D"/>
  <w15:docId w15:val="{C257AA25-7D81-4AD6-9F0A-838A0623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sid w:val="00B77D6A"/>
    <w:rPr>
      <w:rFonts w:ascii="宋体" w:eastAsia="宋体" w:hAnsi="宋体" w:cs="宋体"/>
      <w:sz w:val="30"/>
      <w:szCs w:val="30"/>
    </w:rPr>
  </w:style>
  <w:style w:type="paragraph" w:customStyle="1" w:styleId="1">
    <w:name w:val="正文文本1"/>
    <w:basedOn w:val="a"/>
    <w:link w:val="a3"/>
    <w:rsid w:val="00B77D6A"/>
    <w:pPr>
      <w:spacing w:line="442" w:lineRule="auto"/>
      <w:ind w:firstLine="400"/>
      <w:jc w:val="left"/>
    </w:pPr>
    <w:rPr>
      <w:rFonts w:ascii="宋体" w:eastAsia="宋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简红可</dc:creator>
  <cp:lastModifiedBy>君君 朱</cp:lastModifiedBy>
  <cp:revision>3</cp:revision>
  <dcterms:created xsi:type="dcterms:W3CDTF">2023-05-25T07:59:00Z</dcterms:created>
  <dcterms:modified xsi:type="dcterms:W3CDTF">2023-05-25T08:11:00Z</dcterms:modified>
</cp:coreProperties>
</file>