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“执转破”案件信息表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44"/>
        <w:gridCol w:w="3408"/>
        <w:gridCol w:w="1764"/>
        <w:gridCol w:w="2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序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被 申 请 人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特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殊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条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件</w:t>
            </w:r>
          </w:p>
        </w:tc>
        <w:tc>
          <w:tcPr>
            <w:tcW w:w="1764" w:type="dxa"/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承办法官</w:t>
            </w:r>
          </w:p>
        </w:tc>
        <w:tc>
          <w:tcPr>
            <w:tcW w:w="2088" w:type="dxa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案件包1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太原市加宙科技发展有限公司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杨天山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山西爱月满母婴护理有限公司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黄正杰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案件包2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山西广盛老大同餐饮有限公司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刘国华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山西鲜合雅斋餐饮管理有限公司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案件包3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山西智伟基业房地产开发有限公司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冯沁峥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山西速易美装饰工程有限公司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孙清莲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案件包4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太原市杏花岭区学无境教育科技有限公司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吕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斌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山西惠多多购物广场有限公司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案件包5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山西亲子悦家政服务有限公司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冯沁峥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太原市吴越酒店管理有限公司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张玉根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案件包6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古交市跃胜汽配有限公司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需担任破产案件管理人3次以上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孙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锐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古交市晋康机动车检测服务有限公司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赵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琍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案件包7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山西超牛乐享贸易有限公司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邢如灏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太原市冠亚教育科技有限公司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任小兵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案件包8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山西军星包装有限公司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峻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2807752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山西青创客文化孵化器管理有限公司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孙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锐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案件包9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山西国汇鑫招标代理有限公司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哲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2807613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山西思齐网络科技有限公司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案件包10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古交市跃伟汽车销售有限公司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刘国华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山西非力建筑装饰工程有限公司</w:t>
            </w:r>
          </w:p>
        </w:tc>
        <w:tc>
          <w:tcPr>
            <w:tcW w:w="34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吕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斌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案件包11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山西绥思未来教育科技有限公司</w:t>
            </w:r>
          </w:p>
        </w:tc>
        <w:tc>
          <w:tcPr>
            <w:tcW w:w="340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李雄飞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案件包12</w:t>
            </w:r>
          </w:p>
        </w:tc>
        <w:tc>
          <w:tcPr>
            <w:tcW w:w="464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山西科工龙盛科技有限公司</w:t>
            </w:r>
          </w:p>
        </w:tc>
        <w:tc>
          <w:tcPr>
            <w:tcW w:w="340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需担任破产案件管理人5次以上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张顺军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0351-</w:t>
            </w:r>
            <w:r>
              <w:rPr>
                <w:rFonts w:hint="eastAsia" w:ascii="仿宋" w:hAnsi="仿宋" w:eastAsia="仿宋"/>
                <w:szCs w:val="21"/>
              </w:rPr>
              <w:t>2807198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N2YwYTg2NzhjMDQxZmVhNjYwYmZhOTJjMjFmMzIifQ=="/>
  </w:docVars>
  <w:rsids>
    <w:rsidRoot w:val="000E34F1"/>
    <w:rsid w:val="000E34F1"/>
    <w:rsid w:val="00120655"/>
    <w:rsid w:val="001307D4"/>
    <w:rsid w:val="001E6DC9"/>
    <w:rsid w:val="005C5C0F"/>
    <w:rsid w:val="0075161A"/>
    <w:rsid w:val="00822056"/>
    <w:rsid w:val="009A24F7"/>
    <w:rsid w:val="00DE7561"/>
    <w:rsid w:val="00E44B60"/>
    <w:rsid w:val="00EB4135"/>
    <w:rsid w:val="00EC1C7A"/>
    <w:rsid w:val="00EF09EE"/>
    <w:rsid w:val="00F04824"/>
    <w:rsid w:val="00FA67D9"/>
    <w:rsid w:val="00FF5F20"/>
    <w:rsid w:val="49335641"/>
    <w:rsid w:val="66D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0558-9237-4226-8A28-FF2F009C2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679</Characters>
  <Lines>5</Lines>
  <Paragraphs>1</Paragraphs>
  <TotalTime>1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2023-05-29T02:46:00Z</dcterms:created>
  <dc:creator>李 佳</dc:creator>
  <cp:lastModifiedBy>↜貓ཻ༵ଓ⁾⁾</cp:lastModifiedBy>
  <cp:lastPrinted>2023-05-29T06:58:00Z</cp:lastPrinted>
  <dcterms:modified xsi:type="dcterms:W3CDTF">2023-05-29T08:28:58Z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04FEA6F50D5B4790BB64DF3DAFDEBD6E_13</vt:lpwstr>
  </property>
</Properties>
</file>