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215" w:tblpY="382"/>
        <w:tblOverlap w:val="never"/>
        <w:tblW w:w="97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396"/>
        <w:gridCol w:w="63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产品名称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6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防毒墙升级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1台（一年）</w:t>
            </w:r>
          </w:p>
        </w:tc>
        <w:tc>
          <w:tcPr>
            <w:tcW w:w="6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目前在用的防毒墙设备软件续费1年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杀毒软件（PC端）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188点（一年）</w:t>
            </w:r>
          </w:p>
        </w:tc>
        <w:tc>
          <w:tcPr>
            <w:tcW w:w="6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目前在用的杀毒软件续费1年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杀毒软件（服务器端）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1点（一年）</w:t>
            </w:r>
          </w:p>
        </w:tc>
        <w:tc>
          <w:tcPr>
            <w:tcW w:w="6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目前在用的杀毒软件续费1年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防火墙模块升级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个模块（一年）</w:t>
            </w:r>
          </w:p>
        </w:tc>
        <w:tc>
          <w:tcPr>
            <w:tcW w:w="6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目前在用的防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火</w:t>
            </w:r>
            <w:r>
              <w:rPr>
                <w:rFonts w:hint="eastAsia" w:ascii="宋体" w:hAnsi="宋体" w:cs="宋体"/>
                <w:color w:val="auto"/>
                <w:sz w:val="24"/>
              </w:rPr>
              <w:t>墙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模块续费1年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防火墙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1台</w:t>
            </w:r>
          </w:p>
        </w:tc>
        <w:tc>
          <w:tcPr>
            <w:tcW w:w="6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★1、标准2U机箱、冗余电源，网络接口≥10个千兆电口、6个千兆光口、2个扩展插槽，硬盘≥64G SSD；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★2、最大整机吞吐量≥10Gbps（提供权威第三方机构性能检测报告扫描件并加盖原厂公章）；最大并发连接数≥800万，每秒新建连接数≥15万；本次要求开通IPS模块并含3年特征库升级服务；默认支持IPSec VPN和SSL VPN模块、无需额外付费（≥200个并发用户，提供产品功能截图）；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★3、出于可靠性考虑，防火墙需要具备2个操作系统互为备份，且需要支持一个可用于恢复的操作系统，且系统切换可在web页面完成和支持通过外置按键一键切换（提供产品功能截图）；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4、支持一体化安全策略配置，可以通过一条策略实现用户认证、IPS、AV、URL过滤、协议控制、流量控制、并发、新建限制、垃圾邮件过滤、审计等功能,简化用户管理，支持同一个地址对象中可以包含IP、IP段、IP range、排除地址等多种类型，支持将源MAC作为独立的访问控制条件，防止非法设备接入；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★5、支持针对策略中的源、目的地址进行新建限制，可以针对单IP(或地址范围)进行新建控制，支持策略命中数显示，并支持通过安全策略命中数范围查询（提供产品功能截图）；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、支持基于策略的入侵检测与防护，可针对不同的源目IP地址、源MAC地址、服务、时间、安全域、用户等，采用不同的入侵防护策略，支持细粒度的自定义IPS特征功能，要求支持DNS\HTTP\FTP\TFTP\TELNET\SNMP\POP3\SMTP\IMAP\等17大类应用层协议的自定义，可以精准设置各个协议字段内容，例如字符内容、偏移、长度等细粒度的参数，支持HTTP类攻击重定向功能，能够把HTTP协议的攻击类型重定向到指定蜜罐系统，便于对攻击进行审计与分析（提供产品功能截图）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、支持基于策略的病毒扫描与防护，可针对不同的源目IP地址、源MAC地址、服务、时间、安全域、用户等，采用不同的病毒防护策略，支持多接口可旁路的病毒文件传输监听检测方式，可并行监听并检测多个接口、多个网段内的病毒传输行为，用于高可靠性要求的旁路应用环境，支持隔离病毒源地址，防止病毒源主机访问内部网络，提高网络整体安全性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>、支持主流ICMPFLOOD\SYNFLOOD\ACKFLOOD\SYNACKFLOOD\UDPFLOOD攻击防护，采用专业高效攻击防护算法，非采用简单的阈值进行攻击防护（提供产品功能截图）；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★9、产品采用先进的木马通信通道检测技术，可快速检测出网络中的木马程序；（提供权威第三方机构出具的证明文件）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★10、要求产品具备公安部网络安全保卫局颁发的《计算机信息系统安全专用产品销售许可证》(增强级），并提交公安部的检测报告正文首页；产品具备《多核多线程ASIC并行操作系统软件著作权登记证书》；提供中国信息安全测评中心出具的《信息技术产品安全测评证书》,级别：EAL4+，具有网关防病毒技术（包括病毒防范的方法和装置）；（提供证书扫描件）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★11、要求生产厂商具备信息系统建设和服务能力CS4等级证书、五星级售后服务认证证书、信息系统安全集成服务资质（一级）、中国通信企业协会会员证书、国家网络与信息安全信息通报机制技术支持单位、业务连续性管理体系认证证书、 CMMI5资质；（提供证书扫描件）</w:t>
            </w:r>
          </w:p>
          <w:p>
            <w:r>
              <w:rPr>
                <w:rFonts w:hint="eastAsia" w:ascii="宋体" w:hAnsi="宋体" w:cs="宋体"/>
                <w:sz w:val="24"/>
              </w:rPr>
              <w:t>★12、投标时提供原厂针对本项目的授权书原件及3年免费售后服务承诺函原件；</w:t>
            </w:r>
          </w:p>
          <w:p>
            <w:r>
              <w:rPr>
                <w:rFonts w:hint="eastAsia" w:ascii="宋体" w:hAnsi="宋体" w:cs="宋体"/>
                <w:sz w:val="24"/>
              </w:rPr>
              <w:t>★备注：需与我院现有防火墙做双机热备,要求提供同型号产品。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网络安全技术服务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一年</w:t>
            </w:r>
          </w:p>
        </w:tc>
        <w:tc>
          <w:tcPr>
            <w:tcW w:w="6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配合测评公司对测评发现的物理安全风险、主机安全风险、网络安全风险、应用安全风险、安全管理差距等进行安全加固和合规化处理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每年协助院方进行一次应急演练，根据演练形成演练报告，对演练中存在的问题进行总结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服务期内为甲方提供7*24小时安全产品运维服务。如甲方遇到网络安全问题，乙方须在1小时内到达现场进行应急处理。</w:t>
            </w:r>
          </w:p>
          <w:p>
            <w:pPr>
              <w:pStyle w:val="2"/>
              <w:numPr>
                <w:ilvl w:val="0"/>
                <w:numId w:val="1"/>
              </w:num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每季度开展一次网络安全巡检，针对我院网络及安全设备运行状态进行全面检查，并提供巡检报告和安全建议报告。</w:t>
            </w:r>
          </w:p>
        </w:tc>
      </w:tr>
    </w:tbl>
    <w:p/>
    <w:p>
      <w:pPr>
        <w:pStyle w:val="2"/>
      </w:pPr>
    </w:p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FE5561"/>
    <w:multiLevelType w:val="singleLevel"/>
    <w:tmpl w:val="CFFE556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xMTM2NTQ1OThmNjg3YTE0NTZlYjJlYjA4Y2ZmYTgifQ=="/>
  </w:docVars>
  <w:rsids>
    <w:rsidRoot w:val="0C691E4C"/>
    <w:rsid w:val="05C70E9C"/>
    <w:rsid w:val="0C691E4C"/>
    <w:rsid w:val="18D25736"/>
    <w:rsid w:val="197467ED"/>
    <w:rsid w:val="2A676A46"/>
    <w:rsid w:val="5ED96268"/>
    <w:rsid w:val="733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1379</Words>
  <Characters>1550</Characters>
  <Lines>0</Lines>
  <Paragraphs>0</Paragraphs>
  <TotalTime>0</TotalTime>
  <ScaleCrop>false</ScaleCrop>
  <LinksUpToDate>false</LinksUpToDate>
  <CharactersWithSpaces>1555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2023-06-28T08:19:00Z</dcterms:created>
  <dc:creator>橘子</dc:creator>
  <cp:lastModifiedBy>橘子</cp:lastModifiedBy>
  <dcterms:modified xsi:type="dcterms:W3CDTF">2023-06-29T01:07:36Z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FE3B9248DE7449F998C70DFB2FA69324_11</vt:lpwstr>
  </property>
</Properties>
</file>