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12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附件：</w:t>
      </w:r>
    </w:p>
    <w:p>
      <w:pPr>
        <w:spacing w:beforeLines="0" w:afterLines="0" w:line="540" w:lineRule="atLeast"/>
        <w:jc w:val="center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E72215"/>
          <w:spacing w:val="23"/>
          <w:sz w:val="32"/>
          <w:highlight w:val="none"/>
          <w:lang w:val="zh-CN"/>
        </w:rPr>
        <w:t>选任破产管理人评分标准</w:t>
      </w:r>
    </w:p>
    <w:bookmarkEnd w:id="0"/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对参与竞争的管理人机构业绩的评定实行固定破产团队业绩评分制，最高分不超过100分，按得分高低进行排名。具体评分标准如下：</w:t>
      </w: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555555"/>
          <w:sz w:val="32"/>
          <w:highlight w:val="none"/>
          <w:lang w:val="zh-CN"/>
        </w:rPr>
        <w:t>一、管理人机构固定破产团队业绩基础分（该项得分累计不超过70分）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555555"/>
          <w:spacing w:val="23"/>
          <w:sz w:val="32"/>
          <w:highlight w:val="none"/>
          <w:lang w:val="zh-CN"/>
        </w:rPr>
        <w:t>（一）办结案件数量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对于已结的普通破产案件，单独担任管理人，每件计4分；以清算组成员方式担任管理人，每件计3分；与其他机构联合担任破产企业管理人的，每件计2分；上述破产案件为简易破产案件，每件计1分；为重大破产案件，每件多计1分。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555555"/>
          <w:spacing w:val="23"/>
          <w:sz w:val="32"/>
          <w:highlight w:val="none"/>
          <w:lang w:val="zh-CN"/>
        </w:rPr>
        <w:t>（二）办结案件效果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取得较好法律效果和社会效果的案件（实现资源优化配置、维持企业持续经营能力、充分保障债权人知情权、异议权、监督权及在重大财产处分中的决策权、积极维护职工和购房人等弱势群体基本生存权益、平等保护各类市场主体合法权益、有效降低办理破产成本等因素），每件多计1分，该项得分累计不超过5分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555555"/>
          <w:spacing w:val="23"/>
          <w:sz w:val="32"/>
          <w:highlight w:val="none"/>
          <w:lang w:val="zh-CN"/>
        </w:rPr>
        <w:t>（三）办结案件质量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1.办理普通破产重整、和解案件，从受理到终止破产程序短于6个月，每件加3分；短于9个月的，每件加2分；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2.办理普通破产清算案件，从受理到终结破产程序短于9个月，每件加2分；短于12个月的，每件加1分；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3.办理简易破产案件，从受理到终结或终止破产程序短于6个月，每件加1分；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4.上述破产案件为重大破产案件，每件多计3分。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5.近三年内管理人个案工作情况评价表获评95分以上的案件，每件加2分，90分以上的，每件加1分，90分以下但管理人个案工作情况评价表中财产追收指标得分为满分的，每件加0.5分。该项得分累计不超过10分；</w:t>
      </w: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555555"/>
          <w:sz w:val="32"/>
          <w:highlight w:val="none"/>
          <w:lang w:val="zh-CN"/>
        </w:rPr>
        <w:t>二、管理人机构固定破产团队业绩附加分（该项得分累计不超过20分）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555555"/>
          <w:spacing w:val="23"/>
          <w:sz w:val="32"/>
          <w:highlight w:val="none"/>
          <w:lang w:val="zh-CN"/>
        </w:rPr>
        <w:t>（一）总结经验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1.破产团队负责人办理的破产案件入选最高人民法院、自治区高级法院发布或者管理人协会发布的典型（经典）案例的，每件分别加5、4、3分；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2.总结出其他可供复制的好经验好做法加3分。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555555"/>
          <w:spacing w:val="23"/>
          <w:sz w:val="32"/>
          <w:highlight w:val="none"/>
          <w:lang w:val="zh-CN"/>
        </w:rPr>
        <w:t>（二）理论研究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1.近三年内破产团队成员在核心期刊（C刊）发表企业破产领域专业论文，每篇加1分；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2.论文刊登自治区级期刊或入选全国性破产论坛论文选集，每篇加0.3分，三等奖每篇加0.4分，二等奖每篇加0.5分，一等奖每篇加1分；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3.发表破产领域专著的，每本加2分。</w:t>
      </w: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555555"/>
          <w:sz w:val="32"/>
          <w:highlight w:val="none"/>
          <w:lang w:val="zh-CN"/>
        </w:rPr>
        <w:t>三、管理人机构固定破产团队针对竞选案件的个性化评分（该项得分累计不超过10分）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1.管理人破产团队对破产企业的债权债务状况、经营事项、行业情况、涉及法律关系的了解程度，对重整投资人招募、重整项目的融资、职工安置等关键性问题的解决是否已经具有较为充足的前期准备。分值为0-4分。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2.破产团队履职能力情况，提供的工作方案，可以从专业性、针对性、可行性进行考量，提出的投资人招募方式、资产处置方案、企业经营方案、资产盘活方案及其他关键问题的解决方案等方面情况进行综合评分。分值为0-5分。</w:t>
      </w:r>
    </w:p>
    <w:p>
      <w:pPr>
        <w:spacing w:before="300" w:beforeLines="0" w:after="300" w:afterLines="0" w:line="540" w:lineRule="atLeast"/>
        <w:ind w:left="75" w:right="75" w:firstLine="420"/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3"/>
          <w:sz w:val="32"/>
          <w:highlight w:val="none"/>
          <w:lang w:val="zh-CN"/>
        </w:rPr>
        <w:t>3.综合申报材料规范性和现场陈述专业性，分值为0-1分。</w:t>
      </w: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p>
      <w:pPr>
        <w:spacing w:beforeLines="0" w:afterLines="0" w:line="540" w:lineRule="atLeas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zh-CN"/>
        </w:rPr>
      </w:pPr>
    </w:p>
    <w:tbl>
      <w:tblPr>
        <w:tblStyle w:val="4"/>
        <w:tblW w:w="0" w:type="auto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0" w:type="dxa"/>
          <w:bottom w:w="0" w:type="dxa"/>
          <w:right w:w="150" w:type="dxa"/>
        </w:tblCellMar>
      </w:tblPr>
      <w:tblGrid>
        <w:gridCol w:w="1200"/>
        <w:gridCol w:w="691"/>
        <w:gridCol w:w="610"/>
        <w:gridCol w:w="1952"/>
        <w:gridCol w:w="4142"/>
        <w:gridCol w:w="722"/>
        <w:gridCol w:w="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90" w:hRule="atLeast"/>
        </w:trPr>
        <w:tc>
          <w:tcPr>
            <w:tcW w:w="189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管理人机构名称</w:t>
            </w:r>
          </w:p>
        </w:tc>
        <w:tc>
          <w:tcPr>
            <w:tcW w:w="8009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一级指标</w:t>
            </w:r>
          </w:p>
        </w:tc>
        <w:tc>
          <w:tcPr>
            <w:tcW w:w="130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二级指标</w:t>
            </w:r>
          </w:p>
        </w:tc>
        <w:tc>
          <w:tcPr>
            <w:tcW w:w="19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三级指标</w:t>
            </w: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四级指标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数量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业绩基础分（≤70分）</w:t>
            </w:r>
          </w:p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案件数量 （≤45分）</w:t>
            </w: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简易案件（1分）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普通案件</w:t>
            </w: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独任管理人（4分）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清算组成员（3分）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联合管理人（2分）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重大案件</w:t>
            </w: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独任管理人（5分）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清算组成员（4分）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联合管理人（3分）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案件效果 （≤5分）</w:t>
            </w: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有效降低破产成本（1分）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实现资源优化配置（1分）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其他因素（1分）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案件质量 （≤20分）</w:t>
            </w:r>
          </w:p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普通破产重整、和解案件</w:t>
            </w: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受理到终止破产程序短于6个月（3分）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受理到终止破产程序短于9个月（2分）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普通破产清算案件</w:t>
            </w: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受理到终结破产程序短于9个月（2分）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受理到终结破产程序短于12个月（1分）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简易破产案件</w:t>
            </w: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受理到终结或终止破产程序短于6个月（1分）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重大破产重整、和解案件</w:t>
            </w: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受理到终止破产程序短于9个月（6分）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受理到终止破产程序短于12个月（5分）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重大破产清算案件</w:t>
            </w: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受理到终结破产程序短于9个月（5分）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受理到终结破产程序短于12个月（4分）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个案工作情况评价表 （≤10分）</w:t>
            </w: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获评95分以上（2分）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获评90分以上（1分）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823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9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41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获评90分以下但个案工作情况评价表中财产追收指标得分为满分（0.5分）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业绩附加分（≤20分）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总结经验</w:t>
            </w: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入选最高法典型案例（5分）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入选自治区高院典型案例（4分）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入选广西破产管理人协会典型案例（3分）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其他可供复制的好经验好做法（3分）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理论研究</w:t>
            </w: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核心期刊（C刊）（1分）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自治区级期刊（0.3）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全国性破产论坛论文（0.3-1分）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14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破产领域专著（2分）</w:t>
            </w:r>
          </w:p>
        </w:tc>
        <w:tc>
          <w:tcPr>
            <w:tcW w:w="7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3032" w:hRule="atLeast"/>
        </w:trPr>
        <w:tc>
          <w:tcPr>
            <w:tcW w:w="120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个性化评分（≤10分）</w:t>
            </w:r>
          </w:p>
        </w:tc>
        <w:tc>
          <w:tcPr>
            <w:tcW w:w="130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前期尽调</w:t>
            </w:r>
          </w:p>
        </w:tc>
        <w:tc>
          <w:tcPr>
            <w:tcW w:w="6816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管理人破产团队对破产企业的债权债务状况、经营事项、行业情况、涉及法律关系的了解程度，对重整投资人招募、重整项目的融资、职工安置等关键性问题的解决是否已经具有较为充足的前期准备（0-4分）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2950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个案工作方案</w:t>
            </w:r>
          </w:p>
        </w:tc>
        <w:tc>
          <w:tcPr>
            <w:tcW w:w="6816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从专业性、针对性、可行性进行考量，提出的投资人招募方式、资产处置方案、企业经营方案、资产盘活方案及其他关键问题的解决方案等方面情况进行综合评分（0-5分）</w:t>
            </w:r>
          </w:p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1219" w:hRule="atLeast"/>
        </w:trPr>
        <w:tc>
          <w:tcPr>
            <w:tcW w:w="120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</w:p>
        </w:tc>
        <w:tc>
          <w:tcPr>
            <w:tcW w:w="130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综合素质</w:t>
            </w:r>
          </w:p>
        </w:tc>
        <w:tc>
          <w:tcPr>
            <w:tcW w:w="6816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综合申报材料规范性和现场陈述专业性（0-1分）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624" w:hRule="atLeast"/>
        </w:trPr>
        <w:tc>
          <w:tcPr>
            <w:tcW w:w="9317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CN"/>
              </w:rPr>
              <w:t>总得分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540" w:lineRule="atLeas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val="zh-CN"/>
              </w:rPr>
            </w:pPr>
          </w:p>
        </w:tc>
      </w:tr>
    </w:tbl>
    <w:p>
      <w:pPr>
        <w:spacing w:beforeLines="0" w:afterLines="0" w:line="540" w:lineRule="atLeast"/>
        <w:rPr>
          <w:rFonts w:hint="eastAsia" w:ascii="仿宋" w:hAnsi="仿宋" w:eastAsia="仿宋"/>
          <w:color w:val="auto"/>
          <w:sz w:val="32"/>
          <w:lang w:val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ZjRhNjEwNjViOGE0YTYyNTNmM2I0MDVlNTNjNzIifQ=="/>
  </w:docVars>
  <w:rsids>
    <w:rsidRoot w:val="59F367D3"/>
    <w:rsid w:val="59F3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2023-07-14T00:31:00Z</dcterms:created>
  <dc:creator>Administrator</dc:creator>
  <cp:lastModifiedBy>Administrator</cp:lastModifiedBy>
  <dcterms:modified xsi:type="dcterms:W3CDTF">2023-07-14T00:32:38Z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3E2D02D3401D416E9F7870ABF46334E1_11</vt:lpwstr>
  </property>
</Properties>
</file>