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7557135" cy="10861040"/>
            <wp:effectExtent l="0" t="0" r="5715" b="16510"/>
            <wp:docPr id="1" name="图片 1" descr="C:\Users\FY\Desktop\微信图片_20230210170942.jpg微信图片_20230210170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FY\Desktop\微信图片_20230210170942.jpg微信图片_20230210170942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10861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28"/>
          <w:szCs w:val="28"/>
          <w:lang w:val="en-US"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850" w:h="16783"/>
          <w:pgMar w:top="0" w:right="0" w:bottom="0" w:left="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jc w:val="center"/>
        <w:textAlignment w:val="auto"/>
        <w:rPr>
          <w:rFonts w:hint="eastAsia"/>
          <w:b/>
          <w:bCs/>
          <w:sz w:val="72"/>
          <w:szCs w:val="7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jc w:val="center"/>
        <w:textAlignment w:val="auto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审判执行工作运行态势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840" w:leftChars="0" w:hanging="42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收案情况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840" w:leftChars="0" w:hanging="42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结案情况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840" w:leftChars="0" w:hanging="42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结案率情况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840" w:leftChars="0" w:hanging="42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结收案比情况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840" w:leftChars="0" w:hanging="42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法官收结案及结案率情况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审判质效分析</w:t>
      </w:r>
    </w:p>
    <w:p>
      <w:pPr>
        <w:numPr>
          <w:ilvl w:val="0"/>
          <w:numId w:val="3"/>
        </w:numPr>
        <w:spacing w:line="480" w:lineRule="auto"/>
        <w:ind w:left="84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eastAsia="zh-CN"/>
        </w:rPr>
        <w:t>公正指标情况</w:t>
      </w: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 xml:space="preserve">   </w:t>
      </w:r>
    </w:p>
    <w:p>
      <w:pPr>
        <w:numPr>
          <w:ilvl w:val="0"/>
          <w:numId w:val="4"/>
        </w:numPr>
        <w:spacing w:line="360" w:lineRule="auto"/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 xml:space="preserve">一审陪审率  </w:t>
      </w:r>
    </w:p>
    <w:p>
      <w:pPr>
        <w:numPr>
          <w:ilvl w:val="0"/>
          <w:numId w:val="4"/>
        </w:numPr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发改及发改率</w:t>
      </w:r>
    </w:p>
    <w:p>
      <w:pPr>
        <w:numPr>
          <w:ilvl w:val="0"/>
          <w:numId w:val="4"/>
        </w:numPr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小额诉讼适用率</w:t>
      </w:r>
    </w:p>
    <w:p>
      <w:pPr>
        <w:numPr>
          <w:ilvl w:val="0"/>
          <w:numId w:val="5"/>
        </w:numPr>
        <w:ind w:left="840" w:leftChars="0" w:hanging="420" w:firstLineChars="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效率指标情况</w:t>
      </w:r>
    </w:p>
    <w:p>
      <w:pPr>
        <w:numPr>
          <w:ilvl w:val="0"/>
          <w:numId w:val="6"/>
        </w:numPr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一审简易程序适用率</w:t>
      </w:r>
    </w:p>
    <w:p>
      <w:pPr>
        <w:numPr>
          <w:ilvl w:val="0"/>
          <w:numId w:val="6"/>
        </w:numPr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当庭裁判率</w:t>
      </w:r>
    </w:p>
    <w:p>
      <w:pPr>
        <w:numPr>
          <w:ilvl w:val="0"/>
          <w:numId w:val="6"/>
        </w:numPr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平均审理天</w:t>
      </w:r>
      <w:r>
        <w:rPr>
          <w:rFonts w:hint="eastAsia" w:ascii="宋体" w:hAnsi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数</w:t>
      </w:r>
    </w:p>
    <w:p>
      <w:pPr>
        <w:numPr>
          <w:ilvl w:val="0"/>
          <w:numId w:val="6"/>
        </w:numPr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平均执行天数</w:t>
      </w:r>
    </w:p>
    <w:p>
      <w:pPr>
        <w:numPr>
          <w:ilvl w:val="0"/>
          <w:numId w:val="7"/>
        </w:numPr>
        <w:ind w:left="840" w:leftChars="0" w:hanging="420" w:firstLineChars="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效果指标情况</w:t>
      </w:r>
    </w:p>
    <w:p>
      <w:pPr>
        <w:numPr>
          <w:ilvl w:val="0"/>
          <w:numId w:val="6"/>
        </w:numPr>
        <w:spacing w:line="600" w:lineRule="auto"/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一审服判息诉率</w:t>
      </w:r>
    </w:p>
    <w:p>
      <w:pPr>
        <w:numPr>
          <w:ilvl w:val="0"/>
          <w:numId w:val="6"/>
        </w:numPr>
        <w:spacing w:line="600" w:lineRule="auto"/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调解率</w:t>
      </w:r>
    </w:p>
    <w:p>
      <w:pPr>
        <w:numPr>
          <w:ilvl w:val="0"/>
          <w:numId w:val="6"/>
        </w:numPr>
        <w:spacing w:line="600" w:lineRule="auto"/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撤诉率</w:t>
      </w:r>
    </w:p>
    <w:p>
      <w:pPr>
        <w:numPr>
          <w:ilvl w:val="0"/>
          <w:numId w:val="8"/>
        </w:numPr>
        <w:spacing w:line="600" w:lineRule="auto"/>
        <w:ind w:left="840" w:leftChars="0" w:hanging="420" w:firstLineChars="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执行指标情况</w:t>
      </w:r>
    </w:p>
    <w:p>
      <w:pPr>
        <w:numPr>
          <w:ilvl w:val="0"/>
          <w:numId w:val="9"/>
        </w:numPr>
        <w:spacing w:line="600" w:lineRule="auto"/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实际执行率</w:t>
      </w:r>
    </w:p>
    <w:p>
      <w:pPr>
        <w:numPr>
          <w:ilvl w:val="0"/>
          <w:numId w:val="9"/>
        </w:numPr>
        <w:spacing w:line="600" w:lineRule="auto"/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执行标的到位率</w:t>
      </w:r>
    </w:p>
    <w:p>
      <w:pPr>
        <w:numPr>
          <w:ilvl w:val="0"/>
          <w:numId w:val="9"/>
        </w:numPr>
        <w:spacing w:line="600" w:lineRule="auto"/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调解案件申请执行率</w:t>
      </w:r>
    </w:p>
    <w:p>
      <w:pPr>
        <w:numPr>
          <w:ilvl w:val="0"/>
          <w:numId w:val="9"/>
        </w:numPr>
        <w:spacing w:line="600" w:lineRule="auto"/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终本合格率</w:t>
      </w:r>
    </w:p>
    <w:p>
      <w:pPr>
        <w:numPr>
          <w:ilvl w:val="0"/>
          <w:numId w:val="9"/>
        </w:numPr>
        <w:spacing w:line="600" w:lineRule="auto"/>
        <w:ind w:left="1260" w:leftChars="0" w:hanging="420" w:firstLineChars="0"/>
        <w:jc w:val="left"/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终本率</w:t>
      </w:r>
    </w:p>
    <w:p>
      <w:pPr>
        <w:numPr>
          <w:ilvl w:val="0"/>
          <w:numId w:val="9"/>
        </w:numPr>
        <w:spacing w:line="600" w:lineRule="auto"/>
        <w:ind w:left="1260" w:leftChars="0" w:hanging="420" w:firstLineChars="0"/>
        <w:jc w:val="left"/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其他执行指标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院庭长办案情况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庭审直播情况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长期未结案件</w:t>
      </w:r>
    </w:p>
    <w:p>
      <w:pPr>
        <w:jc w:val="left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20" w:lineRule="exact"/>
        <w:ind w:right="0" w:rightChars="0"/>
        <w:jc w:val="left"/>
        <w:textAlignment w:val="auto"/>
        <w:outlineLvl w:val="9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  <w:lang w:eastAsia="zh-CN"/>
        </w:rPr>
        <w:t>审判执行工作运行态势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2023年1月，我院收案1809件，同比上升69.38%；结案749件， 同比上升37.94%；结案率20.56%，同比上升3.84个百分点。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</w:pPr>
      <w:r>
        <w:drawing>
          <wp:inline distT="0" distB="0" distL="114300" distR="114300">
            <wp:extent cx="4572000" cy="2743200"/>
            <wp:effectExtent l="4445" t="4445" r="14605" b="14605"/>
            <wp:docPr id="4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drawing>
          <wp:inline distT="0" distB="0" distL="114300" distR="114300">
            <wp:extent cx="4572000" cy="2743200"/>
            <wp:effectExtent l="4445" t="4445" r="14605" b="14605"/>
            <wp:docPr id="8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</w:p>
    <w:p>
      <w:pPr>
        <w:numPr>
          <w:ilvl w:val="0"/>
          <w:numId w:val="0"/>
        </w:numPr>
        <w:ind w:firstLine="643" w:firstLineChars="200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1.收案情况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720"/>
        <w:jc w:val="both"/>
        <w:textAlignment w:val="auto"/>
        <w:outlineLvl w:val="9"/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023年1月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，我院新收案件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1809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件，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同比上升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69.38</w:t>
      </w:r>
      <w:bookmarkStart w:id="0" w:name="_GoBack"/>
      <w:bookmarkEnd w:id="0"/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%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新收案件数在全市法院排名第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8名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。其中刑事新收49件，占2.71%（同比: +157.89%），民事新收1076件，占59.48%（同比: +123.70%），行政新收18件，占1.00%（同比: +125.00%），执行新收663件，占36.65%（同比: +18.39%）。各业务部门具体收案情况如下：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720"/>
        <w:jc w:val="both"/>
        <w:textAlignment w:val="auto"/>
        <w:outlineLvl w:val="9"/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</w:pPr>
    </w:p>
    <w:tbl>
      <w:tblPr>
        <w:tblStyle w:val="9"/>
        <w:tblW w:w="769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6"/>
        <w:gridCol w:w="1826"/>
        <w:gridCol w:w="2700"/>
        <w:gridCol w:w="14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部门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>收案数（件）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>去年同期收案（件）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bidi="ar"/>
              </w:rPr>
              <w:t>同期对比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庭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161.11%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208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90.83%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17.54%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1275.00%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76.19%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140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72.84%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执行局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657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557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17.95%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681.82%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311.11%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127.91%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148.00%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94.59%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176.47%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1809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1068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69.38%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</w:rPr>
        <w:t>结案情况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720"/>
        <w:jc w:val="both"/>
        <w:textAlignment w:val="auto"/>
        <w:outlineLvl w:val="9"/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2023年1月，我院结案749件，同比上升37.94%，在天津市所有法院中排名第10名。其中刑事结案59件，占7.88%（同比：+353.85%）,民事结案495件，占66.09%（同比：+21.03%）,行政结案6件，占0.80%（同比：+200.00%）,执行结案187件，占24.97%（同比：+58.47%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各业务部门具体结案情况如下：</w:t>
      </w:r>
    </w:p>
    <w:tbl>
      <w:tblPr>
        <w:tblStyle w:val="9"/>
        <w:tblpPr w:leftFromText="180" w:rightFromText="180" w:vertAnchor="text" w:horzAnchor="page" w:tblpX="2055" w:tblpY="485"/>
        <w:tblOverlap w:val="never"/>
        <w:tblW w:w="783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4"/>
        <w:gridCol w:w="1701"/>
        <w:gridCol w:w="2785"/>
        <w:gridCol w:w="16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部门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bidi="ar"/>
              </w:rPr>
              <w:t>结案数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 w:bidi="ar"/>
              </w:rPr>
              <w:t>（件）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bidi="ar"/>
              </w:rPr>
              <w:t>去年同期结案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 w:bidi="ar"/>
              </w:rPr>
              <w:t>（件）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bidi="ar"/>
              </w:rPr>
              <w:t>同期对比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346.15%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-13.04%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8.64%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125.00%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-26.67%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执行局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182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28.57%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270.59%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26.32%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62.50%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749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543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37.94%</w:t>
            </w:r>
          </w:p>
        </w:tc>
      </w:tr>
    </w:tbl>
    <w:p>
      <w:pPr>
        <w:numPr>
          <w:ilvl w:val="0"/>
          <w:numId w:val="0"/>
        </w:numPr>
        <w:ind w:firstLine="643" w:firstLineChars="200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</w:rPr>
        <w:t>结案率情况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，我院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结案率为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20.56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同比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上升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3.84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个百分点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，在天津市所有法院中排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名第9名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各业务部门具体结案率情况如下：</w:t>
      </w:r>
    </w:p>
    <w:tbl>
      <w:tblPr>
        <w:tblStyle w:val="9"/>
        <w:tblW w:w="6911" w:type="dxa"/>
        <w:jc w:val="center"/>
        <w:tblInd w:w="-3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7"/>
        <w:gridCol w:w="1418"/>
        <w:gridCol w:w="1878"/>
        <w:gridCol w:w="15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02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部门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 w:bidi="ar"/>
              </w:rPr>
              <w:t>结案率</w:t>
            </w:r>
          </w:p>
        </w:tc>
        <w:tc>
          <w:tcPr>
            <w:tcW w:w="187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去年同期结案率</w:t>
            </w:r>
          </w:p>
        </w:tc>
        <w:tc>
          <w:tcPr>
            <w:tcW w:w="158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bidi="ar"/>
              </w:rPr>
              <w:t>同期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 w:bidi="ar"/>
              </w:rPr>
              <w:t>对比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56.86%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17.11%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39.75%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35.82%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38.78%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-2.96%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33.08%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35.19%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-2.11%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29.27%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17.86%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11.41%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28.38%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20.73%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7.65%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22.74%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23.41%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-0.67%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22.54%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25.07%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-2.53%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18.25%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11.9%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6.35%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17.93%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15.24%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2.69%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15.0%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11.43%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3.57%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执行局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13.77%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7.18%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6.59%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13.71%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42.5%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-28.79%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7.44%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14.29%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-6.85%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20.56%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16.72%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3.84%</w:t>
            </w:r>
          </w:p>
        </w:tc>
      </w:tr>
    </w:tbl>
    <w:p>
      <w:pPr>
        <w:numPr>
          <w:ilvl w:val="0"/>
          <w:numId w:val="0"/>
        </w:numPr>
        <w:ind w:firstLine="640" w:firstLineChars="200"/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3" w:firstLineChars="200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</w:rPr>
        <w:t>结收案比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，我院结收案比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41.40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，同比下降9.44个百分点，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在天津市所有法院中排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名第11名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各业务部门具体结收案比情况如下：</w:t>
      </w:r>
    </w:p>
    <w:tbl>
      <w:tblPr>
        <w:tblStyle w:val="9"/>
        <w:tblW w:w="8070" w:type="dxa"/>
        <w:jc w:val="center"/>
        <w:tblInd w:w="-13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0"/>
        <w:gridCol w:w="2055"/>
        <w:gridCol w:w="1980"/>
        <w:gridCol w:w="1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33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部门</w:t>
            </w:r>
          </w:p>
        </w:tc>
        <w:tc>
          <w:tcPr>
            <w:tcW w:w="205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bidi="ar"/>
              </w:rPr>
              <w:t>结收案比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去年同期数据</w:t>
            </w:r>
          </w:p>
        </w:tc>
        <w:tc>
          <w:tcPr>
            <w:tcW w:w="17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bidi="ar"/>
              </w:rPr>
              <w:t>同期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 w:bidi="ar"/>
              </w:rPr>
              <w:t>对比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123.40%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72.22%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51.18%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77.42%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152.0%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-74.58%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65.67%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71.05%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-5.38%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62.86%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148.15%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-85.29%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56.76%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62.96%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-6.20%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51.06%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58.82%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-7.76%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48.98%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46.51%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2.47%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48.65%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38.1%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10.55%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38.46%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84.4%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-45.94%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36.11%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43.24%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-7.13%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执行局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27.7%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18.67%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9.03%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15.45%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212.5%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-197.05%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10.47%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63.64%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-53.17%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41.4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50.84%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-9.44%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firstLine="643" w:firstLineChars="200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firstLine="643" w:firstLineChars="200"/>
        <w:rPr>
          <w:rFonts w:hint="eastAsia" w:ascii="宋体" w:hAnsi="宋体" w:eastAsia="宋体" w:cs="宋体"/>
          <w:b/>
          <w:bCs/>
          <w:color w:val="C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5.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法官收结案及结案率情况  </w:t>
      </w:r>
      <w:r>
        <w:rPr>
          <w:rFonts w:hint="eastAsia" w:ascii="宋体" w:hAnsi="宋体" w:eastAsia="宋体" w:cs="宋体"/>
          <w:b/>
          <w:bCs/>
          <w:color w:val="C00000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023年1月,全院法官人均结案22件，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各业务部门承办案件法官具体收、结案及结案率情况如下：</w:t>
      </w:r>
    </w:p>
    <w:tbl>
      <w:tblPr>
        <w:tblStyle w:val="10"/>
        <w:tblW w:w="8508" w:type="dxa"/>
        <w:tblInd w:w="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1814"/>
        <w:gridCol w:w="1705"/>
        <w:gridCol w:w="1705"/>
        <w:gridCol w:w="1696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8" w:type="dxa"/>
            <w:gridSpan w:val="6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5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8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旧存数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新收数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结案数</w:t>
            </w:r>
          </w:p>
        </w:tc>
        <w:tc>
          <w:tcPr>
            <w:tcW w:w="169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58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高会山</w:t>
            </w:r>
          </w:p>
        </w:tc>
        <w:tc>
          <w:tcPr>
            <w:tcW w:w="1814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70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70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69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73.68%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58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杨素琴</w:t>
            </w:r>
          </w:p>
        </w:tc>
        <w:tc>
          <w:tcPr>
            <w:tcW w:w="1814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70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70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69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64.71%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58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刘玉新</w:t>
            </w:r>
          </w:p>
        </w:tc>
        <w:tc>
          <w:tcPr>
            <w:tcW w:w="1814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70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70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69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57.89%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58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孙俊颖</w:t>
            </w:r>
          </w:p>
        </w:tc>
        <w:tc>
          <w:tcPr>
            <w:tcW w:w="1814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70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70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69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53.33%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158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马宏图</w:t>
            </w:r>
          </w:p>
        </w:tc>
        <w:tc>
          <w:tcPr>
            <w:tcW w:w="1814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70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70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9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58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刘流</w:t>
            </w:r>
          </w:p>
        </w:tc>
        <w:tc>
          <w:tcPr>
            <w:tcW w:w="1814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70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70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69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58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刘旭鹏</w:t>
            </w:r>
          </w:p>
        </w:tc>
        <w:tc>
          <w:tcPr>
            <w:tcW w:w="1814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70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70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69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35.71%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10"/>
        <w:tblW w:w="8521" w:type="dxa"/>
        <w:jc w:val="center"/>
        <w:tblInd w:w="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539"/>
        <w:gridCol w:w="1866"/>
        <w:gridCol w:w="1884"/>
        <w:gridCol w:w="1674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1" w:type="dxa"/>
            <w:gridSpan w:val="6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民一庭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52" w:hRule="atLeast"/>
          <w:jc w:val="center"/>
        </w:trPr>
        <w:tc>
          <w:tcPr>
            <w:tcW w:w="15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5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旧存数</w:t>
            </w:r>
          </w:p>
        </w:tc>
        <w:tc>
          <w:tcPr>
            <w:tcW w:w="18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新收数</w:t>
            </w:r>
          </w:p>
        </w:tc>
        <w:tc>
          <w:tcPr>
            <w:tcW w:w="18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结案数</w:t>
            </w:r>
          </w:p>
        </w:tc>
        <w:tc>
          <w:tcPr>
            <w:tcW w:w="167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jc w:val="center"/>
        </w:trPr>
        <w:tc>
          <w:tcPr>
            <w:tcW w:w="155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郝志军</w:t>
            </w:r>
          </w:p>
        </w:tc>
        <w:tc>
          <w:tcPr>
            <w:tcW w:w="153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866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884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67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37.04%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jc w:val="center"/>
        </w:trPr>
        <w:tc>
          <w:tcPr>
            <w:tcW w:w="155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杨志强</w:t>
            </w:r>
          </w:p>
        </w:tc>
        <w:tc>
          <w:tcPr>
            <w:tcW w:w="153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866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884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7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33.33%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jc w:val="center"/>
        </w:trPr>
        <w:tc>
          <w:tcPr>
            <w:tcW w:w="155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李阳</w:t>
            </w:r>
          </w:p>
        </w:tc>
        <w:tc>
          <w:tcPr>
            <w:tcW w:w="153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866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884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67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23.08%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jc w:val="center"/>
        </w:trPr>
        <w:tc>
          <w:tcPr>
            <w:tcW w:w="155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刘强</w:t>
            </w:r>
          </w:p>
        </w:tc>
        <w:tc>
          <w:tcPr>
            <w:tcW w:w="153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866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884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67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21.95%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jc w:val="center"/>
        </w:trPr>
        <w:tc>
          <w:tcPr>
            <w:tcW w:w="155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孙文龙</w:t>
            </w:r>
          </w:p>
        </w:tc>
        <w:tc>
          <w:tcPr>
            <w:tcW w:w="153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866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884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67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21.05%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jc w:val="center"/>
        </w:trPr>
        <w:tc>
          <w:tcPr>
            <w:tcW w:w="155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杨旭东</w:t>
            </w:r>
          </w:p>
        </w:tc>
        <w:tc>
          <w:tcPr>
            <w:tcW w:w="153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866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884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67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jc w:val="center"/>
        </w:trPr>
        <w:tc>
          <w:tcPr>
            <w:tcW w:w="155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李会民</w:t>
            </w:r>
          </w:p>
        </w:tc>
        <w:tc>
          <w:tcPr>
            <w:tcW w:w="153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866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884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67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jc w:val="center"/>
        </w:trPr>
        <w:tc>
          <w:tcPr>
            <w:tcW w:w="155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牛江涛</w:t>
            </w:r>
          </w:p>
        </w:tc>
        <w:tc>
          <w:tcPr>
            <w:tcW w:w="153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866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884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67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16.28%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jc w:val="center"/>
        </w:trPr>
        <w:tc>
          <w:tcPr>
            <w:tcW w:w="155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高满</w:t>
            </w:r>
          </w:p>
        </w:tc>
        <w:tc>
          <w:tcPr>
            <w:tcW w:w="153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866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884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67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14.89%</w:t>
            </w:r>
          </w:p>
        </w:tc>
      </w:tr>
    </w:tbl>
    <w:p>
      <w:pPr>
        <w:widowControl/>
        <w:jc w:val="center"/>
        <w:textAlignment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tbl>
      <w:tblPr>
        <w:tblStyle w:val="10"/>
        <w:tblW w:w="8472" w:type="dxa"/>
        <w:jc w:val="center"/>
        <w:tblInd w:w="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539"/>
        <w:gridCol w:w="1851"/>
        <w:gridCol w:w="1949"/>
        <w:gridCol w:w="1584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2" w:type="dxa"/>
            <w:gridSpan w:val="6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民二庭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5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旧存数</w:t>
            </w:r>
          </w:p>
        </w:tc>
        <w:tc>
          <w:tcPr>
            <w:tcW w:w="185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新收数</w:t>
            </w:r>
          </w:p>
        </w:tc>
        <w:tc>
          <w:tcPr>
            <w:tcW w:w="194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结案数</w:t>
            </w:r>
          </w:p>
        </w:tc>
        <w:tc>
          <w:tcPr>
            <w:tcW w:w="15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结案率</w:t>
            </w:r>
          </w:p>
        </w:tc>
        <w:tc>
          <w:tcPr>
            <w:tcW w:w="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尹作祥</w:t>
            </w:r>
          </w:p>
        </w:tc>
        <w:tc>
          <w:tcPr>
            <w:tcW w:w="153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851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94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5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30.19%</w:t>
            </w:r>
          </w:p>
        </w:tc>
        <w:tc>
          <w:tcPr>
            <w:tcW w:w="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徐祥玲</w:t>
            </w:r>
          </w:p>
        </w:tc>
        <w:tc>
          <w:tcPr>
            <w:tcW w:w="153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851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94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5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26.42%</w:t>
            </w:r>
          </w:p>
        </w:tc>
        <w:tc>
          <w:tcPr>
            <w:tcW w:w="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齐良伟</w:t>
            </w:r>
          </w:p>
        </w:tc>
        <w:tc>
          <w:tcPr>
            <w:tcW w:w="153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851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94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5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26.09%</w:t>
            </w:r>
          </w:p>
        </w:tc>
        <w:tc>
          <w:tcPr>
            <w:tcW w:w="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于德新</w:t>
            </w:r>
          </w:p>
        </w:tc>
        <w:tc>
          <w:tcPr>
            <w:tcW w:w="153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851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94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5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20.83%</w:t>
            </w:r>
          </w:p>
        </w:tc>
        <w:tc>
          <w:tcPr>
            <w:tcW w:w="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杨旭凯</w:t>
            </w:r>
          </w:p>
        </w:tc>
        <w:tc>
          <w:tcPr>
            <w:tcW w:w="153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851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94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5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18.18%</w:t>
            </w:r>
          </w:p>
        </w:tc>
        <w:tc>
          <w:tcPr>
            <w:tcW w:w="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王渊</w:t>
            </w:r>
          </w:p>
        </w:tc>
        <w:tc>
          <w:tcPr>
            <w:tcW w:w="153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851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94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5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13.89%</w:t>
            </w:r>
          </w:p>
        </w:tc>
        <w:tc>
          <w:tcPr>
            <w:tcW w:w="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刘辉</w:t>
            </w:r>
          </w:p>
        </w:tc>
        <w:tc>
          <w:tcPr>
            <w:tcW w:w="153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851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94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13.33%</w:t>
            </w:r>
          </w:p>
        </w:tc>
        <w:tc>
          <w:tcPr>
            <w:tcW w:w="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赵洪磊</w:t>
            </w:r>
          </w:p>
        </w:tc>
        <w:tc>
          <w:tcPr>
            <w:tcW w:w="153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851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94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5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8.77%</w:t>
            </w:r>
          </w:p>
        </w:tc>
        <w:tc>
          <w:tcPr>
            <w:tcW w:w="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</w:p>
        </w:tc>
      </w:tr>
    </w:tbl>
    <w:p>
      <w:pPr>
        <w:widowControl/>
        <w:jc w:val="both"/>
        <w:textAlignment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tbl>
      <w:tblPr>
        <w:tblStyle w:val="10"/>
        <w:tblW w:w="8475" w:type="dxa"/>
        <w:tblInd w:w="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511"/>
        <w:gridCol w:w="1879"/>
        <w:gridCol w:w="1921"/>
        <w:gridCol w:w="1614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5" w:type="dxa"/>
            <w:gridSpan w:val="6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民三庭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5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旧存数</w:t>
            </w:r>
          </w:p>
        </w:tc>
        <w:tc>
          <w:tcPr>
            <w:tcW w:w="18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新收数</w:t>
            </w:r>
          </w:p>
        </w:tc>
        <w:tc>
          <w:tcPr>
            <w:tcW w:w="192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结案数</w:t>
            </w:r>
          </w:p>
        </w:tc>
        <w:tc>
          <w:tcPr>
            <w:tcW w:w="16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结案率</w:t>
            </w:r>
          </w:p>
        </w:tc>
        <w:tc>
          <w:tcPr>
            <w:tcW w:w="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王欢</w:t>
            </w:r>
          </w:p>
        </w:tc>
        <w:tc>
          <w:tcPr>
            <w:tcW w:w="1511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87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921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6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66.67%</w:t>
            </w:r>
          </w:p>
        </w:tc>
        <w:tc>
          <w:tcPr>
            <w:tcW w:w="2" w:type="dxa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倪贵元</w:t>
            </w:r>
          </w:p>
        </w:tc>
        <w:tc>
          <w:tcPr>
            <w:tcW w:w="1511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87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921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6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33.33%</w:t>
            </w:r>
          </w:p>
        </w:tc>
        <w:tc>
          <w:tcPr>
            <w:tcW w:w="2" w:type="dxa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李晨明</w:t>
            </w:r>
          </w:p>
        </w:tc>
        <w:tc>
          <w:tcPr>
            <w:tcW w:w="1511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87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921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6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26.23%</w:t>
            </w:r>
          </w:p>
        </w:tc>
        <w:tc>
          <w:tcPr>
            <w:tcW w:w="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肖强</w:t>
            </w:r>
          </w:p>
        </w:tc>
        <w:tc>
          <w:tcPr>
            <w:tcW w:w="1511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87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921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6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22.73%</w:t>
            </w:r>
          </w:p>
        </w:tc>
        <w:tc>
          <w:tcPr>
            <w:tcW w:w="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屈雅梅</w:t>
            </w:r>
          </w:p>
        </w:tc>
        <w:tc>
          <w:tcPr>
            <w:tcW w:w="15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8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92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6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21.67%</w:t>
            </w:r>
          </w:p>
        </w:tc>
        <w:tc>
          <w:tcPr>
            <w:tcW w:w="2" w:type="dxa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</w:p>
        </w:tc>
      </w:tr>
    </w:tbl>
    <w:p>
      <w:pPr>
        <w:widowControl/>
        <w:jc w:val="center"/>
        <w:textAlignment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tbl>
      <w:tblPr>
        <w:tblStyle w:val="10"/>
        <w:tblW w:w="8477" w:type="dxa"/>
        <w:tblInd w:w="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95"/>
        <w:gridCol w:w="1852"/>
        <w:gridCol w:w="1700"/>
        <w:gridCol w:w="1679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7" w:type="dxa"/>
            <w:gridSpan w:val="6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执行局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旧存数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新收数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结案数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结案率</w:t>
            </w:r>
          </w:p>
        </w:tc>
        <w:tc>
          <w:tcPr>
            <w:tcW w:w="3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董海明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44.26%</w:t>
            </w:r>
          </w:p>
        </w:tc>
        <w:tc>
          <w:tcPr>
            <w:tcW w:w="3" w:type="dxa"/>
            <w:tcBorders>
              <w:lef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贾玉顺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25.33%</w:t>
            </w:r>
          </w:p>
        </w:tc>
        <w:tc>
          <w:tcPr>
            <w:tcW w:w="3" w:type="dxa"/>
            <w:tcBorders>
              <w:lef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赵永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21.69%</w:t>
            </w:r>
          </w:p>
        </w:tc>
        <w:tc>
          <w:tcPr>
            <w:tcW w:w="3" w:type="dxa"/>
            <w:tcBorders>
              <w:lef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张志新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124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20.73%</w:t>
            </w:r>
          </w:p>
        </w:tc>
        <w:tc>
          <w:tcPr>
            <w:tcW w:w="3" w:type="dxa"/>
            <w:tcBorders>
              <w:lef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岳新琼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15.64%</w:t>
            </w:r>
          </w:p>
        </w:tc>
        <w:tc>
          <w:tcPr>
            <w:tcW w:w="3" w:type="dxa"/>
            <w:tcBorders>
              <w:lef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赵栢力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14.08%</w:t>
            </w:r>
          </w:p>
        </w:tc>
        <w:tc>
          <w:tcPr>
            <w:tcW w:w="3" w:type="dxa"/>
            <w:tcBorders>
              <w:lef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韩永秀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13.33%</w:t>
            </w:r>
          </w:p>
        </w:tc>
        <w:tc>
          <w:tcPr>
            <w:tcW w:w="3" w:type="dxa"/>
            <w:tcBorders>
              <w:lef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杨继伟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10.81%</w:t>
            </w:r>
          </w:p>
        </w:tc>
        <w:tc>
          <w:tcPr>
            <w:tcW w:w="3" w:type="dxa"/>
            <w:tcBorders>
              <w:lef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刘建芳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10.53%</w:t>
            </w:r>
          </w:p>
        </w:tc>
        <w:tc>
          <w:tcPr>
            <w:tcW w:w="3" w:type="dxa"/>
            <w:tcBorders>
              <w:lef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吴晗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8.82%</w:t>
            </w:r>
          </w:p>
        </w:tc>
        <w:tc>
          <w:tcPr>
            <w:tcW w:w="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薛居敏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8.59%</w:t>
            </w:r>
          </w:p>
        </w:tc>
        <w:tc>
          <w:tcPr>
            <w:tcW w:w="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刘宏海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7.65%</w:t>
            </w:r>
          </w:p>
        </w:tc>
        <w:tc>
          <w:tcPr>
            <w:tcW w:w="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</w:p>
        </w:tc>
      </w:tr>
    </w:tbl>
    <w:p>
      <w:pPr>
        <w:widowControl/>
        <w:jc w:val="both"/>
        <w:textAlignment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tbl>
      <w:tblPr>
        <w:tblStyle w:val="10"/>
        <w:tblW w:w="8474" w:type="dxa"/>
        <w:jc w:val="center"/>
        <w:tblInd w:w="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694"/>
        <w:gridCol w:w="1694"/>
        <w:gridCol w:w="1768"/>
        <w:gridCol w:w="1768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4" w:type="dxa"/>
            <w:gridSpan w:val="6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行政庭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6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旧存数</w:t>
            </w:r>
          </w:p>
        </w:tc>
        <w:tc>
          <w:tcPr>
            <w:tcW w:w="16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新收数</w:t>
            </w:r>
          </w:p>
        </w:tc>
        <w:tc>
          <w:tcPr>
            <w:tcW w:w="17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结案数</w:t>
            </w:r>
          </w:p>
        </w:tc>
        <w:tc>
          <w:tcPr>
            <w:tcW w:w="17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结案率</w:t>
            </w:r>
          </w:p>
        </w:tc>
        <w:tc>
          <w:tcPr>
            <w:tcW w:w="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赵洪英</w:t>
            </w:r>
          </w:p>
        </w:tc>
        <w:tc>
          <w:tcPr>
            <w:tcW w:w="16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6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7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7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19.23%</w:t>
            </w:r>
          </w:p>
        </w:tc>
        <w:tc>
          <w:tcPr>
            <w:tcW w:w="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54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高瑞东</w:t>
            </w:r>
          </w:p>
        </w:tc>
        <w:tc>
          <w:tcPr>
            <w:tcW w:w="16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6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7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7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15.00%</w:t>
            </w:r>
          </w:p>
        </w:tc>
        <w:tc>
          <w:tcPr>
            <w:tcW w:w="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张万江</w:t>
            </w:r>
          </w:p>
        </w:tc>
        <w:tc>
          <w:tcPr>
            <w:tcW w:w="16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6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7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7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12.96%</w:t>
            </w:r>
          </w:p>
        </w:tc>
        <w:tc>
          <w:tcPr>
            <w:tcW w:w="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10"/>
        <w:tblW w:w="84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694"/>
        <w:gridCol w:w="1694"/>
        <w:gridCol w:w="1768"/>
        <w:gridCol w:w="1768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47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立案庭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bottom"/>
              <w:outlineLvl w:val="9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69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bottom"/>
              <w:outlineLvl w:val="9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旧存数</w:t>
            </w:r>
          </w:p>
        </w:tc>
        <w:tc>
          <w:tcPr>
            <w:tcW w:w="169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bottom"/>
              <w:outlineLvl w:val="9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新收数</w:t>
            </w:r>
          </w:p>
        </w:tc>
        <w:tc>
          <w:tcPr>
            <w:tcW w:w="176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bottom"/>
              <w:outlineLvl w:val="9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结案数</w:t>
            </w:r>
          </w:p>
        </w:tc>
        <w:tc>
          <w:tcPr>
            <w:tcW w:w="176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bottom"/>
              <w:outlineLvl w:val="9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结案率</w:t>
            </w:r>
          </w:p>
        </w:tc>
        <w:tc>
          <w:tcPr>
            <w:tcW w:w="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54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张凤霞</w:t>
            </w:r>
          </w:p>
        </w:tc>
        <w:tc>
          <w:tcPr>
            <w:tcW w:w="16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7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7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100.00%</w:t>
            </w:r>
          </w:p>
        </w:tc>
        <w:tc>
          <w:tcPr>
            <w:tcW w:w="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张贺</w:t>
            </w:r>
          </w:p>
        </w:tc>
        <w:tc>
          <w:tcPr>
            <w:tcW w:w="16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6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7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7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75.68%</w:t>
            </w:r>
          </w:p>
        </w:tc>
        <w:tc>
          <w:tcPr>
            <w:tcW w:w="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陈希</w:t>
            </w:r>
          </w:p>
        </w:tc>
        <w:tc>
          <w:tcPr>
            <w:tcW w:w="16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6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7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7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31.91%</w:t>
            </w:r>
          </w:p>
        </w:tc>
        <w:tc>
          <w:tcPr>
            <w:tcW w:w="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王文海</w:t>
            </w:r>
          </w:p>
        </w:tc>
        <w:tc>
          <w:tcPr>
            <w:tcW w:w="16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6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7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7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28.57%</w:t>
            </w:r>
          </w:p>
        </w:tc>
        <w:tc>
          <w:tcPr>
            <w:tcW w:w="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刘建宝</w:t>
            </w:r>
          </w:p>
        </w:tc>
        <w:tc>
          <w:tcPr>
            <w:tcW w:w="16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6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7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7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28.21%</w:t>
            </w:r>
          </w:p>
        </w:tc>
        <w:tc>
          <w:tcPr>
            <w:tcW w:w="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李俊玲</w:t>
            </w:r>
          </w:p>
        </w:tc>
        <w:tc>
          <w:tcPr>
            <w:tcW w:w="16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6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7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7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25.71%</w:t>
            </w:r>
          </w:p>
        </w:tc>
        <w:tc>
          <w:tcPr>
            <w:tcW w:w="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汪忆静</w:t>
            </w:r>
          </w:p>
        </w:tc>
        <w:tc>
          <w:tcPr>
            <w:tcW w:w="16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6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7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7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25.00%</w:t>
            </w:r>
          </w:p>
        </w:tc>
        <w:tc>
          <w:tcPr>
            <w:tcW w:w="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杨茂兴</w:t>
            </w:r>
          </w:p>
        </w:tc>
        <w:tc>
          <w:tcPr>
            <w:tcW w:w="16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6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7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7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20.69%</w:t>
            </w:r>
          </w:p>
        </w:tc>
        <w:tc>
          <w:tcPr>
            <w:tcW w:w="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张德</w:t>
            </w:r>
          </w:p>
        </w:tc>
        <w:tc>
          <w:tcPr>
            <w:tcW w:w="16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6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7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7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20.45%</w:t>
            </w:r>
          </w:p>
        </w:tc>
        <w:tc>
          <w:tcPr>
            <w:tcW w:w="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王军</w:t>
            </w:r>
          </w:p>
        </w:tc>
        <w:tc>
          <w:tcPr>
            <w:tcW w:w="16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7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7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10.53%</w:t>
            </w:r>
          </w:p>
        </w:tc>
        <w:tc>
          <w:tcPr>
            <w:tcW w:w="3" w:type="dxa"/>
          </w:tcPr>
          <w:p/>
        </w:tc>
      </w:tr>
    </w:tbl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10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705"/>
        <w:gridCol w:w="1706"/>
        <w:gridCol w:w="1779"/>
        <w:gridCol w:w="1778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8" w:type="dxa"/>
            <w:gridSpan w:val="6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林亭口法庭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jc w:val="center"/>
        </w:trPr>
        <w:tc>
          <w:tcPr>
            <w:tcW w:w="15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旧存数</w:t>
            </w:r>
          </w:p>
        </w:tc>
        <w:tc>
          <w:tcPr>
            <w:tcW w:w="17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新收数</w:t>
            </w:r>
          </w:p>
        </w:tc>
        <w:tc>
          <w:tcPr>
            <w:tcW w:w="17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结案数</w:t>
            </w:r>
          </w:p>
        </w:tc>
        <w:tc>
          <w:tcPr>
            <w:tcW w:w="17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刘建军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7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7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7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17.14%</w:t>
            </w:r>
          </w:p>
        </w:tc>
        <w:tc>
          <w:tcPr>
            <w:tcW w:w="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李泽阳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7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7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7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8.93%</w:t>
            </w:r>
          </w:p>
        </w:tc>
        <w:tc>
          <w:tcPr>
            <w:tcW w:w="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杨建军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7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7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7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2.44%</w:t>
            </w:r>
          </w:p>
        </w:tc>
        <w:tc>
          <w:tcPr>
            <w:tcW w:w="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10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705"/>
        <w:gridCol w:w="1706"/>
        <w:gridCol w:w="1779"/>
        <w:gridCol w:w="1778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6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大口屯法庭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旧存数</w:t>
            </w:r>
          </w:p>
        </w:tc>
        <w:tc>
          <w:tcPr>
            <w:tcW w:w="17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新收数</w:t>
            </w:r>
          </w:p>
        </w:tc>
        <w:tc>
          <w:tcPr>
            <w:tcW w:w="17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结案数</w:t>
            </w:r>
          </w:p>
        </w:tc>
        <w:tc>
          <w:tcPr>
            <w:tcW w:w="17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结案率</w:t>
            </w:r>
          </w:p>
        </w:tc>
        <w:tc>
          <w:tcPr>
            <w:tcW w:w="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裴悦杰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7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7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7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48.44%</w:t>
            </w:r>
          </w:p>
        </w:tc>
        <w:tc>
          <w:tcPr>
            <w:tcW w:w="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高杨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7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7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7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31.67%</w:t>
            </w:r>
          </w:p>
        </w:tc>
        <w:tc>
          <w:tcPr>
            <w:tcW w:w="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戴英军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7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7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7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21.88%</w:t>
            </w:r>
          </w:p>
        </w:tc>
        <w:tc>
          <w:tcPr>
            <w:tcW w:w="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高振雷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7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7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7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0.00%</w:t>
            </w:r>
          </w:p>
        </w:tc>
        <w:tc>
          <w:tcPr>
            <w:tcW w:w="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bottom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10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442"/>
        <w:gridCol w:w="1969"/>
        <w:gridCol w:w="2014"/>
        <w:gridCol w:w="1543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8" w:type="dxa"/>
            <w:gridSpan w:val="6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史各庄法庭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4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旧存数</w:t>
            </w:r>
          </w:p>
        </w:tc>
        <w:tc>
          <w:tcPr>
            <w:tcW w:w="19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新收数</w:t>
            </w:r>
          </w:p>
        </w:tc>
        <w:tc>
          <w:tcPr>
            <w:tcW w:w="20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结案数</w:t>
            </w:r>
          </w:p>
        </w:tc>
        <w:tc>
          <w:tcPr>
            <w:tcW w:w="15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结案率</w:t>
            </w:r>
          </w:p>
        </w:tc>
        <w:tc>
          <w:tcPr>
            <w:tcW w:w="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马洪涛</w:t>
            </w:r>
          </w:p>
        </w:tc>
        <w:tc>
          <w:tcPr>
            <w:tcW w:w="1442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196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2014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5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28.13%</w:t>
            </w:r>
          </w:p>
        </w:tc>
        <w:tc>
          <w:tcPr>
            <w:tcW w:w="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郭东生</w:t>
            </w:r>
          </w:p>
        </w:tc>
        <w:tc>
          <w:tcPr>
            <w:tcW w:w="1442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96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2014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5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19.18%</w:t>
            </w:r>
          </w:p>
        </w:tc>
        <w:tc>
          <w:tcPr>
            <w:tcW w:w="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常锁苓</w:t>
            </w:r>
          </w:p>
        </w:tc>
        <w:tc>
          <w:tcPr>
            <w:tcW w:w="1442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96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2014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5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13.95%</w:t>
            </w:r>
          </w:p>
        </w:tc>
        <w:tc>
          <w:tcPr>
            <w:tcW w:w="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李彬</w:t>
            </w:r>
          </w:p>
        </w:tc>
        <w:tc>
          <w:tcPr>
            <w:tcW w:w="1442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96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2014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5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7.81%</w:t>
            </w:r>
          </w:p>
        </w:tc>
        <w:tc>
          <w:tcPr>
            <w:tcW w:w="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bottom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10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405"/>
        <w:gridCol w:w="2006"/>
        <w:gridCol w:w="1944"/>
        <w:gridCol w:w="1613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6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方家庄法庭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4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旧存数</w:t>
            </w:r>
          </w:p>
        </w:tc>
        <w:tc>
          <w:tcPr>
            <w:tcW w:w="20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新收数</w:t>
            </w:r>
          </w:p>
        </w:tc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结案数</w:t>
            </w:r>
          </w:p>
        </w:tc>
        <w:tc>
          <w:tcPr>
            <w:tcW w:w="16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结案率</w:t>
            </w:r>
          </w:p>
        </w:tc>
        <w:tc>
          <w:tcPr>
            <w:tcW w:w="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康学山</w:t>
            </w:r>
          </w:p>
        </w:tc>
        <w:tc>
          <w:tcPr>
            <w:tcW w:w="14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20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6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36.84%</w:t>
            </w:r>
          </w:p>
        </w:tc>
        <w:tc>
          <w:tcPr>
            <w:tcW w:w="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于振江</w:t>
            </w:r>
          </w:p>
        </w:tc>
        <w:tc>
          <w:tcPr>
            <w:tcW w:w="14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20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6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30.00%</w:t>
            </w:r>
          </w:p>
        </w:tc>
        <w:tc>
          <w:tcPr>
            <w:tcW w:w="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郭磊</w:t>
            </w:r>
          </w:p>
        </w:tc>
        <w:tc>
          <w:tcPr>
            <w:tcW w:w="140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2006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944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7.14%</w:t>
            </w:r>
          </w:p>
        </w:tc>
        <w:tc>
          <w:tcPr>
            <w:tcW w:w="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10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706"/>
        <w:gridCol w:w="1706"/>
        <w:gridCol w:w="2042"/>
        <w:gridCol w:w="1514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6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大白庄法庭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7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旧存数</w:t>
            </w:r>
          </w:p>
        </w:tc>
        <w:tc>
          <w:tcPr>
            <w:tcW w:w="17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新收数</w:t>
            </w:r>
          </w:p>
        </w:tc>
        <w:tc>
          <w:tcPr>
            <w:tcW w:w="20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结案数</w:t>
            </w:r>
          </w:p>
        </w:tc>
        <w:tc>
          <w:tcPr>
            <w:tcW w:w="15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结案率</w:t>
            </w:r>
          </w:p>
        </w:tc>
        <w:tc>
          <w:tcPr>
            <w:tcW w:w="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郝福龙</w:t>
            </w:r>
          </w:p>
        </w:tc>
        <w:tc>
          <w:tcPr>
            <w:tcW w:w="17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7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20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5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37.21%</w:t>
            </w:r>
          </w:p>
        </w:tc>
        <w:tc>
          <w:tcPr>
            <w:tcW w:w="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李杰</w:t>
            </w:r>
          </w:p>
        </w:tc>
        <w:tc>
          <w:tcPr>
            <w:tcW w:w="17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7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20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5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22.95%</w:t>
            </w:r>
          </w:p>
        </w:tc>
        <w:tc>
          <w:tcPr>
            <w:tcW w:w="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唐瑞明</w:t>
            </w:r>
          </w:p>
        </w:tc>
        <w:tc>
          <w:tcPr>
            <w:tcW w:w="17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7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20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5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17.74%</w:t>
            </w:r>
          </w:p>
        </w:tc>
        <w:tc>
          <w:tcPr>
            <w:tcW w:w="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bottom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10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706"/>
        <w:gridCol w:w="1706"/>
        <w:gridCol w:w="1779"/>
        <w:gridCol w:w="1777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8" w:type="dxa"/>
            <w:gridSpan w:val="6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大钟庄法庭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7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旧存数</w:t>
            </w:r>
          </w:p>
        </w:tc>
        <w:tc>
          <w:tcPr>
            <w:tcW w:w="17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新收数</w:t>
            </w:r>
          </w:p>
        </w:tc>
        <w:tc>
          <w:tcPr>
            <w:tcW w:w="17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结案数</w:t>
            </w:r>
          </w:p>
        </w:tc>
        <w:tc>
          <w:tcPr>
            <w:tcW w:w="17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结案率</w:t>
            </w:r>
          </w:p>
        </w:tc>
        <w:tc>
          <w:tcPr>
            <w:tcW w:w="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王福建</w:t>
            </w:r>
          </w:p>
        </w:tc>
        <w:tc>
          <w:tcPr>
            <w:tcW w:w="17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7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7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7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33.87%</w:t>
            </w:r>
          </w:p>
        </w:tc>
        <w:tc>
          <w:tcPr>
            <w:tcW w:w="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曹晓林</w:t>
            </w:r>
          </w:p>
        </w:tc>
        <w:tc>
          <w:tcPr>
            <w:tcW w:w="17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7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7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7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15.79%</w:t>
            </w:r>
          </w:p>
        </w:tc>
        <w:tc>
          <w:tcPr>
            <w:tcW w:w="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eastAsia="zh-CN"/>
        </w:rPr>
        <w:t>二．审判质效分析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eastAsia="zh-CN"/>
        </w:rPr>
        <w:t>（一）公正指标情况</w:t>
      </w:r>
    </w:p>
    <w:p>
      <w:pPr>
        <w:numPr>
          <w:ilvl w:val="0"/>
          <w:numId w:val="0"/>
        </w:numPr>
        <w:ind w:firstLine="643" w:firstLineChars="200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一审陪审率</w:t>
      </w:r>
    </w:p>
    <w:p>
      <w:pPr>
        <w:ind w:firstLine="640" w:firstLineChars="200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，我院一审陪审率75.86%，比去年同期下降16.73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个百分点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，位于全市法院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第6名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各业务部门具体一审陪审率情况如下：</w:t>
      </w:r>
    </w:p>
    <w:tbl>
      <w:tblPr>
        <w:tblStyle w:val="9"/>
        <w:tblW w:w="8237" w:type="dxa"/>
        <w:jc w:val="center"/>
        <w:tblInd w:w="-225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36"/>
        <w:gridCol w:w="2524"/>
        <w:gridCol w:w="24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 xml:space="preserve">部门 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 w:bidi="ar"/>
              </w:rPr>
              <w:t>一审陪审率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（%）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 w:bidi="ar"/>
              </w:rPr>
              <w:t>去年同期数据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（%）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 庭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66.67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75.86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92.59</w:t>
            </w:r>
          </w:p>
        </w:tc>
      </w:tr>
    </w:tbl>
    <w:p>
      <w:pPr>
        <w:numPr>
          <w:ilvl w:val="0"/>
          <w:numId w:val="0"/>
        </w:numPr>
        <w:ind w:firstLine="643" w:firstLineChars="200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发改及发改率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023年1月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，我院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被改判发回重审率为1.10</w:t>
      </w:r>
      <w:r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，比去年同期上升0.61个百分点，位于全市第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12名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各业务部门具体发改及发改率情况如下：</w:t>
      </w:r>
    </w:p>
    <w:tbl>
      <w:tblPr>
        <w:tblStyle w:val="10"/>
        <w:tblW w:w="7704" w:type="dxa"/>
        <w:jc w:val="center"/>
        <w:tblInd w:w="-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678"/>
        <w:gridCol w:w="2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704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 w:bidi="ar"/>
              </w:rPr>
              <w:t>各庭一审发改率情况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>部门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 w:bidi="ar"/>
              </w:rPr>
              <w:t>一审发改率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（%）</w:t>
            </w:r>
          </w:p>
        </w:tc>
        <w:tc>
          <w:tcPr>
            <w:tcW w:w="27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 w:bidi="ar"/>
              </w:rPr>
              <w:t>去年同期数据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 庭</w:t>
            </w:r>
          </w:p>
        </w:tc>
        <w:tc>
          <w:tcPr>
            <w:tcW w:w="26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27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26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27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26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27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26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27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26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27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26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27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26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27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26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27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26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27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26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3.03</w:t>
            </w:r>
          </w:p>
        </w:tc>
        <w:tc>
          <w:tcPr>
            <w:tcW w:w="27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26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3.08</w:t>
            </w:r>
          </w:p>
        </w:tc>
        <w:tc>
          <w:tcPr>
            <w:tcW w:w="27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26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4.8</w:t>
            </w:r>
          </w:p>
        </w:tc>
        <w:tc>
          <w:tcPr>
            <w:tcW w:w="27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26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1.1</w:t>
            </w:r>
          </w:p>
        </w:tc>
        <w:tc>
          <w:tcPr>
            <w:tcW w:w="27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0.49</w:t>
            </w:r>
          </w:p>
        </w:tc>
      </w:tr>
    </w:tbl>
    <w:p>
      <w:pPr>
        <w:numPr>
          <w:ilvl w:val="0"/>
          <w:numId w:val="0"/>
        </w:numPr>
        <w:ind w:firstLine="643" w:firstLineChars="200"/>
        <w:jc w:val="both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小额诉讼适用率</w:t>
      </w:r>
    </w:p>
    <w:p>
      <w:pPr>
        <w:ind w:firstLine="640" w:firstLineChars="200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，我院小额诉讼适用率为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7.52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%，比去年同期下降12.33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个百分点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，在全市法院排名第4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各业务部门具体小额诉讼适用率情况如下：</w:t>
      </w:r>
    </w:p>
    <w:tbl>
      <w:tblPr>
        <w:tblStyle w:val="10"/>
        <w:tblW w:w="77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3090"/>
        <w:gridCol w:w="2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部门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小额诉讼适用率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（%）</w:t>
            </w:r>
          </w:p>
        </w:tc>
        <w:tc>
          <w:tcPr>
            <w:tcW w:w="2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去年同期数据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30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21.95</w:t>
            </w:r>
          </w:p>
        </w:tc>
        <w:tc>
          <w:tcPr>
            <w:tcW w:w="27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87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30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27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30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14.58</w:t>
            </w:r>
          </w:p>
        </w:tc>
        <w:tc>
          <w:tcPr>
            <w:tcW w:w="27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30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12.5</w:t>
            </w:r>
          </w:p>
        </w:tc>
        <w:tc>
          <w:tcPr>
            <w:tcW w:w="27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30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11.11</w:t>
            </w:r>
          </w:p>
        </w:tc>
        <w:tc>
          <w:tcPr>
            <w:tcW w:w="27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30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7.69</w:t>
            </w:r>
          </w:p>
        </w:tc>
        <w:tc>
          <w:tcPr>
            <w:tcW w:w="27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30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4.17</w:t>
            </w:r>
          </w:p>
        </w:tc>
        <w:tc>
          <w:tcPr>
            <w:tcW w:w="27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30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3.17</w:t>
            </w:r>
          </w:p>
        </w:tc>
        <w:tc>
          <w:tcPr>
            <w:tcW w:w="27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30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7.52</w:t>
            </w:r>
          </w:p>
        </w:tc>
        <w:tc>
          <w:tcPr>
            <w:tcW w:w="27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19.85</w:t>
            </w:r>
          </w:p>
        </w:tc>
      </w:tr>
    </w:tbl>
    <w:p>
      <w:pPr>
        <w:numPr>
          <w:ilvl w:val="0"/>
          <w:numId w:val="0"/>
        </w:numPr>
        <w:ind w:firstLine="321" w:firstLineChars="100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（二）效率指标情况</w:t>
      </w:r>
    </w:p>
    <w:p>
      <w:pPr>
        <w:numPr>
          <w:ilvl w:val="0"/>
          <w:numId w:val="0"/>
        </w:numPr>
        <w:ind w:firstLine="643" w:firstLineChars="200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1.一审简易程序适用率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，我院一审简易程序适用率为90.6%，比去年同期下降2.26个百分点。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各业务部门具体一审简易程序适用率情况如下：</w:t>
      </w:r>
    </w:p>
    <w:tbl>
      <w:tblPr>
        <w:tblStyle w:val="10"/>
        <w:tblW w:w="7481" w:type="dxa"/>
        <w:jc w:val="center"/>
        <w:tblInd w:w="-12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5"/>
        <w:gridCol w:w="2215"/>
        <w:gridCol w:w="2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</w:t>
            </w: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一审简易程序适用率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（%）</w:t>
            </w: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去年同期数据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9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2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2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2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98.41</w:t>
            </w:r>
          </w:p>
        </w:tc>
        <w:tc>
          <w:tcPr>
            <w:tcW w:w="2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2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96.15</w:t>
            </w:r>
          </w:p>
        </w:tc>
        <w:tc>
          <w:tcPr>
            <w:tcW w:w="2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2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95.83</w:t>
            </w:r>
          </w:p>
        </w:tc>
        <w:tc>
          <w:tcPr>
            <w:tcW w:w="2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2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95.29</w:t>
            </w:r>
          </w:p>
        </w:tc>
        <w:tc>
          <w:tcPr>
            <w:tcW w:w="2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2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91.25</w:t>
            </w:r>
          </w:p>
        </w:tc>
        <w:tc>
          <w:tcPr>
            <w:tcW w:w="2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2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2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2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88.89</w:t>
            </w:r>
          </w:p>
        </w:tc>
        <w:tc>
          <w:tcPr>
            <w:tcW w:w="2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2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87.5</w:t>
            </w:r>
          </w:p>
        </w:tc>
        <w:tc>
          <w:tcPr>
            <w:tcW w:w="2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2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85.42</w:t>
            </w:r>
          </w:p>
        </w:tc>
        <w:tc>
          <w:tcPr>
            <w:tcW w:w="2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2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85.23</w:t>
            </w:r>
          </w:p>
        </w:tc>
        <w:tc>
          <w:tcPr>
            <w:tcW w:w="2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 庭</w:t>
            </w:r>
          </w:p>
        </w:tc>
        <w:tc>
          <w:tcPr>
            <w:tcW w:w="2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79.31</w:t>
            </w:r>
          </w:p>
        </w:tc>
        <w:tc>
          <w:tcPr>
            <w:tcW w:w="2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2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90.6</w:t>
            </w:r>
          </w:p>
        </w:tc>
        <w:tc>
          <w:tcPr>
            <w:tcW w:w="2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92.86</w:t>
            </w:r>
          </w:p>
        </w:tc>
      </w:tr>
    </w:tbl>
    <w:p>
      <w:pPr>
        <w:numPr>
          <w:ilvl w:val="0"/>
          <w:numId w:val="0"/>
        </w:numPr>
        <w:ind w:firstLine="643" w:firstLineChars="200"/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firstLine="643" w:firstLineChars="200"/>
        <w:rPr>
          <w:rFonts w:hint="eastAsia" w:ascii="黑体" w:hAnsi="黑体" w:eastAsia="黑体" w:cs="黑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当庭裁判率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，我院当庭裁判率为94.39%，比去年同期下降0.63个百分点，在全市法院中排名第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10名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各业务部门具体当庭裁判率情况如下：</w:t>
      </w:r>
    </w:p>
    <w:tbl>
      <w:tblPr>
        <w:tblStyle w:val="10"/>
        <w:tblW w:w="78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2862"/>
        <w:gridCol w:w="2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当庭裁判率（%）</w:t>
            </w:r>
          </w:p>
        </w:tc>
        <w:tc>
          <w:tcPr>
            <w:tcW w:w="2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去年同期数据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28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28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28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28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28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28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28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28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28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28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28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28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28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28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28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98.41</w:t>
            </w:r>
          </w:p>
        </w:tc>
        <w:tc>
          <w:tcPr>
            <w:tcW w:w="28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28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96.47</w:t>
            </w:r>
          </w:p>
        </w:tc>
        <w:tc>
          <w:tcPr>
            <w:tcW w:w="28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28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95.83</w:t>
            </w:r>
          </w:p>
        </w:tc>
        <w:tc>
          <w:tcPr>
            <w:tcW w:w="28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28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28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 庭</w:t>
            </w:r>
          </w:p>
        </w:tc>
        <w:tc>
          <w:tcPr>
            <w:tcW w:w="28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56.9</w:t>
            </w:r>
          </w:p>
        </w:tc>
        <w:tc>
          <w:tcPr>
            <w:tcW w:w="28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28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94.39</w:t>
            </w:r>
          </w:p>
        </w:tc>
        <w:tc>
          <w:tcPr>
            <w:tcW w:w="28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95.02</w:t>
            </w:r>
          </w:p>
        </w:tc>
      </w:tr>
    </w:tbl>
    <w:p>
      <w:pPr>
        <w:numPr>
          <w:ilvl w:val="0"/>
          <w:numId w:val="0"/>
        </w:numPr>
        <w:ind w:firstLine="643" w:firstLineChars="200"/>
        <w:rPr>
          <w:rFonts w:hint="eastAsia" w:ascii="黑体" w:hAnsi="黑体" w:eastAsia="黑体" w:cs="黑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平均审理天数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023年1月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我院平均审理天数为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33.67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天，与去年同期相比减少3.29天，在全市法院中排名第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5名。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各业务部门具体平均审理天数情况如下：</w:t>
      </w:r>
    </w:p>
    <w:tbl>
      <w:tblPr>
        <w:tblStyle w:val="10"/>
        <w:tblW w:w="7908" w:type="dxa"/>
        <w:jc w:val="center"/>
        <w:tblInd w:w="-4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923"/>
        <w:gridCol w:w="2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</w:t>
            </w: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平均审理天数（天）</w:t>
            </w:r>
          </w:p>
        </w:tc>
        <w:tc>
          <w:tcPr>
            <w:tcW w:w="2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去年同期数据（天）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29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8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 庭</w:t>
            </w:r>
          </w:p>
        </w:tc>
        <w:tc>
          <w:tcPr>
            <w:tcW w:w="29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23.29</w:t>
            </w:r>
          </w:p>
        </w:tc>
        <w:tc>
          <w:tcPr>
            <w:tcW w:w="28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29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27.12</w:t>
            </w:r>
          </w:p>
        </w:tc>
        <w:tc>
          <w:tcPr>
            <w:tcW w:w="28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29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28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29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28.1</w:t>
            </w:r>
          </w:p>
        </w:tc>
        <w:tc>
          <w:tcPr>
            <w:tcW w:w="28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29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30.11</w:t>
            </w:r>
          </w:p>
        </w:tc>
        <w:tc>
          <w:tcPr>
            <w:tcW w:w="28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29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30.46</w:t>
            </w:r>
          </w:p>
        </w:tc>
        <w:tc>
          <w:tcPr>
            <w:tcW w:w="28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29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37.19</w:t>
            </w:r>
          </w:p>
        </w:tc>
        <w:tc>
          <w:tcPr>
            <w:tcW w:w="28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29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28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29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38.92</w:t>
            </w:r>
          </w:p>
        </w:tc>
        <w:tc>
          <w:tcPr>
            <w:tcW w:w="28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29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44.71</w:t>
            </w:r>
          </w:p>
        </w:tc>
        <w:tc>
          <w:tcPr>
            <w:tcW w:w="28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29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60.94</w:t>
            </w:r>
          </w:p>
        </w:tc>
        <w:tc>
          <w:tcPr>
            <w:tcW w:w="28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29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33.67</w:t>
            </w:r>
          </w:p>
        </w:tc>
        <w:tc>
          <w:tcPr>
            <w:tcW w:w="28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36.96</w:t>
            </w:r>
          </w:p>
        </w:tc>
      </w:tr>
    </w:tbl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平均执行天数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023年1月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我院平均执行天数为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60.65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天，比去年同期增加7.4天，在全市法院中排名第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名。民三庭、执行局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具体平均执行天数情况如下：</w:t>
      </w:r>
    </w:p>
    <w:tbl>
      <w:tblPr>
        <w:tblStyle w:val="10"/>
        <w:tblW w:w="7828" w:type="dxa"/>
        <w:jc w:val="center"/>
        <w:tblInd w:w="-7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7"/>
        <w:gridCol w:w="2947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平均执行天数（天）</w:t>
            </w:r>
          </w:p>
        </w:tc>
        <w:tc>
          <w:tcPr>
            <w:tcW w:w="2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去年同期数据（天）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294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19.6</w:t>
            </w:r>
          </w:p>
        </w:tc>
        <w:tc>
          <w:tcPr>
            <w:tcW w:w="28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执行局</w:t>
            </w:r>
          </w:p>
        </w:tc>
        <w:tc>
          <w:tcPr>
            <w:tcW w:w="294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61.77</w:t>
            </w:r>
          </w:p>
        </w:tc>
        <w:tc>
          <w:tcPr>
            <w:tcW w:w="28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294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60.65</w:t>
            </w:r>
          </w:p>
        </w:tc>
        <w:tc>
          <w:tcPr>
            <w:tcW w:w="28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53.25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bottom"/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21" w:firstLineChars="1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（三）效果指标情况</w:t>
      </w:r>
    </w:p>
    <w:p>
      <w:pPr>
        <w:numPr>
          <w:ilvl w:val="0"/>
          <w:numId w:val="0"/>
        </w:numPr>
        <w:ind w:firstLine="643" w:firstLineChars="200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1.一审服判息诉率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023年1月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我院一审服判息诉率为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85.53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%，比去年同期上升12.43个百分点，在全市法院中排名第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名。</w:t>
      </w:r>
    </w:p>
    <w:tbl>
      <w:tblPr>
        <w:tblStyle w:val="10"/>
        <w:tblW w:w="77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2963"/>
        <w:gridCol w:w="2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</w:t>
            </w:r>
          </w:p>
        </w:tc>
        <w:tc>
          <w:tcPr>
            <w:tcW w:w="2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一审裁判息诉率（%）</w:t>
            </w:r>
          </w:p>
        </w:tc>
        <w:tc>
          <w:tcPr>
            <w:tcW w:w="2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去年同期数据（%）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 庭</w:t>
            </w:r>
          </w:p>
        </w:tc>
        <w:tc>
          <w:tcPr>
            <w:tcW w:w="2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96.55</w:t>
            </w:r>
          </w:p>
        </w:tc>
        <w:tc>
          <w:tcPr>
            <w:tcW w:w="26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2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95.29</w:t>
            </w:r>
          </w:p>
        </w:tc>
        <w:tc>
          <w:tcPr>
            <w:tcW w:w="26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2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93.75</w:t>
            </w:r>
          </w:p>
        </w:tc>
        <w:tc>
          <w:tcPr>
            <w:tcW w:w="26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2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93.65</w:t>
            </w:r>
          </w:p>
        </w:tc>
        <w:tc>
          <w:tcPr>
            <w:tcW w:w="26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2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91.67</w:t>
            </w:r>
          </w:p>
        </w:tc>
        <w:tc>
          <w:tcPr>
            <w:tcW w:w="26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2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26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2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88.89</w:t>
            </w:r>
          </w:p>
        </w:tc>
        <w:tc>
          <w:tcPr>
            <w:tcW w:w="26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2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83.75</w:t>
            </w:r>
          </w:p>
        </w:tc>
        <w:tc>
          <w:tcPr>
            <w:tcW w:w="26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2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79.55</w:t>
            </w:r>
          </w:p>
        </w:tc>
        <w:tc>
          <w:tcPr>
            <w:tcW w:w="26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2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79.17</w:t>
            </w:r>
          </w:p>
        </w:tc>
        <w:tc>
          <w:tcPr>
            <w:tcW w:w="26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2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76.92</w:t>
            </w:r>
          </w:p>
        </w:tc>
        <w:tc>
          <w:tcPr>
            <w:tcW w:w="26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2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-35.71</w:t>
            </w:r>
          </w:p>
        </w:tc>
        <w:tc>
          <w:tcPr>
            <w:tcW w:w="26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2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85.53</w:t>
            </w:r>
          </w:p>
        </w:tc>
        <w:tc>
          <w:tcPr>
            <w:tcW w:w="26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73.1</w:t>
            </w:r>
          </w:p>
        </w:tc>
      </w:tr>
    </w:tbl>
    <w:p>
      <w:pPr>
        <w:numPr>
          <w:ilvl w:val="0"/>
          <w:numId w:val="0"/>
        </w:numPr>
        <w:tabs>
          <w:tab w:val="left" w:pos="3583"/>
        </w:tabs>
        <w:ind w:firstLine="643" w:firstLineChars="20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调解率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023年1月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我院调解率为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13.69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，比去年同期上升2.75个百分点，在全市法院中排名第9名。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ab/>
      </w:r>
    </w:p>
    <w:tbl>
      <w:tblPr>
        <w:tblStyle w:val="10"/>
        <w:tblW w:w="7510" w:type="dxa"/>
        <w:jc w:val="center"/>
        <w:tblInd w:w="-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8"/>
        <w:gridCol w:w="2370"/>
        <w:gridCol w:w="2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调解率（%）</w:t>
            </w:r>
          </w:p>
        </w:tc>
        <w:tc>
          <w:tcPr>
            <w:tcW w:w="26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去年同期数据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2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43.48</w:t>
            </w:r>
          </w:p>
        </w:tc>
        <w:tc>
          <w:tcPr>
            <w:tcW w:w="26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2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22.37</w:t>
            </w:r>
          </w:p>
        </w:tc>
        <w:tc>
          <w:tcPr>
            <w:tcW w:w="26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2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18.75</w:t>
            </w:r>
          </w:p>
        </w:tc>
        <w:tc>
          <w:tcPr>
            <w:tcW w:w="26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2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6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2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6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2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9.6</w:t>
            </w:r>
          </w:p>
        </w:tc>
        <w:tc>
          <w:tcPr>
            <w:tcW w:w="26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2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9.2</w:t>
            </w:r>
          </w:p>
        </w:tc>
        <w:tc>
          <w:tcPr>
            <w:tcW w:w="26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2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8.57</w:t>
            </w:r>
          </w:p>
        </w:tc>
        <w:tc>
          <w:tcPr>
            <w:tcW w:w="26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2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7.32</w:t>
            </w:r>
          </w:p>
        </w:tc>
        <w:tc>
          <w:tcPr>
            <w:tcW w:w="26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2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6.58</w:t>
            </w:r>
          </w:p>
        </w:tc>
        <w:tc>
          <w:tcPr>
            <w:tcW w:w="26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2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5.18</w:t>
            </w:r>
          </w:p>
        </w:tc>
        <w:tc>
          <w:tcPr>
            <w:tcW w:w="26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4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 庭</w:t>
            </w:r>
          </w:p>
        </w:tc>
        <w:tc>
          <w:tcPr>
            <w:tcW w:w="2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26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2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13.69</w:t>
            </w:r>
          </w:p>
        </w:tc>
        <w:tc>
          <w:tcPr>
            <w:tcW w:w="26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10.94</w:t>
            </w:r>
          </w:p>
        </w:tc>
      </w:tr>
    </w:tbl>
    <w:p>
      <w:pPr>
        <w:numPr>
          <w:ilvl w:val="0"/>
          <w:numId w:val="0"/>
        </w:numPr>
        <w:ind w:firstLine="643" w:firstLineChars="200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撤诉率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023年1月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我院撤诉率为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28.57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%，比去年同期下降4.13个百分点，在全市法院中排名第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12名。</w:t>
      </w:r>
    </w:p>
    <w:tbl>
      <w:tblPr>
        <w:tblStyle w:val="10"/>
        <w:tblW w:w="7380" w:type="dxa"/>
        <w:jc w:val="center"/>
        <w:tblInd w:w="-5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1"/>
        <w:gridCol w:w="2252"/>
        <w:gridCol w:w="2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撤诉率（%）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去年同期数据（%）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22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26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22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46.25</w:t>
            </w:r>
          </w:p>
        </w:tc>
        <w:tc>
          <w:tcPr>
            <w:tcW w:w="26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22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41.67</w:t>
            </w:r>
          </w:p>
        </w:tc>
        <w:tc>
          <w:tcPr>
            <w:tcW w:w="26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22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37.5</w:t>
            </w:r>
          </w:p>
        </w:tc>
        <w:tc>
          <w:tcPr>
            <w:tcW w:w="26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22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33.33</w:t>
            </w:r>
          </w:p>
        </w:tc>
        <w:tc>
          <w:tcPr>
            <w:tcW w:w="26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22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30.59</w:t>
            </w:r>
          </w:p>
        </w:tc>
        <w:tc>
          <w:tcPr>
            <w:tcW w:w="26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22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27.27</w:t>
            </w:r>
          </w:p>
        </w:tc>
        <w:tc>
          <w:tcPr>
            <w:tcW w:w="26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22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27.08</w:t>
            </w:r>
          </w:p>
        </w:tc>
        <w:tc>
          <w:tcPr>
            <w:tcW w:w="26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22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23.08</w:t>
            </w:r>
          </w:p>
        </w:tc>
        <w:tc>
          <w:tcPr>
            <w:tcW w:w="26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22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19.05</w:t>
            </w:r>
          </w:p>
        </w:tc>
        <w:tc>
          <w:tcPr>
            <w:tcW w:w="26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22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14.29</w:t>
            </w:r>
          </w:p>
        </w:tc>
        <w:tc>
          <w:tcPr>
            <w:tcW w:w="26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 庭</w:t>
            </w:r>
          </w:p>
        </w:tc>
        <w:tc>
          <w:tcPr>
            <w:tcW w:w="22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26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22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28.57</w:t>
            </w:r>
          </w:p>
        </w:tc>
        <w:tc>
          <w:tcPr>
            <w:tcW w:w="26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32.7</w:t>
            </w:r>
          </w:p>
        </w:tc>
      </w:tr>
    </w:tbl>
    <w:p>
      <w:pPr>
        <w:numPr>
          <w:ilvl w:val="0"/>
          <w:numId w:val="0"/>
        </w:numPr>
        <w:ind w:firstLine="321" w:firstLineChars="100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firstLine="321" w:firstLineChars="100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（四）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执行指标情况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 xml:space="preserve">   1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.实际执行率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023年1月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我院实际执行率为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69.78%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，比去年同期下降0.41个百分点，在全市法院中排名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第4名。</w:t>
      </w:r>
    </w:p>
    <w:tbl>
      <w:tblPr>
        <w:tblStyle w:val="10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5"/>
        <w:gridCol w:w="1706"/>
        <w:gridCol w:w="1706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部门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件数（件）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执行结案数（件）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实际执行率（%）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去年同期数据（%）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执行局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17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182</w:t>
            </w:r>
          </w:p>
        </w:tc>
        <w:tc>
          <w:tcPr>
            <w:tcW w:w="17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69.78</w:t>
            </w:r>
          </w:p>
        </w:tc>
        <w:tc>
          <w:tcPr>
            <w:tcW w:w="17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70.19</w:t>
            </w:r>
          </w:p>
        </w:tc>
      </w:tr>
    </w:tbl>
    <w:p>
      <w:pPr>
        <w:numPr>
          <w:ilvl w:val="0"/>
          <w:numId w:val="0"/>
        </w:numPr>
        <w:ind w:firstLine="643" w:firstLineChars="200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执行标的到位率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023年1月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我院执行标的到位率为71.38%，比去年同期水平上升10.63个百分点，在全市法院中排名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第5名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tbl>
      <w:tblPr>
        <w:tblStyle w:val="10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2"/>
        <w:gridCol w:w="2843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部门</w:t>
            </w:r>
          </w:p>
        </w:tc>
        <w:tc>
          <w:tcPr>
            <w:tcW w:w="2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执行标的到位率</w:t>
            </w:r>
          </w:p>
        </w:tc>
        <w:tc>
          <w:tcPr>
            <w:tcW w:w="2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去年同期数据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执行局</w:t>
            </w:r>
          </w:p>
        </w:tc>
        <w:tc>
          <w:tcPr>
            <w:tcW w:w="2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71.38</w:t>
            </w:r>
          </w:p>
        </w:tc>
        <w:tc>
          <w:tcPr>
            <w:tcW w:w="2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0.75</w:t>
            </w:r>
          </w:p>
        </w:tc>
      </w:tr>
    </w:tbl>
    <w:p>
      <w:pPr>
        <w:numPr>
          <w:ilvl w:val="0"/>
          <w:numId w:val="0"/>
        </w:numPr>
        <w:ind w:firstLine="643" w:firstLineChars="20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调解案件申请执行率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023年1月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我院调解案件申请执行率为171.76%，比去年同期上升47个百分点，在全市法院中排名第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15名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tbl>
      <w:tblPr>
        <w:tblStyle w:val="10"/>
        <w:tblW w:w="8464" w:type="dxa"/>
        <w:jc w:val="center"/>
        <w:tblInd w:w="-4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1981"/>
        <w:gridCol w:w="1913"/>
        <w:gridCol w:w="1370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</w:t>
            </w:r>
          </w:p>
        </w:tc>
        <w:tc>
          <w:tcPr>
            <w:tcW w:w="1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民事、刑事附带民事行政赔偿调解案件执行收案数（件）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民事、刑事附带民事行政赔偿调解生效案件数（件）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调解案件申请执行率（%）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去年同期数据（%）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 庭</w:t>
            </w:r>
          </w:p>
        </w:tc>
        <w:tc>
          <w:tcPr>
            <w:tcW w:w="19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3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19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3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19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13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19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13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19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105.26</w:t>
            </w:r>
          </w:p>
        </w:tc>
        <w:tc>
          <w:tcPr>
            <w:tcW w:w="13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433.33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19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107.14</w:t>
            </w:r>
          </w:p>
        </w:tc>
        <w:tc>
          <w:tcPr>
            <w:tcW w:w="13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19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119.35</w:t>
            </w:r>
          </w:p>
        </w:tc>
        <w:tc>
          <w:tcPr>
            <w:tcW w:w="13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19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140</w:t>
            </w:r>
          </w:p>
        </w:tc>
        <w:tc>
          <w:tcPr>
            <w:tcW w:w="13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19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</w:t>
            </w:r>
          </w:p>
        </w:tc>
        <w:tc>
          <w:tcPr>
            <w:tcW w:w="13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19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214.29</w:t>
            </w:r>
          </w:p>
        </w:tc>
        <w:tc>
          <w:tcPr>
            <w:tcW w:w="13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19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350</w:t>
            </w:r>
          </w:p>
        </w:tc>
        <w:tc>
          <w:tcPr>
            <w:tcW w:w="13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183.33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19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1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368.75</w:t>
            </w:r>
          </w:p>
        </w:tc>
        <w:tc>
          <w:tcPr>
            <w:tcW w:w="13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19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225</w:t>
            </w:r>
          </w:p>
        </w:tc>
        <w:tc>
          <w:tcPr>
            <w:tcW w:w="1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131</w:t>
            </w:r>
          </w:p>
        </w:tc>
        <w:tc>
          <w:tcPr>
            <w:tcW w:w="1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171.76</w:t>
            </w:r>
          </w:p>
        </w:tc>
        <w:tc>
          <w:tcPr>
            <w:tcW w:w="13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124.76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321" w:firstLineChars="1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4.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终本合格率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023年1月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我院终本合格率为100%，与去年同期持平。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321" w:firstLineChars="1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5.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终本率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2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023年1月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我院执行终本率为1.89%，比去年同期水平高0.37个百分点。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321" w:firstLineChars="100"/>
        <w:jc w:val="both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其他执行指标</w:t>
      </w:r>
    </w:p>
    <w:tbl>
      <w:tblPr>
        <w:tblStyle w:val="9"/>
        <w:tblW w:w="86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5"/>
        <w:gridCol w:w="960"/>
        <w:gridCol w:w="960"/>
        <w:gridCol w:w="960"/>
        <w:gridCol w:w="960"/>
        <w:gridCol w:w="960"/>
        <w:gridCol w:w="2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基础统计-质效统计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案件类型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案件数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旧存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已结案件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未结案件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已结到位金额(万元)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执行案件(不含恢复)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1,522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1,295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6,809.37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执行案件(含恢复)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1,742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1,447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7,256.02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首次执行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1,322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1,140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1,627.34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首次执行和恢复执行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1,542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1,292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2,073.99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执行实施类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1,735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1,445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7,256.02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执行审查类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--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2"/>
        <w:jc w:val="both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2"/>
        <w:jc w:val="both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9"/>
        <w:tblW w:w="8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042"/>
        <w:gridCol w:w="490"/>
        <w:gridCol w:w="1575"/>
        <w:gridCol w:w="885"/>
        <w:gridCol w:w="345"/>
        <w:gridCol w:w="1245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395" w:type="dxa"/>
            <w:gridSpan w:val="8"/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质效考核-首次执行案件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实结占结案数比例(%)</w:t>
            </w: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终本占结案数比例(%)</w:t>
            </w:r>
          </w:p>
        </w:tc>
        <w:tc>
          <w:tcPr>
            <w:tcW w:w="20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实际执结率(%)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终本率(%)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未结率(%)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9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86.26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13.74</w:t>
            </w:r>
          </w:p>
        </w:tc>
        <w:tc>
          <w:tcPr>
            <w:tcW w:w="20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11.88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1.89</w:t>
            </w:r>
          </w:p>
        </w:tc>
        <w:tc>
          <w:tcPr>
            <w:tcW w:w="15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86.23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实际执行到位率(%)</w:t>
            </w: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执行完毕率(%)</w:t>
            </w:r>
          </w:p>
        </w:tc>
        <w:tc>
          <w:tcPr>
            <w:tcW w:w="20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终结率(%)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法定期限内结案率(%)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结案平均用时(天/件)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执行完毕案件结案平均用时(天/件)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9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4.16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9.61</w:t>
            </w:r>
          </w:p>
        </w:tc>
        <w:tc>
          <w:tcPr>
            <w:tcW w:w="20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2.19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93.96</w:t>
            </w:r>
          </w:p>
        </w:tc>
        <w:tc>
          <w:tcPr>
            <w:tcW w:w="15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61.77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405" w:type="dxa"/>
            <w:gridSpan w:val="4"/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质效考核-恢复执行案件</w:t>
            </w:r>
          </w:p>
        </w:tc>
        <w:tc>
          <w:tcPr>
            <w:tcW w:w="3990" w:type="dxa"/>
            <w:gridSpan w:val="4"/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质效考核-其他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恢复执行案件执行完毕率(%)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终本案件恢复执行平均用时(天/件)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恢复执行案件实际执行到位率(%)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保全率(%)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终本合格率(%)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终本合格率(不含恢复)(%)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9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26.36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--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8.42</w:t>
            </w:r>
          </w:p>
        </w:tc>
        <w:tc>
          <w:tcPr>
            <w:tcW w:w="123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17.77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9"/>
        <w:tblW w:w="8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960"/>
        <w:gridCol w:w="960"/>
        <w:gridCol w:w="960"/>
        <w:gridCol w:w="960"/>
        <w:gridCol w:w="960"/>
        <w:gridCol w:w="865"/>
        <w:gridCol w:w="1055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事项受托期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限内办结率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（%）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事项受托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平均用时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（天）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事项受托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办结占比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（%）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督办事项期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限内办结率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（%）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执行信访率（案访比）(%)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失信名单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撤销率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（‰）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案拍比（%）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网络查控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措施期限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内发起率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（%）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信息录入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差错率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2.21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9.01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0.45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12.91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(以上执行指标数据来自于人民法院执行指挥中心综合管理平台)</w:t>
      </w:r>
    </w:p>
    <w:p>
      <w:pPr>
        <w:numPr>
          <w:ilvl w:val="0"/>
          <w:numId w:val="12"/>
        </w:numP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院庭长办案情况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2"/>
        <w:jc w:val="both"/>
        <w:textAlignment w:val="auto"/>
        <w:outlineLvl w:val="9"/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2023年1月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共有院庭长参与案件1396件。其中在办承办数949件，占67.98%（同比: -1.25%），在办参审数84件，占6.02%（同比: -24.32%），已结承办数336件，占24.07%（同比: +62.32%），已结参审数27件，占1.93%（同比: -3.57%）。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2"/>
        <w:jc w:val="both"/>
        <w:textAlignment w:val="auto"/>
        <w:outlineLvl w:val="9"/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</w:pPr>
    </w:p>
    <w:tbl>
      <w:tblPr>
        <w:tblStyle w:val="10"/>
        <w:tblW w:w="8830" w:type="dxa"/>
        <w:jc w:val="center"/>
        <w:tblInd w:w="-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086"/>
        <w:gridCol w:w="1079"/>
        <w:gridCol w:w="925"/>
        <w:gridCol w:w="1001"/>
        <w:gridCol w:w="1020"/>
        <w:gridCol w:w="1125"/>
        <w:gridCol w:w="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在办承办数（件）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在办参审数（件）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已结承办数（件）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已结参审数（件）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结案总数（件）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院领导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于盛乐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院长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彭继军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副院长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刘少伯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副院长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王洪民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专委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白志远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专委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刑庭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马宏图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庭长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民一庭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杨志强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庭长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民二庭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王文海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庭长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民三庭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倪贵元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庭长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立案庭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倪克军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庭长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行政庭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赵洪英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庭长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执行局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董海明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庭长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康学山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庭长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常锁苓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庭长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高振雷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庭长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唐瑞明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庭长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刘辉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庭长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曹晓林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庭长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审管办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胡艳阳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主任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eastAsia="zh-CN"/>
        </w:rPr>
        <w:t>四、庭审直播情况</w:t>
      </w:r>
    </w:p>
    <w:tbl>
      <w:tblPr>
        <w:tblStyle w:val="10"/>
        <w:tblW w:w="9322" w:type="dxa"/>
        <w:tblInd w:w="-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2"/>
        <w:gridCol w:w="2124"/>
        <w:gridCol w:w="2456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1月直播数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直播案件总数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3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院领导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于盛乐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彭继军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刘少伯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王洪民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白志远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刑庭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马宏图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高会山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刘玉新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孙俊颖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杨素琴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刘旭鹏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刘流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杨志强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杨旭东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高满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李会民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郝志军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刘强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牛江涛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李阳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孙文龙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刘辉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于德新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尹作祥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齐良伟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王渊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赵洪磊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徐祥玲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杨旭凯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倪贵元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肖强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李晨明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屈雅梅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王欢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赵洪英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高瑞东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张万江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王文海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张德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杨茂兴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陈希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张贺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李俊玲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张凤霞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汪忆静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王军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刘建宝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审管办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胡艳阳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杨建军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刘建军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李泽阳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高振雷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戴英军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高杨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裴悦杰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常锁苓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郭东生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李彬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马洪涛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康学山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于振江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郭磊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唐瑞明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郝福龙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李杰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曹晓林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王福建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jc w:val="both"/>
        <w:textAlignment w:val="auto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长期未结案件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截止到2023.01.31，天津市宝坻区人民法院共有一般长期未结(不含执行、破产)案件131件。其中半年未结59件，占45.04%（同比: +68.57%）， 九个月未结24件，占18.32%（同比: +71.43%），一年未结39件，占29.77%（同比: +457.14%）， 一年半未结7件，占5.34%（同比: +250.00%）， 两年未结1件，占0.76%， 两年半未结1件，占0.76%。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5238115" cy="4095115"/>
            <wp:effectExtent l="0" t="0" r="635" b="635"/>
            <wp:docPr id="14" name="图片 1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图片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38115" cy="409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0"/>
        <w:tblpPr w:leftFromText="180" w:rightFromText="180" w:vertAnchor="text" w:horzAnchor="page" w:tblpX="1495" w:tblpY="466"/>
        <w:tblOverlap w:val="never"/>
        <w:tblW w:w="93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155"/>
        <w:gridCol w:w="1125"/>
        <w:gridCol w:w="1125"/>
        <w:gridCol w:w="1065"/>
        <w:gridCol w:w="1065"/>
        <w:gridCol w:w="1065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半年未结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九个月未结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一年未结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一年半未结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两年未结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两年半未结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刑  庭</w:t>
            </w:r>
          </w:p>
        </w:tc>
        <w:tc>
          <w:tcPr>
            <w:tcW w:w="115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行政庭</w:t>
            </w:r>
          </w:p>
        </w:tc>
        <w:tc>
          <w:tcPr>
            <w:tcW w:w="115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立案庭</w:t>
            </w:r>
          </w:p>
        </w:tc>
        <w:tc>
          <w:tcPr>
            <w:tcW w:w="115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民一庭</w:t>
            </w:r>
          </w:p>
        </w:tc>
        <w:tc>
          <w:tcPr>
            <w:tcW w:w="115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民二庭</w:t>
            </w:r>
          </w:p>
        </w:tc>
        <w:tc>
          <w:tcPr>
            <w:tcW w:w="115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民三庭</w:t>
            </w:r>
          </w:p>
        </w:tc>
        <w:tc>
          <w:tcPr>
            <w:tcW w:w="115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115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115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115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115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115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115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总计</w:t>
            </w:r>
          </w:p>
        </w:tc>
        <w:tc>
          <w:tcPr>
            <w:tcW w:w="115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各业务部门未结案情况如下：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注：本通报数据来自于天津市法院案件信息管理系统、天津法院应用数据平台和人民法院执行指挥中心综合管理平台，统计时间范围为2023年1月1日-2023年1月31日。按照市高院统计口径，自2021年12月1日起，执保、执恢案件不纳入统计范围，本通报中全院整体收、结案等情况，均未计算执保、执恢案件，执行法官办案情况数据，包含执保、执恢案件。</w:t>
      </w:r>
    </w:p>
    <w:sectPr>
      <w:footerReference r:id="rId7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@等线">
    <w:altName w:val="微软雅黑"/>
    <w:panose1 w:val="00000000000000000000"/>
    <w:charset w:val="00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center"/>
      <w:rPr>
        <w:rFonts w:hint="eastAsia" w:eastAsia="宋体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center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5285105" cy="528320"/>
          <wp:effectExtent l="0" t="0" r="10795" b="5080"/>
          <wp:docPr id="2" name="图片 2" descr="未标题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未标题-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85105" cy="5283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83B09"/>
    <w:multiLevelType w:val="singleLevel"/>
    <w:tmpl w:val="5D083B09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D083C15"/>
    <w:multiLevelType w:val="multilevel"/>
    <w:tmpl w:val="5D083C15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5D083C35"/>
    <w:multiLevelType w:val="singleLevel"/>
    <w:tmpl w:val="5D083C35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5D083C54"/>
    <w:multiLevelType w:val="singleLevel"/>
    <w:tmpl w:val="5D083C54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5D083C7E"/>
    <w:multiLevelType w:val="singleLevel"/>
    <w:tmpl w:val="5D083C7E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5D0841C9"/>
    <w:multiLevelType w:val="singleLevel"/>
    <w:tmpl w:val="5D0841C9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6">
    <w:nsid w:val="5D084276"/>
    <w:multiLevelType w:val="singleLevel"/>
    <w:tmpl w:val="5D084276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7">
    <w:nsid w:val="5D084297"/>
    <w:multiLevelType w:val="multilevel"/>
    <w:tmpl w:val="5D084297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8">
    <w:nsid w:val="5D0842C8"/>
    <w:multiLevelType w:val="singleLevel"/>
    <w:tmpl w:val="5D0842C8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9">
    <w:nsid w:val="5D118D3A"/>
    <w:multiLevelType w:val="singleLevel"/>
    <w:tmpl w:val="5D118D3A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0">
    <w:nsid w:val="620C50B4"/>
    <w:multiLevelType w:val="singleLevel"/>
    <w:tmpl w:val="620C50B4"/>
    <w:lvl w:ilvl="0" w:tentative="0">
      <w:start w:val="6"/>
      <w:numFmt w:val="decimal"/>
      <w:suff w:val="nothing"/>
      <w:lvlText w:val="%1."/>
      <w:lvlJc w:val="left"/>
    </w:lvl>
  </w:abstractNum>
  <w:abstractNum w:abstractNumId="11">
    <w:nsid w:val="63E5B87F"/>
    <w:multiLevelType w:val="singleLevel"/>
    <w:tmpl w:val="63E5B87F"/>
    <w:lvl w:ilvl="0" w:tentative="0">
      <w:start w:val="3"/>
      <w:numFmt w:val="chineseCounting"/>
      <w:suff w:val="nothing"/>
      <w:lvlText w:val="%1、"/>
      <w:lvlJc w:val="left"/>
    </w:lvl>
  </w:abstractNum>
  <w:abstractNum w:abstractNumId="12">
    <w:nsid w:val="63E5C27F"/>
    <w:multiLevelType w:val="singleLevel"/>
    <w:tmpl w:val="63E5C27F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0C3B"/>
    <w:rsid w:val="0047323E"/>
    <w:rsid w:val="005C1752"/>
    <w:rsid w:val="009E5B0E"/>
    <w:rsid w:val="00FE5F69"/>
    <w:rsid w:val="010F7D91"/>
    <w:rsid w:val="01205BF4"/>
    <w:rsid w:val="012E535B"/>
    <w:rsid w:val="01312184"/>
    <w:rsid w:val="0156501D"/>
    <w:rsid w:val="01E3066B"/>
    <w:rsid w:val="01F12F08"/>
    <w:rsid w:val="02036420"/>
    <w:rsid w:val="02226A50"/>
    <w:rsid w:val="025817E2"/>
    <w:rsid w:val="02632665"/>
    <w:rsid w:val="0289535A"/>
    <w:rsid w:val="02904496"/>
    <w:rsid w:val="02BE2689"/>
    <w:rsid w:val="02D62D63"/>
    <w:rsid w:val="02D6673C"/>
    <w:rsid w:val="02ED715B"/>
    <w:rsid w:val="02FA63E7"/>
    <w:rsid w:val="02FB2DE0"/>
    <w:rsid w:val="0312332D"/>
    <w:rsid w:val="0320243C"/>
    <w:rsid w:val="0337444E"/>
    <w:rsid w:val="03487574"/>
    <w:rsid w:val="034F4B47"/>
    <w:rsid w:val="038B24A4"/>
    <w:rsid w:val="03985A8B"/>
    <w:rsid w:val="03A02E44"/>
    <w:rsid w:val="03C52F9E"/>
    <w:rsid w:val="03DE27DA"/>
    <w:rsid w:val="03EF32B9"/>
    <w:rsid w:val="03F52403"/>
    <w:rsid w:val="04135B58"/>
    <w:rsid w:val="041D4A76"/>
    <w:rsid w:val="04457ED3"/>
    <w:rsid w:val="045710A5"/>
    <w:rsid w:val="046B1188"/>
    <w:rsid w:val="04DB5507"/>
    <w:rsid w:val="055C0E3C"/>
    <w:rsid w:val="05794F30"/>
    <w:rsid w:val="05965B43"/>
    <w:rsid w:val="059B3457"/>
    <w:rsid w:val="05B87A9E"/>
    <w:rsid w:val="05C021FE"/>
    <w:rsid w:val="05C04DB9"/>
    <w:rsid w:val="05C434E6"/>
    <w:rsid w:val="05FF2D30"/>
    <w:rsid w:val="06452F22"/>
    <w:rsid w:val="06576074"/>
    <w:rsid w:val="06627A41"/>
    <w:rsid w:val="066772EC"/>
    <w:rsid w:val="066F38CF"/>
    <w:rsid w:val="0683453B"/>
    <w:rsid w:val="069F7B64"/>
    <w:rsid w:val="06A0237B"/>
    <w:rsid w:val="06B60C1A"/>
    <w:rsid w:val="06D15F8E"/>
    <w:rsid w:val="072D3FF0"/>
    <w:rsid w:val="073C6D25"/>
    <w:rsid w:val="074B6CBB"/>
    <w:rsid w:val="078372A7"/>
    <w:rsid w:val="078D7FA4"/>
    <w:rsid w:val="07A437A9"/>
    <w:rsid w:val="07C075F3"/>
    <w:rsid w:val="07D3221E"/>
    <w:rsid w:val="07F80DA2"/>
    <w:rsid w:val="080F518D"/>
    <w:rsid w:val="08102390"/>
    <w:rsid w:val="0846062F"/>
    <w:rsid w:val="08552616"/>
    <w:rsid w:val="0860304D"/>
    <w:rsid w:val="0878672E"/>
    <w:rsid w:val="087B57C8"/>
    <w:rsid w:val="0894237F"/>
    <w:rsid w:val="08C60F1E"/>
    <w:rsid w:val="08D31F7C"/>
    <w:rsid w:val="08ED72C2"/>
    <w:rsid w:val="09407981"/>
    <w:rsid w:val="09434C5B"/>
    <w:rsid w:val="09437EDC"/>
    <w:rsid w:val="0957794C"/>
    <w:rsid w:val="095E6C83"/>
    <w:rsid w:val="09654925"/>
    <w:rsid w:val="0986527C"/>
    <w:rsid w:val="09883CB2"/>
    <w:rsid w:val="09983899"/>
    <w:rsid w:val="099A2006"/>
    <w:rsid w:val="09E74F83"/>
    <w:rsid w:val="0A277D2E"/>
    <w:rsid w:val="0A3D2E3C"/>
    <w:rsid w:val="0A922C69"/>
    <w:rsid w:val="0AD84A16"/>
    <w:rsid w:val="0ADF346D"/>
    <w:rsid w:val="0AF65D83"/>
    <w:rsid w:val="0AFA03C8"/>
    <w:rsid w:val="0AFE2579"/>
    <w:rsid w:val="0B043FF6"/>
    <w:rsid w:val="0B0B5D53"/>
    <w:rsid w:val="0B434E49"/>
    <w:rsid w:val="0B521240"/>
    <w:rsid w:val="0B59566D"/>
    <w:rsid w:val="0B69740A"/>
    <w:rsid w:val="0B8C6BF8"/>
    <w:rsid w:val="0BB671B7"/>
    <w:rsid w:val="0BC71992"/>
    <w:rsid w:val="0BD13AFB"/>
    <w:rsid w:val="0BE25038"/>
    <w:rsid w:val="0C0A720A"/>
    <w:rsid w:val="0C1A70D1"/>
    <w:rsid w:val="0C357FEA"/>
    <w:rsid w:val="0C6831DB"/>
    <w:rsid w:val="0C6909A2"/>
    <w:rsid w:val="0CA26FA0"/>
    <w:rsid w:val="0CB044F5"/>
    <w:rsid w:val="0CB0694C"/>
    <w:rsid w:val="0CB6605F"/>
    <w:rsid w:val="0CCF117E"/>
    <w:rsid w:val="0CD10033"/>
    <w:rsid w:val="0D1E5A9B"/>
    <w:rsid w:val="0D337854"/>
    <w:rsid w:val="0D4F2634"/>
    <w:rsid w:val="0D7D1211"/>
    <w:rsid w:val="0DA20E8F"/>
    <w:rsid w:val="0DAA4EFA"/>
    <w:rsid w:val="0DB05A5D"/>
    <w:rsid w:val="0DD40F9C"/>
    <w:rsid w:val="0DD85D64"/>
    <w:rsid w:val="0DE56FD4"/>
    <w:rsid w:val="0E157CFB"/>
    <w:rsid w:val="0E43322B"/>
    <w:rsid w:val="0E466821"/>
    <w:rsid w:val="0E4D3F90"/>
    <w:rsid w:val="0E5A6F5F"/>
    <w:rsid w:val="0E5D7144"/>
    <w:rsid w:val="0E5F3AC4"/>
    <w:rsid w:val="0E71715C"/>
    <w:rsid w:val="0E7A7DBC"/>
    <w:rsid w:val="0E8F4244"/>
    <w:rsid w:val="0ED42D9D"/>
    <w:rsid w:val="0ED94C5F"/>
    <w:rsid w:val="0EDB6381"/>
    <w:rsid w:val="0F0C1CE5"/>
    <w:rsid w:val="0F1270B7"/>
    <w:rsid w:val="0F173E1F"/>
    <w:rsid w:val="0F197131"/>
    <w:rsid w:val="0F555E13"/>
    <w:rsid w:val="0F560FF6"/>
    <w:rsid w:val="0F5870EE"/>
    <w:rsid w:val="0F6419F7"/>
    <w:rsid w:val="0F73372C"/>
    <w:rsid w:val="0F831617"/>
    <w:rsid w:val="0F8446A0"/>
    <w:rsid w:val="0F8B7E40"/>
    <w:rsid w:val="0FA83025"/>
    <w:rsid w:val="0FAF25EE"/>
    <w:rsid w:val="0FB1576D"/>
    <w:rsid w:val="0FD64968"/>
    <w:rsid w:val="0FE0074E"/>
    <w:rsid w:val="0FF71E47"/>
    <w:rsid w:val="101D2B67"/>
    <w:rsid w:val="101D372E"/>
    <w:rsid w:val="102078EE"/>
    <w:rsid w:val="10537882"/>
    <w:rsid w:val="105F3CED"/>
    <w:rsid w:val="107C5934"/>
    <w:rsid w:val="108071AA"/>
    <w:rsid w:val="10946C21"/>
    <w:rsid w:val="10976EDE"/>
    <w:rsid w:val="10AF3225"/>
    <w:rsid w:val="10C17839"/>
    <w:rsid w:val="10C928F2"/>
    <w:rsid w:val="10F24E5B"/>
    <w:rsid w:val="10F35BC2"/>
    <w:rsid w:val="111203B9"/>
    <w:rsid w:val="11195503"/>
    <w:rsid w:val="111E24EC"/>
    <w:rsid w:val="113F135E"/>
    <w:rsid w:val="1142191B"/>
    <w:rsid w:val="116078F2"/>
    <w:rsid w:val="119E2B18"/>
    <w:rsid w:val="119F1995"/>
    <w:rsid w:val="11BB6BC0"/>
    <w:rsid w:val="11BD2A7E"/>
    <w:rsid w:val="11CC4C86"/>
    <w:rsid w:val="11F23FF3"/>
    <w:rsid w:val="11F81F96"/>
    <w:rsid w:val="120370B2"/>
    <w:rsid w:val="120375B9"/>
    <w:rsid w:val="120C6072"/>
    <w:rsid w:val="12204CAB"/>
    <w:rsid w:val="123F4648"/>
    <w:rsid w:val="12493B9B"/>
    <w:rsid w:val="12527267"/>
    <w:rsid w:val="12697ADC"/>
    <w:rsid w:val="12755207"/>
    <w:rsid w:val="128106EF"/>
    <w:rsid w:val="12A1068E"/>
    <w:rsid w:val="12B651F0"/>
    <w:rsid w:val="12B87579"/>
    <w:rsid w:val="12C13E43"/>
    <w:rsid w:val="12CB2356"/>
    <w:rsid w:val="12D72BA1"/>
    <w:rsid w:val="12F13D55"/>
    <w:rsid w:val="130C0A5F"/>
    <w:rsid w:val="1321030B"/>
    <w:rsid w:val="135518D1"/>
    <w:rsid w:val="13555281"/>
    <w:rsid w:val="13586C49"/>
    <w:rsid w:val="13955A7E"/>
    <w:rsid w:val="13CD2B8E"/>
    <w:rsid w:val="13E107B2"/>
    <w:rsid w:val="141617CC"/>
    <w:rsid w:val="141F41F3"/>
    <w:rsid w:val="142047CA"/>
    <w:rsid w:val="142645FD"/>
    <w:rsid w:val="145257A2"/>
    <w:rsid w:val="145A41C6"/>
    <w:rsid w:val="14891C70"/>
    <w:rsid w:val="149514F1"/>
    <w:rsid w:val="14A1005F"/>
    <w:rsid w:val="14B43385"/>
    <w:rsid w:val="14BB7546"/>
    <w:rsid w:val="14C1236F"/>
    <w:rsid w:val="14E45E2D"/>
    <w:rsid w:val="15223D4E"/>
    <w:rsid w:val="152549D0"/>
    <w:rsid w:val="15300517"/>
    <w:rsid w:val="15584DF9"/>
    <w:rsid w:val="15587D3A"/>
    <w:rsid w:val="1561667B"/>
    <w:rsid w:val="15823485"/>
    <w:rsid w:val="158E7E3F"/>
    <w:rsid w:val="15DB6CBD"/>
    <w:rsid w:val="15ED771F"/>
    <w:rsid w:val="15F743EB"/>
    <w:rsid w:val="16125438"/>
    <w:rsid w:val="162E7982"/>
    <w:rsid w:val="163111E7"/>
    <w:rsid w:val="16403248"/>
    <w:rsid w:val="16411BC6"/>
    <w:rsid w:val="164E4CDB"/>
    <w:rsid w:val="167C0A85"/>
    <w:rsid w:val="16DF554D"/>
    <w:rsid w:val="175831B5"/>
    <w:rsid w:val="176631C2"/>
    <w:rsid w:val="17746175"/>
    <w:rsid w:val="178163BD"/>
    <w:rsid w:val="17B00FAD"/>
    <w:rsid w:val="17BE2FC1"/>
    <w:rsid w:val="180065EE"/>
    <w:rsid w:val="18472652"/>
    <w:rsid w:val="185846FA"/>
    <w:rsid w:val="1859380C"/>
    <w:rsid w:val="1865697F"/>
    <w:rsid w:val="18733CCD"/>
    <w:rsid w:val="18956F55"/>
    <w:rsid w:val="18A96D33"/>
    <w:rsid w:val="18AD069E"/>
    <w:rsid w:val="18B966C4"/>
    <w:rsid w:val="18C32904"/>
    <w:rsid w:val="18D74295"/>
    <w:rsid w:val="18EE0E90"/>
    <w:rsid w:val="18F6189B"/>
    <w:rsid w:val="1930652D"/>
    <w:rsid w:val="19544FF1"/>
    <w:rsid w:val="19823C1E"/>
    <w:rsid w:val="19844B65"/>
    <w:rsid w:val="198453CB"/>
    <w:rsid w:val="19B370CF"/>
    <w:rsid w:val="19BC5F6A"/>
    <w:rsid w:val="19EA440D"/>
    <w:rsid w:val="1A0225DC"/>
    <w:rsid w:val="1A0659E4"/>
    <w:rsid w:val="1A464491"/>
    <w:rsid w:val="1A5729DF"/>
    <w:rsid w:val="1A5F4954"/>
    <w:rsid w:val="1AAB63A2"/>
    <w:rsid w:val="1AB646EF"/>
    <w:rsid w:val="1AD05B23"/>
    <w:rsid w:val="1AD4604F"/>
    <w:rsid w:val="1B097BB4"/>
    <w:rsid w:val="1B130E47"/>
    <w:rsid w:val="1B1B3978"/>
    <w:rsid w:val="1B2F6088"/>
    <w:rsid w:val="1B3E11DE"/>
    <w:rsid w:val="1B4C1616"/>
    <w:rsid w:val="1B8A1016"/>
    <w:rsid w:val="1BA35A81"/>
    <w:rsid w:val="1BC85E5B"/>
    <w:rsid w:val="1BCB632F"/>
    <w:rsid w:val="1BE93692"/>
    <w:rsid w:val="1C136886"/>
    <w:rsid w:val="1C210056"/>
    <w:rsid w:val="1C2E21F7"/>
    <w:rsid w:val="1C3E5724"/>
    <w:rsid w:val="1C4C15DB"/>
    <w:rsid w:val="1C60698D"/>
    <w:rsid w:val="1C6543D9"/>
    <w:rsid w:val="1C7F34DE"/>
    <w:rsid w:val="1C8A2255"/>
    <w:rsid w:val="1C9F1762"/>
    <w:rsid w:val="1CA202CC"/>
    <w:rsid w:val="1CAE782F"/>
    <w:rsid w:val="1CB22DDE"/>
    <w:rsid w:val="1D0200D0"/>
    <w:rsid w:val="1D0C38D4"/>
    <w:rsid w:val="1D32711B"/>
    <w:rsid w:val="1D3E6200"/>
    <w:rsid w:val="1D495A17"/>
    <w:rsid w:val="1D4D31CD"/>
    <w:rsid w:val="1DA3671E"/>
    <w:rsid w:val="1DA50496"/>
    <w:rsid w:val="1DAF4CE8"/>
    <w:rsid w:val="1DC573F7"/>
    <w:rsid w:val="1DD637AC"/>
    <w:rsid w:val="1DD824E1"/>
    <w:rsid w:val="1DFF5C08"/>
    <w:rsid w:val="1E0A7CE0"/>
    <w:rsid w:val="1E20691E"/>
    <w:rsid w:val="1E206D28"/>
    <w:rsid w:val="1E456274"/>
    <w:rsid w:val="1E65759A"/>
    <w:rsid w:val="1E7E79C4"/>
    <w:rsid w:val="1E934130"/>
    <w:rsid w:val="1F014DC3"/>
    <w:rsid w:val="1F3B6041"/>
    <w:rsid w:val="1F4B2927"/>
    <w:rsid w:val="1F654D57"/>
    <w:rsid w:val="1F6E68D6"/>
    <w:rsid w:val="1F7415A7"/>
    <w:rsid w:val="1F905FD0"/>
    <w:rsid w:val="1FA27BCD"/>
    <w:rsid w:val="1FCE53C7"/>
    <w:rsid w:val="1FFD307D"/>
    <w:rsid w:val="201D4027"/>
    <w:rsid w:val="20305B62"/>
    <w:rsid w:val="208D6F48"/>
    <w:rsid w:val="209450E5"/>
    <w:rsid w:val="20A57BB4"/>
    <w:rsid w:val="20AF5B5F"/>
    <w:rsid w:val="20BA7178"/>
    <w:rsid w:val="20C41BC3"/>
    <w:rsid w:val="20DA149F"/>
    <w:rsid w:val="20DE70B1"/>
    <w:rsid w:val="210B31DE"/>
    <w:rsid w:val="210E692D"/>
    <w:rsid w:val="213635D1"/>
    <w:rsid w:val="215B40D2"/>
    <w:rsid w:val="21715483"/>
    <w:rsid w:val="21B23724"/>
    <w:rsid w:val="21B6073A"/>
    <w:rsid w:val="21BC56EB"/>
    <w:rsid w:val="21E04260"/>
    <w:rsid w:val="2207796E"/>
    <w:rsid w:val="220A1A61"/>
    <w:rsid w:val="222B4C60"/>
    <w:rsid w:val="222D63FB"/>
    <w:rsid w:val="22363A63"/>
    <w:rsid w:val="22710AB3"/>
    <w:rsid w:val="229B3685"/>
    <w:rsid w:val="22B062B6"/>
    <w:rsid w:val="22D062A7"/>
    <w:rsid w:val="22D17220"/>
    <w:rsid w:val="22EF54B8"/>
    <w:rsid w:val="23081957"/>
    <w:rsid w:val="23213A3C"/>
    <w:rsid w:val="23336710"/>
    <w:rsid w:val="23525C94"/>
    <w:rsid w:val="235859B4"/>
    <w:rsid w:val="236C4A04"/>
    <w:rsid w:val="23725835"/>
    <w:rsid w:val="23BC13C8"/>
    <w:rsid w:val="23BD6580"/>
    <w:rsid w:val="23DC65B8"/>
    <w:rsid w:val="240B5491"/>
    <w:rsid w:val="24326239"/>
    <w:rsid w:val="24366A7A"/>
    <w:rsid w:val="24632117"/>
    <w:rsid w:val="248F2665"/>
    <w:rsid w:val="24944426"/>
    <w:rsid w:val="24AB1E61"/>
    <w:rsid w:val="24AE659E"/>
    <w:rsid w:val="24AF1CD4"/>
    <w:rsid w:val="24C17881"/>
    <w:rsid w:val="24C8706D"/>
    <w:rsid w:val="24CF77E6"/>
    <w:rsid w:val="24D33D1E"/>
    <w:rsid w:val="24D954F7"/>
    <w:rsid w:val="24DD27AE"/>
    <w:rsid w:val="24DD4B08"/>
    <w:rsid w:val="252D1E7E"/>
    <w:rsid w:val="2545716F"/>
    <w:rsid w:val="25535137"/>
    <w:rsid w:val="255E6949"/>
    <w:rsid w:val="25612DBC"/>
    <w:rsid w:val="258B51CB"/>
    <w:rsid w:val="259169B0"/>
    <w:rsid w:val="25944CCC"/>
    <w:rsid w:val="25953528"/>
    <w:rsid w:val="259E25B4"/>
    <w:rsid w:val="25A84BF8"/>
    <w:rsid w:val="25B53A56"/>
    <w:rsid w:val="25C06C31"/>
    <w:rsid w:val="25CB092B"/>
    <w:rsid w:val="25D90EFF"/>
    <w:rsid w:val="25F948A7"/>
    <w:rsid w:val="26025E7E"/>
    <w:rsid w:val="2606286E"/>
    <w:rsid w:val="260D7369"/>
    <w:rsid w:val="26493EBA"/>
    <w:rsid w:val="26576AF7"/>
    <w:rsid w:val="265C57B9"/>
    <w:rsid w:val="26985939"/>
    <w:rsid w:val="26AD164C"/>
    <w:rsid w:val="26D05520"/>
    <w:rsid w:val="26F525D6"/>
    <w:rsid w:val="2714284B"/>
    <w:rsid w:val="2720523F"/>
    <w:rsid w:val="27266CFD"/>
    <w:rsid w:val="272C1E16"/>
    <w:rsid w:val="273F0C68"/>
    <w:rsid w:val="274E3F0F"/>
    <w:rsid w:val="275C2C71"/>
    <w:rsid w:val="276950C3"/>
    <w:rsid w:val="27797E50"/>
    <w:rsid w:val="277B13A0"/>
    <w:rsid w:val="279C1551"/>
    <w:rsid w:val="27DC4EF0"/>
    <w:rsid w:val="27DD3090"/>
    <w:rsid w:val="27E76E1D"/>
    <w:rsid w:val="27E830A0"/>
    <w:rsid w:val="27F67EDE"/>
    <w:rsid w:val="27FE6EA1"/>
    <w:rsid w:val="2802176D"/>
    <w:rsid w:val="28431D04"/>
    <w:rsid w:val="284A383F"/>
    <w:rsid w:val="28711088"/>
    <w:rsid w:val="28721B19"/>
    <w:rsid w:val="28803DC6"/>
    <w:rsid w:val="2889553F"/>
    <w:rsid w:val="28C441F9"/>
    <w:rsid w:val="29127FE7"/>
    <w:rsid w:val="293D119F"/>
    <w:rsid w:val="294219CD"/>
    <w:rsid w:val="2952471F"/>
    <w:rsid w:val="29B63F87"/>
    <w:rsid w:val="29C31918"/>
    <w:rsid w:val="29D514F4"/>
    <w:rsid w:val="2A1D3C1B"/>
    <w:rsid w:val="2A8E31C8"/>
    <w:rsid w:val="2A914F76"/>
    <w:rsid w:val="2AE07F75"/>
    <w:rsid w:val="2AEB110A"/>
    <w:rsid w:val="2B09194D"/>
    <w:rsid w:val="2B3A63B7"/>
    <w:rsid w:val="2B4F7A09"/>
    <w:rsid w:val="2B730097"/>
    <w:rsid w:val="2B78085C"/>
    <w:rsid w:val="2B7B7451"/>
    <w:rsid w:val="2B8B2375"/>
    <w:rsid w:val="2BCD7D7D"/>
    <w:rsid w:val="2BE33EDC"/>
    <w:rsid w:val="2BEA5C55"/>
    <w:rsid w:val="2BEC6B37"/>
    <w:rsid w:val="2C163955"/>
    <w:rsid w:val="2C372345"/>
    <w:rsid w:val="2C38092D"/>
    <w:rsid w:val="2C3D6C49"/>
    <w:rsid w:val="2C647122"/>
    <w:rsid w:val="2CB32F88"/>
    <w:rsid w:val="2CDB4270"/>
    <w:rsid w:val="2D0551A8"/>
    <w:rsid w:val="2D0B05A7"/>
    <w:rsid w:val="2D3E746A"/>
    <w:rsid w:val="2D4C0AE1"/>
    <w:rsid w:val="2D590172"/>
    <w:rsid w:val="2D7F21FC"/>
    <w:rsid w:val="2DA459CB"/>
    <w:rsid w:val="2DE20300"/>
    <w:rsid w:val="2DF32404"/>
    <w:rsid w:val="2DFD4E1F"/>
    <w:rsid w:val="2E1B5564"/>
    <w:rsid w:val="2E34154F"/>
    <w:rsid w:val="2E5379F3"/>
    <w:rsid w:val="2E65441A"/>
    <w:rsid w:val="2E7A5A57"/>
    <w:rsid w:val="2E8763AE"/>
    <w:rsid w:val="2E883CB6"/>
    <w:rsid w:val="2E8D5DD8"/>
    <w:rsid w:val="2EA32A77"/>
    <w:rsid w:val="2EB63C48"/>
    <w:rsid w:val="2ED670FD"/>
    <w:rsid w:val="2ED76DFA"/>
    <w:rsid w:val="2ED97500"/>
    <w:rsid w:val="2EDE25DF"/>
    <w:rsid w:val="2EE631A5"/>
    <w:rsid w:val="2F074824"/>
    <w:rsid w:val="2F281AE6"/>
    <w:rsid w:val="2FC0189F"/>
    <w:rsid w:val="2FC93219"/>
    <w:rsid w:val="2FF33276"/>
    <w:rsid w:val="2FF42116"/>
    <w:rsid w:val="30493E0F"/>
    <w:rsid w:val="307743D2"/>
    <w:rsid w:val="30844309"/>
    <w:rsid w:val="308C3BE8"/>
    <w:rsid w:val="30DC38D1"/>
    <w:rsid w:val="3101411C"/>
    <w:rsid w:val="310F3301"/>
    <w:rsid w:val="311D6224"/>
    <w:rsid w:val="31341F44"/>
    <w:rsid w:val="31357A0C"/>
    <w:rsid w:val="3144084C"/>
    <w:rsid w:val="31541436"/>
    <w:rsid w:val="31614F65"/>
    <w:rsid w:val="318707BB"/>
    <w:rsid w:val="318B52ED"/>
    <w:rsid w:val="31A5018B"/>
    <w:rsid w:val="31CA3424"/>
    <w:rsid w:val="31D0151F"/>
    <w:rsid w:val="320A7EE1"/>
    <w:rsid w:val="32143C72"/>
    <w:rsid w:val="32204480"/>
    <w:rsid w:val="322B481D"/>
    <w:rsid w:val="323A0390"/>
    <w:rsid w:val="32583DB7"/>
    <w:rsid w:val="327B5A56"/>
    <w:rsid w:val="32C02AB5"/>
    <w:rsid w:val="32CE500E"/>
    <w:rsid w:val="32E131B1"/>
    <w:rsid w:val="32F419E3"/>
    <w:rsid w:val="32F8211D"/>
    <w:rsid w:val="32FD2CCF"/>
    <w:rsid w:val="330D396D"/>
    <w:rsid w:val="334076EE"/>
    <w:rsid w:val="33712D56"/>
    <w:rsid w:val="3381675A"/>
    <w:rsid w:val="338C0DF7"/>
    <w:rsid w:val="339A09D5"/>
    <w:rsid w:val="33CA413D"/>
    <w:rsid w:val="33EC05AE"/>
    <w:rsid w:val="3415483A"/>
    <w:rsid w:val="34660C84"/>
    <w:rsid w:val="347643E6"/>
    <w:rsid w:val="3484493E"/>
    <w:rsid w:val="34C60B6E"/>
    <w:rsid w:val="34D7146B"/>
    <w:rsid w:val="34FC1383"/>
    <w:rsid w:val="35101180"/>
    <w:rsid w:val="3531479A"/>
    <w:rsid w:val="35361E22"/>
    <w:rsid w:val="3539617D"/>
    <w:rsid w:val="35465FCC"/>
    <w:rsid w:val="35564430"/>
    <w:rsid w:val="35821D30"/>
    <w:rsid w:val="358A6B52"/>
    <w:rsid w:val="35A734CE"/>
    <w:rsid w:val="35B83F94"/>
    <w:rsid w:val="35BA0DA5"/>
    <w:rsid w:val="35C23C03"/>
    <w:rsid w:val="35D54A00"/>
    <w:rsid w:val="35E40318"/>
    <w:rsid w:val="35FB7336"/>
    <w:rsid w:val="36046DCE"/>
    <w:rsid w:val="363406F3"/>
    <w:rsid w:val="36672F7E"/>
    <w:rsid w:val="367F3A3C"/>
    <w:rsid w:val="368D7708"/>
    <w:rsid w:val="36AC3F9E"/>
    <w:rsid w:val="36B12197"/>
    <w:rsid w:val="36D70DD4"/>
    <w:rsid w:val="36F84A1E"/>
    <w:rsid w:val="3755309F"/>
    <w:rsid w:val="37654D92"/>
    <w:rsid w:val="376B5629"/>
    <w:rsid w:val="377674AF"/>
    <w:rsid w:val="37955508"/>
    <w:rsid w:val="37DC0A6B"/>
    <w:rsid w:val="37DE6BCC"/>
    <w:rsid w:val="37F44321"/>
    <w:rsid w:val="38077953"/>
    <w:rsid w:val="38270610"/>
    <w:rsid w:val="385B43C1"/>
    <w:rsid w:val="386A0DEF"/>
    <w:rsid w:val="388A64BC"/>
    <w:rsid w:val="38AA35A8"/>
    <w:rsid w:val="38D17C84"/>
    <w:rsid w:val="38E05EA8"/>
    <w:rsid w:val="38E77FB6"/>
    <w:rsid w:val="38E84214"/>
    <w:rsid w:val="390867E9"/>
    <w:rsid w:val="39431A84"/>
    <w:rsid w:val="394D1C22"/>
    <w:rsid w:val="395E7A50"/>
    <w:rsid w:val="39660AA6"/>
    <w:rsid w:val="39720ACE"/>
    <w:rsid w:val="39C624C4"/>
    <w:rsid w:val="39F528C3"/>
    <w:rsid w:val="3A215982"/>
    <w:rsid w:val="3A252528"/>
    <w:rsid w:val="3A2714E7"/>
    <w:rsid w:val="3A4B135E"/>
    <w:rsid w:val="3A593BB3"/>
    <w:rsid w:val="3A630952"/>
    <w:rsid w:val="3A7D3443"/>
    <w:rsid w:val="3A951CC0"/>
    <w:rsid w:val="3ABD312B"/>
    <w:rsid w:val="3AC000F1"/>
    <w:rsid w:val="3AF51A20"/>
    <w:rsid w:val="3B0D0DA9"/>
    <w:rsid w:val="3B3778CE"/>
    <w:rsid w:val="3B39602D"/>
    <w:rsid w:val="3B4C7F11"/>
    <w:rsid w:val="3B6C3DD3"/>
    <w:rsid w:val="3BAA5BEF"/>
    <w:rsid w:val="3BAB32E8"/>
    <w:rsid w:val="3BC42600"/>
    <w:rsid w:val="3BC951AF"/>
    <w:rsid w:val="3BDE17FC"/>
    <w:rsid w:val="3BF34461"/>
    <w:rsid w:val="3BF62BCE"/>
    <w:rsid w:val="3C0D043F"/>
    <w:rsid w:val="3C357AD3"/>
    <w:rsid w:val="3C3A5CA4"/>
    <w:rsid w:val="3C3F2E27"/>
    <w:rsid w:val="3C4A6B37"/>
    <w:rsid w:val="3C623DCE"/>
    <w:rsid w:val="3C663062"/>
    <w:rsid w:val="3C950C55"/>
    <w:rsid w:val="3CFE5421"/>
    <w:rsid w:val="3D334BDE"/>
    <w:rsid w:val="3D4A4AE4"/>
    <w:rsid w:val="3D597D34"/>
    <w:rsid w:val="3D696186"/>
    <w:rsid w:val="3DD31249"/>
    <w:rsid w:val="3DF73F8F"/>
    <w:rsid w:val="3E1C07ED"/>
    <w:rsid w:val="3E4238B3"/>
    <w:rsid w:val="3E7A429E"/>
    <w:rsid w:val="3E81369C"/>
    <w:rsid w:val="3E8E31D2"/>
    <w:rsid w:val="3E964105"/>
    <w:rsid w:val="3ED67AC0"/>
    <w:rsid w:val="3EDE223C"/>
    <w:rsid w:val="3EE62E2D"/>
    <w:rsid w:val="3EFB44E4"/>
    <w:rsid w:val="3F1651F5"/>
    <w:rsid w:val="3F1D13DC"/>
    <w:rsid w:val="3F3B44BD"/>
    <w:rsid w:val="3F40301F"/>
    <w:rsid w:val="3F406F3D"/>
    <w:rsid w:val="3FAA24D5"/>
    <w:rsid w:val="3FC56FCA"/>
    <w:rsid w:val="3FD91DCE"/>
    <w:rsid w:val="3FF91D9E"/>
    <w:rsid w:val="40192973"/>
    <w:rsid w:val="4021449F"/>
    <w:rsid w:val="40325B59"/>
    <w:rsid w:val="40545A2B"/>
    <w:rsid w:val="405817F8"/>
    <w:rsid w:val="407407C1"/>
    <w:rsid w:val="40B00387"/>
    <w:rsid w:val="40C27D68"/>
    <w:rsid w:val="40C82B13"/>
    <w:rsid w:val="40E94864"/>
    <w:rsid w:val="40FF38F4"/>
    <w:rsid w:val="414A180F"/>
    <w:rsid w:val="4156539C"/>
    <w:rsid w:val="41591ACD"/>
    <w:rsid w:val="415F1362"/>
    <w:rsid w:val="417B314A"/>
    <w:rsid w:val="421F5AF0"/>
    <w:rsid w:val="42230CA8"/>
    <w:rsid w:val="424122F6"/>
    <w:rsid w:val="42480094"/>
    <w:rsid w:val="42D13E2B"/>
    <w:rsid w:val="42E735C6"/>
    <w:rsid w:val="43020990"/>
    <w:rsid w:val="430233CB"/>
    <w:rsid w:val="43077AFC"/>
    <w:rsid w:val="43094756"/>
    <w:rsid w:val="430D5731"/>
    <w:rsid w:val="433B2BF7"/>
    <w:rsid w:val="436674E8"/>
    <w:rsid w:val="437B63FB"/>
    <w:rsid w:val="43910263"/>
    <w:rsid w:val="439823CC"/>
    <w:rsid w:val="43D471EC"/>
    <w:rsid w:val="43E52B37"/>
    <w:rsid w:val="44384401"/>
    <w:rsid w:val="44421272"/>
    <w:rsid w:val="445207D7"/>
    <w:rsid w:val="44535ABE"/>
    <w:rsid w:val="446938F8"/>
    <w:rsid w:val="44716080"/>
    <w:rsid w:val="447E4FB9"/>
    <w:rsid w:val="44832187"/>
    <w:rsid w:val="44B4227D"/>
    <w:rsid w:val="44E066FC"/>
    <w:rsid w:val="44EE21D7"/>
    <w:rsid w:val="451F293E"/>
    <w:rsid w:val="453A0EBD"/>
    <w:rsid w:val="454C5B58"/>
    <w:rsid w:val="457354B4"/>
    <w:rsid w:val="457E6DCD"/>
    <w:rsid w:val="459A7F8F"/>
    <w:rsid w:val="459B1104"/>
    <w:rsid w:val="45A367BB"/>
    <w:rsid w:val="45C2380F"/>
    <w:rsid w:val="4606676E"/>
    <w:rsid w:val="46662C93"/>
    <w:rsid w:val="46667FCB"/>
    <w:rsid w:val="46940C56"/>
    <w:rsid w:val="46CC2679"/>
    <w:rsid w:val="46D45C79"/>
    <w:rsid w:val="46D504BF"/>
    <w:rsid w:val="475E1E06"/>
    <w:rsid w:val="47647114"/>
    <w:rsid w:val="47722404"/>
    <w:rsid w:val="47A17A81"/>
    <w:rsid w:val="47A64317"/>
    <w:rsid w:val="47A66614"/>
    <w:rsid w:val="47AB56F7"/>
    <w:rsid w:val="47AD55FC"/>
    <w:rsid w:val="47C53C6B"/>
    <w:rsid w:val="47E514F5"/>
    <w:rsid w:val="47E70951"/>
    <w:rsid w:val="480B59EB"/>
    <w:rsid w:val="480C7559"/>
    <w:rsid w:val="482651C2"/>
    <w:rsid w:val="48290165"/>
    <w:rsid w:val="484E21A5"/>
    <w:rsid w:val="48560CC1"/>
    <w:rsid w:val="485D728D"/>
    <w:rsid w:val="4872197C"/>
    <w:rsid w:val="48752B2C"/>
    <w:rsid w:val="48834E8A"/>
    <w:rsid w:val="488F4DE8"/>
    <w:rsid w:val="48A2526A"/>
    <w:rsid w:val="48A7369F"/>
    <w:rsid w:val="48AF6A2E"/>
    <w:rsid w:val="49025CAB"/>
    <w:rsid w:val="491C0A33"/>
    <w:rsid w:val="491E7E25"/>
    <w:rsid w:val="495201DF"/>
    <w:rsid w:val="49756F5C"/>
    <w:rsid w:val="49CB69EA"/>
    <w:rsid w:val="49CF4FD8"/>
    <w:rsid w:val="49D615AF"/>
    <w:rsid w:val="49D83B74"/>
    <w:rsid w:val="49DA34AA"/>
    <w:rsid w:val="49F31A48"/>
    <w:rsid w:val="49F9463A"/>
    <w:rsid w:val="4A5614B4"/>
    <w:rsid w:val="4AAA5345"/>
    <w:rsid w:val="4AB57614"/>
    <w:rsid w:val="4AC60920"/>
    <w:rsid w:val="4ACD6840"/>
    <w:rsid w:val="4B3210D9"/>
    <w:rsid w:val="4B661589"/>
    <w:rsid w:val="4B794AC0"/>
    <w:rsid w:val="4BD96572"/>
    <w:rsid w:val="4C013741"/>
    <w:rsid w:val="4C180CA8"/>
    <w:rsid w:val="4C2F79E6"/>
    <w:rsid w:val="4C347AB6"/>
    <w:rsid w:val="4C3A7C21"/>
    <w:rsid w:val="4C537934"/>
    <w:rsid w:val="4C6D7BA5"/>
    <w:rsid w:val="4C7B0747"/>
    <w:rsid w:val="4CBB1390"/>
    <w:rsid w:val="4CE55900"/>
    <w:rsid w:val="4CF50B99"/>
    <w:rsid w:val="4D0766C3"/>
    <w:rsid w:val="4D19454F"/>
    <w:rsid w:val="4D325025"/>
    <w:rsid w:val="4D34626E"/>
    <w:rsid w:val="4D3848B5"/>
    <w:rsid w:val="4D3D0BD8"/>
    <w:rsid w:val="4D68506B"/>
    <w:rsid w:val="4D7C5048"/>
    <w:rsid w:val="4D85576D"/>
    <w:rsid w:val="4D9B00DC"/>
    <w:rsid w:val="4DBD78CF"/>
    <w:rsid w:val="4E123328"/>
    <w:rsid w:val="4E331F5D"/>
    <w:rsid w:val="4E3E2DB1"/>
    <w:rsid w:val="4E4272B7"/>
    <w:rsid w:val="4E593BA7"/>
    <w:rsid w:val="4E8D2410"/>
    <w:rsid w:val="4E950E43"/>
    <w:rsid w:val="4E9D55E2"/>
    <w:rsid w:val="4F0260DE"/>
    <w:rsid w:val="4F106E8A"/>
    <w:rsid w:val="4F61636B"/>
    <w:rsid w:val="4F821E02"/>
    <w:rsid w:val="4F821F92"/>
    <w:rsid w:val="4F9807D0"/>
    <w:rsid w:val="4FB16664"/>
    <w:rsid w:val="4FD325E4"/>
    <w:rsid w:val="50273BC4"/>
    <w:rsid w:val="50461AE0"/>
    <w:rsid w:val="511D701B"/>
    <w:rsid w:val="512079DB"/>
    <w:rsid w:val="512626F1"/>
    <w:rsid w:val="51284FD0"/>
    <w:rsid w:val="51287CBE"/>
    <w:rsid w:val="512B5E91"/>
    <w:rsid w:val="51326D35"/>
    <w:rsid w:val="5134749C"/>
    <w:rsid w:val="51393E11"/>
    <w:rsid w:val="516C3750"/>
    <w:rsid w:val="517136F7"/>
    <w:rsid w:val="51A02C8C"/>
    <w:rsid w:val="51A64E47"/>
    <w:rsid w:val="51A8329B"/>
    <w:rsid w:val="51AD50B7"/>
    <w:rsid w:val="51BD264C"/>
    <w:rsid w:val="51D21BAB"/>
    <w:rsid w:val="51D70A45"/>
    <w:rsid w:val="5213324C"/>
    <w:rsid w:val="52176A1E"/>
    <w:rsid w:val="523703BE"/>
    <w:rsid w:val="52372641"/>
    <w:rsid w:val="52655E85"/>
    <w:rsid w:val="52962E07"/>
    <w:rsid w:val="529C32F6"/>
    <w:rsid w:val="52C81A4B"/>
    <w:rsid w:val="52EF023C"/>
    <w:rsid w:val="53086D48"/>
    <w:rsid w:val="530F62AB"/>
    <w:rsid w:val="531B510F"/>
    <w:rsid w:val="53281F45"/>
    <w:rsid w:val="533B28ED"/>
    <w:rsid w:val="53470989"/>
    <w:rsid w:val="53514436"/>
    <w:rsid w:val="5364129E"/>
    <w:rsid w:val="53666E8C"/>
    <w:rsid w:val="5386499D"/>
    <w:rsid w:val="538A7B9D"/>
    <w:rsid w:val="5394280E"/>
    <w:rsid w:val="542B3BAE"/>
    <w:rsid w:val="543B0BD0"/>
    <w:rsid w:val="544C68EC"/>
    <w:rsid w:val="54505EFF"/>
    <w:rsid w:val="545538AE"/>
    <w:rsid w:val="54716BE2"/>
    <w:rsid w:val="54801F6D"/>
    <w:rsid w:val="54AE6792"/>
    <w:rsid w:val="54B10798"/>
    <w:rsid w:val="54F2628C"/>
    <w:rsid w:val="55167C6B"/>
    <w:rsid w:val="55262BE5"/>
    <w:rsid w:val="5534484A"/>
    <w:rsid w:val="557B5A17"/>
    <w:rsid w:val="557C68CA"/>
    <w:rsid w:val="558D5AFB"/>
    <w:rsid w:val="559E2F34"/>
    <w:rsid w:val="55A40FD9"/>
    <w:rsid w:val="55A54123"/>
    <w:rsid w:val="55B17690"/>
    <w:rsid w:val="55B502C0"/>
    <w:rsid w:val="55D8636C"/>
    <w:rsid w:val="55DE3DBB"/>
    <w:rsid w:val="55F247BA"/>
    <w:rsid w:val="56346B42"/>
    <w:rsid w:val="56370A07"/>
    <w:rsid w:val="564B7D8B"/>
    <w:rsid w:val="564C610E"/>
    <w:rsid w:val="566B77FF"/>
    <w:rsid w:val="56731B7C"/>
    <w:rsid w:val="56A81427"/>
    <w:rsid w:val="56B57144"/>
    <w:rsid w:val="56C36CF8"/>
    <w:rsid w:val="56E5039D"/>
    <w:rsid w:val="570546BA"/>
    <w:rsid w:val="570E027F"/>
    <w:rsid w:val="57202A7F"/>
    <w:rsid w:val="577038D2"/>
    <w:rsid w:val="579857AD"/>
    <w:rsid w:val="57CB4129"/>
    <w:rsid w:val="57E97248"/>
    <w:rsid w:val="57FA001C"/>
    <w:rsid w:val="57FC3D76"/>
    <w:rsid w:val="581F4919"/>
    <w:rsid w:val="58407935"/>
    <w:rsid w:val="587823FB"/>
    <w:rsid w:val="58840DAA"/>
    <w:rsid w:val="58936515"/>
    <w:rsid w:val="58A02B49"/>
    <w:rsid w:val="58BB0F4C"/>
    <w:rsid w:val="58BD5F92"/>
    <w:rsid w:val="59080719"/>
    <w:rsid w:val="591D096F"/>
    <w:rsid w:val="59233183"/>
    <w:rsid w:val="59521022"/>
    <w:rsid w:val="59875CA8"/>
    <w:rsid w:val="598C4499"/>
    <w:rsid w:val="598C45F2"/>
    <w:rsid w:val="599023FC"/>
    <w:rsid w:val="59B94FE3"/>
    <w:rsid w:val="59C74B70"/>
    <w:rsid w:val="59F716BD"/>
    <w:rsid w:val="5A017E02"/>
    <w:rsid w:val="5A1C4817"/>
    <w:rsid w:val="5A2961DE"/>
    <w:rsid w:val="5A4A1307"/>
    <w:rsid w:val="5A4A62AA"/>
    <w:rsid w:val="5A613895"/>
    <w:rsid w:val="5A8F1E09"/>
    <w:rsid w:val="5A9E3230"/>
    <w:rsid w:val="5AA57998"/>
    <w:rsid w:val="5AB74B54"/>
    <w:rsid w:val="5ABE7449"/>
    <w:rsid w:val="5AD07312"/>
    <w:rsid w:val="5AE04E1F"/>
    <w:rsid w:val="5AE5305D"/>
    <w:rsid w:val="5B341136"/>
    <w:rsid w:val="5B432B7A"/>
    <w:rsid w:val="5B5B14F8"/>
    <w:rsid w:val="5B9071B7"/>
    <w:rsid w:val="5B9B12BE"/>
    <w:rsid w:val="5BAF7847"/>
    <w:rsid w:val="5BD37EEF"/>
    <w:rsid w:val="5BDB1058"/>
    <w:rsid w:val="5BF056EE"/>
    <w:rsid w:val="5BF0757F"/>
    <w:rsid w:val="5C3D7C96"/>
    <w:rsid w:val="5C41224C"/>
    <w:rsid w:val="5C5C321E"/>
    <w:rsid w:val="5C703762"/>
    <w:rsid w:val="5C847618"/>
    <w:rsid w:val="5C886CA9"/>
    <w:rsid w:val="5C93632F"/>
    <w:rsid w:val="5CD7184E"/>
    <w:rsid w:val="5CD943B7"/>
    <w:rsid w:val="5CE57CDF"/>
    <w:rsid w:val="5CF65790"/>
    <w:rsid w:val="5D12101D"/>
    <w:rsid w:val="5D3804A8"/>
    <w:rsid w:val="5D4F15E2"/>
    <w:rsid w:val="5D7B1F09"/>
    <w:rsid w:val="5DA61B8F"/>
    <w:rsid w:val="5DED022B"/>
    <w:rsid w:val="5DEE402E"/>
    <w:rsid w:val="5E1341F3"/>
    <w:rsid w:val="5E175D1C"/>
    <w:rsid w:val="5E4357E6"/>
    <w:rsid w:val="5E53118B"/>
    <w:rsid w:val="5E565435"/>
    <w:rsid w:val="5E653047"/>
    <w:rsid w:val="5E867462"/>
    <w:rsid w:val="5E8D4C1E"/>
    <w:rsid w:val="5EB97FBC"/>
    <w:rsid w:val="5ECC63AB"/>
    <w:rsid w:val="5EF60588"/>
    <w:rsid w:val="5F0101ED"/>
    <w:rsid w:val="5F0D1350"/>
    <w:rsid w:val="5F1A7757"/>
    <w:rsid w:val="5F2F2562"/>
    <w:rsid w:val="5F30197A"/>
    <w:rsid w:val="5F343195"/>
    <w:rsid w:val="5F6A5851"/>
    <w:rsid w:val="5F6F0B0A"/>
    <w:rsid w:val="5FC334CF"/>
    <w:rsid w:val="5FD76AC8"/>
    <w:rsid w:val="60124322"/>
    <w:rsid w:val="60371673"/>
    <w:rsid w:val="603812FF"/>
    <w:rsid w:val="607462DC"/>
    <w:rsid w:val="609340E7"/>
    <w:rsid w:val="60A3099D"/>
    <w:rsid w:val="60A82837"/>
    <w:rsid w:val="60B750A2"/>
    <w:rsid w:val="60C27181"/>
    <w:rsid w:val="60F931B8"/>
    <w:rsid w:val="61001F02"/>
    <w:rsid w:val="610564B6"/>
    <w:rsid w:val="61802DAA"/>
    <w:rsid w:val="61AE179B"/>
    <w:rsid w:val="61B365B2"/>
    <w:rsid w:val="61F33DDA"/>
    <w:rsid w:val="62037361"/>
    <w:rsid w:val="620817A8"/>
    <w:rsid w:val="622F3D61"/>
    <w:rsid w:val="62362EA6"/>
    <w:rsid w:val="62591636"/>
    <w:rsid w:val="625C1947"/>
    <w:rsid w:val="625C7E1B"/>
    <w:rsid w:val="628F6070"/>
    <w:rsid w:val="62D60538"/>
    <w:rsid w:val="62E872E2"/>
    <w:rsid w:val="633320D7"/>
    <w:rsid w:val="6356008B"/>
    <w:rsid w:val="6364362D"/>
    <w:rsid w:val="636D12F6"/>
    <w:rsid w:val="637E39EE"/>
    <w:rsid w:val="639A00DB"/>
    <w:rsid w:val="639C700D"/>
    <w:rsid w:val="63A61BE3"/>
    <w:rsid w:val="63A77E6E"/>
    <w:rsid w:val="63AF7A5A"/>
    <w:rsid w:val="63D414AF"/>
    <w:rsid w:val="641667AA"/>
    <w:rsid w:val="641B2C9F"/>
    <w:rsid w:val="64240C23"/>
    <w:rsid w:val="645D2ABB"/>
    <w:rsid w:val="649A658C"/>
    <w:rsid w:val="649D553D"/>
    <w:rsid w:val="64B56CA1"/>
    <w:rsid w:val="64E303AC"/>
    <w:rsid w:val="64FC0600"/>
    <w:rsid w:val="652118F7"/>
    <w:rsid w:val="654901D2"/>
    <w:rsid w:val="654D182D"/>
    <w:rsid w:val="654E6110"/>
    <w:rsid w:val="656206A1"/>
    <w:rsid w:val="6583486B"/>
    <w:rsid w:val="65A46690"/>
    <w:rsid w:val="662011E8"/>
    <w:rsid w:val="663205E2"/>
    <w:rsid w:val="665113DB"/>
    <w:rsid w:val="66837A8A"/>
    <w:rsid w:val="668472CF"/>
    <w:rsid w:val="668B12A8"/>
    <w:rsid w:val="66C62398"/>
    <w:rsid w:val="66DF4864"/>
    <w:rsid w:val="66F33702"/>
    <w:rsid w:val="66F35543"/>
    <w:rsid w:val="67104EAD"/>
    <w:rsid w:val="672F183D"/>
    <w:rsid w:val="675E7098"/>
    <w:rsid w:val="678117C6"/>
    <w:rsid w:val="67833DE7"/>
    <w:rsid w:val="67852C05"/>
    <w:rsid w:val="67BD3233"/>
    <w:rsid w:val="67DE7662"/>
    <w:rsid w:val="67F138DF"/>
    <w:rsid w:val="67F440D7"/>
    <w:rsid w:val="67F77883"/>
    <w:rsid w:val="68030970"/>
    <w:rsid w:val="681B3FF7"/>
    <w:rsid w:val="684754AC"/>
    <w:rsid w:val="685E23BB"/>
    <w:rsid w:val="68776016"/>
    <w:rsid w:val="687D57CA"/>
    <w:rsid w:val="68861B9D"/>
    <w:rsid w:val="68BE2D98"/>
    <w:rsid w:val="68CC42C2"/>
    <w:rsid w:val="68E821E1"/>
    <w:rsid w:val="68FC172E"/>
    <w:rsid w:val="690F4CEC"/>
    <w:rsid w:val="69347A9A"/>
    <w:rsid w:val="698930B3"/>
    <w:rsid w:val="69930D0C"/>
    <w:rsid w:val="69B94C37"/>
    <w:rsid w:val="69CE3033"/>
    <w:rsid w:val="69DC21EA"/>
    <w:rsid w:val="69E919CF"/>
    <w:rsid w:val="69F80E41"/>
    <w:rsid w:val="69FB4CA9"/>
    <w:rsid w:val="6A091039"/>
    <w:rsid w:val="6A1A630D"/>
    <w:rsid w:val="6A6F52D1"/>
    <w:rsid w:val="6A736C9B"/>
    <w:rsid w:val="6A781EB7"/>
    <w:rsid w:val="6A915B0E"/>
    <w:rsid w:val="6AA529B6"/>
    <w:rsid w:val="6AD349A5"/>
    <w:rsid w:val="6AD8500A"/>
    <w:rsid w:val="6AE01D2D"/>
    <w:rsid w:val="6B003D71"/>
    <w:rsid w:val="6B13755F"/>
    <w:rsid w:val="6B2849B6"/>
    <w:rsid w:val="6B460BB1"/>
    <w:rsid w:val="6B542534"/>
    <w:rsid w:val="6B7920E4"/>
    <w:rsid w:val="6BA73A42"/>
    <w:rsid w:val="6BBF142A"/>
    <w:rsid w:val="6BC2663D"/>
    <w:rsid w:val="6BC96D9D"/>
    <w:rsid w:val="6BE1364F"/>
    <w:rsid w:val="6C640CFD"/>
    <w:rsid w:val="6C6F3379"/>
    <w:rsid w:val="6C83098C"/>
    <w:rsid w:val="6C8D345C"/>
    <w:rsid w:val="6CA123F3"/>
    <w:rsid w:val="6CCC4B43"/>
    <w:rsid w:val="6CD817ED"/>
    <w:rsid w:val="6CE30BFD"/>
    <w:rsid w:val="6CFE3144"/>
    <w:rsid w:val="6D4E488D"/>
    <w:rsid w:val="6DD9195A"/>
    <w:rsid w:val="6E0B57DA"/>
    <w:rsid w:val="6E304C9F"/>
    <w:rsid w:val="6E322A8F"/>
    <w:rsid w:val="6E493810"/>
    <w:rsid w:val="6E4B341A"/>
    <w:rsid w:val="6E4E5A49"/>
    <w:rsid w:val="6E5040E3"/>
    <w:rsid w:val="6E5616BA"/>
    <w:rsid w:val="6E6E4662"/>
    <w:rsid w:val="6E6F7DC1"/>
    <w:rsid w:val="6E791869"/>
    <w:rsid w:val="6EA225F3"/>
    <w:rsid w:val="6EA65070"/>
    <w:rsid w:val="6F0139B2"/>
    <w:rsid w:val="6F041243"/>
    <w:rsid w:val="6F2F0AEC"/>
    <w:rsid w:val="6F353D03"/>
    <w:rsid w:val="6F5830AF"/>
    <w:rsid w:val="6F810D31"/>
    <w:rsid w:val="6F896C86"/>
    <w:rsid w:val="6FB74FE8"/>
    <w:rsid w:val="6FCC3D62"/>
    <w:rsid w:val="6FFA0D54"/>
    <w:rsid w:val="6FFD3B26"/>
    <w:rsid w:val="702D30E1"/>
    <w:rsid w:val="70343A60"/>
    <w:rsid w:val="704D4053"/>
    <w:rsid w:val="70743093"/>
    <w:rsid w:val="708377C8"/>
    <w:rsid w:val="70962D73"/>
    <w:rsid w:val="709B45A7"/>
    <w:rsid w:val="70C44C66"/>
    <w:rsid w:val="70E625A4"/>
    <w:rsid w:val="70F52AAC"/>
    <w:rsid w:val="71031E69"/>
    <w:rsid w:val="710C36F8"/>
    <w:rsid w:val="711517D9"/>
    <w:rsid w:val="7125685B"/>
    <w:rsid w:val="719E2D1D"/>
    <w:rsid w:val="71FD060B"/>
    <w:rsid w:val="71FD2F7E"/>
    <w:rsid w:val="72337D9D"/>
    <w:rsid w:val="724764EA"/>
    <w:rsid w:val="7262105A"/>
    <w:rsid w:val="726D6220"/>
    <w:rsid w:val="72E13828"/>
    <w:rsid w:val="731D1FAB"/>
    <w:rsid w:val="734E2A09"/>
    <w:rsid w:val="736A59F6"/>
    <w:rsid w:val="73951AEE"/>
    <w:rsid w:val="739D4F69"/>
    <w:rsid w:val="73B15553"/>
    <w:rsid w:val="73C13875"/>
    <w:rsid w:val="73D7797A"/>
    <w:rsid w:val="741874B0"/>
    <w:rsid w:val="7434723A"/>
    <w:rsid w:val="745D7252"/>
    <w:rsid w:val="746A7784"/>
    <w:rsid w:val="74A96ABB"/>
    <w:rsid w:val="74AD27A7"/>
    <w:rsid w:val="74BC405D"/>
    <w:rsid w:val="74CC678D"/>
    <w:rsid w:val="74E81237"/>
    <w:rsid w:val="74F55D5E"/>
    <w:rsid w:val="7509498F"/>
    <w:rsid w:val="752101EB"/>
    <w:rsid w:val="755F2B03"/>
    <w:rsid w:val="757B45D3"/>
    <w:rsid w:val="75884D91"/>
    <w:rsid w:val="758B0241"/>
    <w:rsid w:val="758D4944"/>
    <w:rsid w:val="75936C6E"/>
    <w:rsid w:val="75965CD3"/>
    <w:rsid w:val="75AA6464"/>
    <w:rsid w:val="75B4388E"/>
    <w:rsid w:val="75C708A8"/>
    <w:rsid w:val="75DF281B"/>
    <w:rsid w:val="75EC26DA"/>
    <w:rsid w:val="761D497B"/>
    <w:rsid w:val="76246852"/>
    <w:rsid w:val="762B5FA7"/>
    <w:rsid w:val="762B6961"/>
    <w:rsid w:val="76331ACA"/>
    <w:rsid w:val="767A6C4A"/>
    <w:rsid w:val="767D6570"/>
    <w:rsid w:val="76872938"/>
    <w:rsid w:val="76BF165A"/>
    <w:rsid w:val="76C40A3C"/>
    <w:rsid w:val="76C85C6C"/>
    <w:rsid w:val="76D447E7"/>
    <w:rsid w:val="76DF4B63"/>
    <w:rsid w:val="7701612C"/>
    <w:rsid w:val="771B4E29"/>
    <w:rsid w:val="77266F72"/>
    <w:rsid w:val="77351A27"/>
    <w:rsid w:val="7739583C"/>
    <w:rsid w:val="776C0E3C"/>
    <w:rsid w:val="77757E6D"/>
    <w:rsid w:val="77857E50"/>
    <w:rsid w:val="779D7D58"/>
    <w:rsid w:val="77AB6DAF"/>
    <w:rsid w:val="77B51A4A"/>
    <w:rsid w:val="77E83FF2"/>
    <w:rsid w:val="77EA17F4"/>
    <w:rsid w:val="77F73C93"/>
    <w:rsid w:val="7851508F"/>
    <w:rsid w:val="7879661C"/>
    <w:rsid w:val="78971D7A"/>
    <w:rsid w:val="78B16F13"/>
    <w:rsid w:val="78B442C4"/>
    <w:rsid w:val="78DC04E9"/>
    <w:rsid w:val="79816B43"/>
    <w:rsid w:val="79852C98"/>
    <w:rsid w:val="79A509F2"/>
    <w:rsid w:val="79B652AC"/>
    <w:rsid w:val="79CD135F"/>
    <w:rsid w:val="79CE2EC5"/>
    <w:rsid w:val="79E61CF1"/>
    <w:rsid w:val="7A14639F"/>
    <w:rsid w:val="7A146E08"/>
    <w:rsid w:val="7A251F07"/>
    <w:rsid w:val="7A613C1D"/>
    <w:rsid w:val="7A7D251D"/>
    <w:rsid w:val="7A987B61"/>
    <w:rsid w:val="7AAD323E"/>
    <w:rsid w:val="7AB016F6"/>
    <w:rsid w:val="7AE163CA"/>
    <w:rsid w:val="7AF57ACF"/>
    <w:rsid w:val="7B2B4323"/>
    <w:rsid w:val="7B3135F4"/>
    <w:rsid w:val="7B3D34D4"/>
    <w:rsid w:val="7B766993"/>
    <w:rsid w:val="7BB432A2"/>
    <w:rsid w:val="7BE256CE"/>
    <w:rsid w:val="7C02748E"/>
    <w:rsid w:val="7C321509"/>
    <w:rsid w:val="7C3470F8"/>
    <w:rsid w:val="7C760DD7"/>
    <w:rsid w:val="7C8D6B78"/>
    <w:rsid w:val="7C944F1A"/>
    <w:rsid w:val="7CA96BA1"/>
    <w:rsid w:val="7CBC473C"/>
    <w:rsid w:val="7CCD1462"/>
    <w:rsid w:val="7CD53911"/>
    <w:rsid w:val="7CF81959"/>
    <w:rsid w:val="7D137FAB"/>
    <w:rsid w:val="7D2E12E5"/>
    <w:rsid w:val="7D52352B"/>
    <w:rsid w:val="7D602FDC"/>
    <w:rsid w:val="7D6C4646"/>
    <w:rsid w:val="7D756F84"/>
    <w:rsid w:val="7D80549D"/>
    <w:rsid w:val="7D8A2B14"/>
    <w:rsid w:val="7DC630C9"/>
    <w:rsid w:val="7DC852B4"/>
    <w:rsid w:val="7DE317D6"/>
    <w:rsid w:val="7E0D3FAE"/>
    <w:rsid w:val="7E123E58"/>
    <w:rsid w:val="7E207F84"/>
    <w:rsid w:val="7E574CB7"/>
    <w:rsid w:val="7E5F53E9"/>
    <w:rsid w:val="7E677050"/>
    <w:rsid w:val="7E693E2E"/>
    <w:rsid w:val="7E72245A"/>
    <w:rsid w:val="7E854F95"/>
    <w:rsid w:val="7E85702D"/>
    <w:rsid w:val="7EA031A7"/>
    <w:rsid w:val="7EA95D64"/>
    <w:rsid w:val="7F0C2453"/>
    <w:rsid w:val="7F1E0408"/>
    <w:rsid w:val="7F204484"/>
    <w:rsid w:val="7F2A765E"/>
    <w:rsid w:val="7F2E590C"/>
    <w:rsid w:val="7F311172"/>
    <w:rsid w:val="7F791119"/>
    <w:rsid w:val="7FA05C51"/>
    <w:rsid w:val="7FBA40BF"/>
    <w:rsid w:val="7FDD0E30"/>
    <w:rsid w:val="7FDD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non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active"/>
    <w:basedOn w:val="5"/>
    <w:qFormat/>
    <w:uiPriority w:val="0"/>
    <w:rPr>
      <w:color w:val="FF0000"/>
    </w:rPr>
  </w:style>
  <w:style w:type="character" w:customStyle="1" w:styleId="12">
    <w:name w:val="file"/>
    <w:basedOn w:val="5"/>
    <w:qFormat/>
    <w:uiPriority w:val="0"/>
  </w:style>
  <w:style w:type="character" w:customStyle="1" w:styleId="13">
    <w:name w:val="paper"/>
    <w:basedOn w:val="5"/>
    <w:qFormat/>
    <w:uiPriority w:val="0"/>
  </w:style>
  <w:style w:type="character" w:customStyle="1" w:styleId="14">
    <w:name w:val="paper1"/>
    <w:basedOn w:val="5"/>
    <w:qFormat/>
    <w:uiPriority w:val="0"/>
  </w:style>
  <w:style w:type="character" w:customStyle="1" w:styleId="15">
    <w:name w:val="paper2"/>
    <w:basedOn w:val="5"/>
    <w:qFormat/>
    <w:uiPriority w:val="0"/>
  </w:style>
  <w:style w:type="character" w:customStyle="1" w:styleId="16">
    <w:name w:val="colvis_radio"/>
    <w:basedOn w:val="5"/>
    <w:qFormat/>
    <w:uiPriority w:val="0"/>
  </w:style>
  <w:style w:type="character" w:customStyle="1" w:styleId="17">
    <w:name w:val="folder"/>
    <w:basedOn w:val="5"/>
    <w:qFormat/>
    <w:uiPriority w:val="0"/>
  </w:style>
  <w:style w:type="character" w:customStyle="1" w:styleId="18">
    <w:name w:val="folder1"/>
    <w:basedOn w:val="5"/>
    <w:qFormat/>
    <w:uiPriority w:val="0"/>
  </w:style>
  <w:style w:type="character" w:customStyle="1" w:styleId="19">
    <w:name w:val="book"/>
    <w:basedOn w:val="5"/>
    <w:qFormat/>
    <w:uiPriority w:val="0"/>
  </w:style>
  <w:style w:type="character" w:customStyle="1" w:styleId="20">
    <w:name w:val="book1"/>
    <w:basedOn w:val="5"/>
    <w:qFormat/>
    <w:uiPriority w:val="0"/>
  </w:style>
  <w:style w:type="character" w:customStyle="1" w:styleId="21">
    <w:name w:val="book2"/>
    <w:basedOn w:val="5"/>
    <w:qFormat/>
    <w:uiPriority w:val="0"/>
  </w:style>
  <w:style w:type="character" w:customStyle="1" w:styleId="22">
    <w:name w:val="book3"/>
    <w:basedOn w:val="5"/>
    <w:qFormat/>
    <w:uiPriority w:val="0"/>
  </w:style>
  <w:style w:type="character" w:customStyle="1" w:styleId="23">
    <w:name w:val="book4"/>
    <w:basedOn w:val="5"/>
    <w:qFormat/>
    <w:uiPriority w:val="0"/>
  </w:style>
  <w:style w:type="character" w:customStyle="1" w:styleId="24">
    <w:name w:val="fyfolder"/>
    <w:basedOn w:val="5"/>
    <w:qFormat/>
    <w:uiPriority w:val="0"/>
  </w:style>
  <w:style w:type="character" w:customStyle="1" w:styleId="25">
    <w:name w:val="fyfolder1"/>
    <w:basedOn w:val="5"/>
    <w:qFormat/>
    <w:uiPriority w:val="0"/>
  </w:style>
  <w:style w:type="character" w:customStyle="1" w:styleId="26">
    <w:name w:val="fypaper"/>
    <w:basedOn w:val="5"/>
    <w:qFormat/>
    <w:uiPriority w:val="0"/>
  </w:style>
  <w:style w:type="character" w:customStyle="1" w:styleId="27">
    <w:name w:val="ajmc_left"/>
    <w:basedOn w:val="5"/>
    <w:qFormat/>
    <w:uiPriority w:val="0"/>
  </w:style>
  <w:style w:type="character" w:customStyle="1" w:styleId="28">
    <w:name w:val="hammer"/>
    <w:basedOn w:val="5"/>
    <w:qFormat/>
    <w:uiPriority w:val="0"/>
  </w:style>
  <w:style w:type="character" w:customStyle="1" w:styleId="29">
    <w:name w:val="hammer1"/>
    <w:basedOn w:val="5"/>
    <w:qFormat/>
    <w:uiPriority w:val="0"/>
  </w:style>
  <w:style w:type="character" w:customStyle="1" w:styleId="30">
    <w:name w:val="hover10"/>
    <w:basedOn w:val="5"/>
    <w:qFormat/>
    <w:uiPriority w:val="0"/>
  </w:style>
  <w:style w:type="character" w:customStyle="1" w:styleId="31">
    <w:name w:val="checkable"/>
    <w:basedOn w:val="5"/>
    <w:qFormat/>
    <w:uiPriority w:val="0"/>
  </w:style>
  <w:style w:type="character" w:customStyle="1" w:styleId="32">
    <w:name w:val="font01"/>
    <w:basedOn w:val="5"/>
    <w:qFormat/>
    <w:uiPriority w:val="0"/>
    <w:rPr>
      <w:rFonts w:hint="eastAsia" w:ascii="微软雅黑" w:hAnsi="微软雅黑" w:eastAsia="微软雅黑" w:cs="微软雅黑"/>
      <w:b/>
      <w:color w:val="000000"/>
      <w:sz w:val="18"/>
      <w:szCs w:val="18"/>
      <w:u w:val="none"/>
    </w:rPr>
  </w:style>
  <w:style w:type="character" w:customStyle="1" w:styleId="33">
    <w:name w:val="font21"/>
    <w:basedOn w:val="5"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customStyle="1" w:styleId="34">
    <w:name w:val="font11"/>
    <w:basedOn w:val="5"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customStyle="1" w:styleId="35">
    <w:name w:val="font31"/>
    <w:basedOn w:val="5"/>
    <w:qFormat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3.png"/><Relationship Id="rId11" Type="http://schemas.openxmlformats.org/officeDocument/2006/relationships/chart" Target="charts/chart2.xml"/><Relationship Id="rId10" Type="http://schemas.openxmlformats.org/officeDocument/2006/relationships/chart" Target="charts/chart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FY\Desktop\&#23453;&#27861;&#23457;&#31649;\&#20844;&#24335;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FY\Desktop\&#23453;&#27861;&#23457;&#31649;\&#20844;&#24335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收结案情况</a:t>
            </a:r>
            <a:endParaRPr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[公式.xls]Sheet2!$S$9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[公式.xls]Sheet2!$T$8:$U$8</c:f>
              <c:strCache>
                <c:ptCount val="2"/>
                <c:pt idx="0">
                  <c:v>结案</c:v>
                </c:pt>
                <c:pt idx="1">
                  <c:v>收案</c:v>
                </c:pt>
              </c:strCache>
            </c:strRef>
          </c:cat>
          <c:val>
            <c:numRef>
              <c:f>[公式.xls]Sheet2!$T$9:$U$9</c:f>
              <c:numCache>
                <c:formatCode>General</c:formatCode>
                <c:ptCount val="2"/>
                <c:pt idx="0">
                  <c:v>543</c:v>
                </c:pt>
                <c:pt idx="1">
                  <c:v>1068</c:v>
                </c:pt>
              </c:numCache>
            </c:numRef>
          </c:val>
        </c:ser>
        <c:ser>
          <c:idx val="1"/>
          <c:order val="1"/>
          <c:tx>
            <c:strRef>
              <c:f>[公式.xls]Sheet2!$S$10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[公式.xls]Sheet2!$T$8:$U$8</c:f>
              <c:strCache>
                <c:ptCount val="2"/>
                <c:pt idx="0">
                  <c:v>结案</c:v>
                </c:pt>
                <c:pt idx="1">
                  <c:v>收案</c:v>
                </c:pt>
              </c:strCache>
            </c:strRef>
          </c:cat>
          <c:val>
            <c:numRef>
              <c:f>[公式.xls]Sheet2!$T$10:$U$10</c:f>
              <c:numCache>
                <c:formatCode>General</c:formatCode>
                <c:ptCount val="2"/>
                <c:pt idx="0">
                  <c:v>749</c:v>
                </c:pt>
                <c:pt idx="1">
                  <c:v>1809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overlap val="0"/>
        <c:axId val="439088738"/>
        <c:axId val="435037583"/>
      </c:barChart>
      <c:catAx>
        <c:axId val="439088738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35037583"/>
        <c:crosses val="autoZero"/>
        <c:auto val="1"/>
        <c:lblAlgn val="ctr"/>
        <c:lblOffset val="100"/>
        <c:noMultiLvlLbl val="0"/>
      </c:catAx>
      <c:valAx>
        <c:axId val="435037583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3908873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结案率、结收案比情况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[公式.xls]Sheet2!$N$9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[公式.xls]Sheet2!$O$8:$P$8</c:f>
              <c:strCache>
                <c:ptCount val="2"/>
                <c:pt idx="0">
                  <c:v>结收案比</c:v>
                </c:pt>
                <c:pt idx="1">
                  <c:v>结案率</c:v>
                </c:pt>
              </c:strCache>
            </c:strRef>
          </c:cat>
          <c:val>
            <c:numRef>
              <c:f>[公式.xls]Sheet2!$O$9:$P$9</c:f>
              <c:numCache>
                <c:formatCode>0.00%</c:formatCode>
                <c:ptCount val="2"/>
                <c:pt idx="0">
                  <c:v>0.5084</c:v>
                </c:pt>
                <c:pt idx="1">
                  <c:v>0.1672</c:v>
                </c:pt>
              </c:numCache>
            </c:numRef>
          </c:val>
        </c:ser>
        <c:ser>
          <c:idx val="1"/>
          <c:order val="1"/>
          <c:tx>
            <c:strRef>
              <c:f>[公式.xls]Sheet2!$N$10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[公式.xls]Sheet2!$O$8:$P$8</c:f>
              <c:strCache>
                <c:ptCount val="2"/>
                <c:pt idx="0">
                  <c:v>结收案比</c:v>
                </c:pt>
                <c:pt idx="1">
                  <c:v>结案率</c:v>
                </c:pt>
              </c:strCache>
            </c:strRef>
          </c:cat>
          <c:val>
            <c:numRef>
              <c:f>[公式.xls]Sheet2!$O$10:$P$10</c:f>
              <c:numCache>
                <c:formatCode>0.00%</c:formatCode>
                <c:ptCount val="2"/>
                <c:pt idx="0">
                  <c:v>0.414</c:v>
                </c:pt>
                <c:pt idx="1">
                  <c:v>0.2056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overlap val="0"/>
        <c:axId val="774697358"/>
        <c:axId val="885833064"/>
      </c:barChart>
      <c:catAx>
        <c:axId val="774697358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85833064"/>
        <c:crosses val="autoZero"/>
        <c:auto val="1"/>
        <c:lblAlgn val="ctr"/>
        <c:lblOffset val="100"/>
        <c:noMultiLvlLbl val="0"/>
      </c:catAx>
      <c:valAx>
        <c:axId val="88583306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7469735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宝坻区人民法院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2019-12-03T00:54:00Z</dcterms:created>
  <dc:creator>FY</dc:creator>
  <cp:lastModifiedBy>石梦蝶</cp:lastModifiedBy>
  <cp:lastPrinted>2021-08-06T02:46:00Z</cp:lastPrinted>
  <dcterms:modified xsi:type="dcterms:W3CDTF">2023-02-16T09:20:09Z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