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C9" w:rsidRDefault="00B11DE7">
      <w:pPr>
        <w:spacing w:line="500" w:lineRule="exact"/>
        <w:rPr>
          <w:rFonts w:ascii="方正小标宋简体" w:eastAsia="方正小标宋简体" w:hAnsi="STZhongsong" w:hint="eastAsia"/>
          <w:bCs/>
          <w:spacing w:val="40"/>
          <w:sz w:val="24"/>
        </w:rPr>
      </w:pPr>
      <w:r>
        <w:rPr>
          <w:rFonts w:ascii="方正小标宋简体" w:eastAsia="方正小标宋简体" w:hAnsi="STZhongsong" w:hint="eastAsia"/>
          <w:bCs/>
          <w:spacing w:val="40"/>
          <w:sz w:val="24"/>
        </w:rPr>
        <w:t>附件</w:t>
      </w:r>
      <w:r>
        <w:rPr>
          <w:rFonts w:ascii="方正小标宋简体" w:eastAsia="方正小标宋简体" w:hAnsi="STZhongsong" w:hint="eastAsia"/>
          <w:bCs/>
          <w:spacing w:val="40"/>
          <w:sz w:val="24"/>
        </w:rPr>
        <w:t>1</w:t>
      </w:r>
    </w:p>
    <w:p w:rsidR="00C734C9" w:rsidRDefault="00B11DE7">
      <w:pPr>
        <w:spacing w:line="500" w:lineRule="exact"/>
        <w:jc w:val="center"/>
        <w:rPr>
          <w:rFonts w:ascii="方正小标宋简体" w:eastAsia="方正小标宋简体" w:hAnsi="STZhongsong" w:hint="eastAsia"/>
          <w:bCs/>
          <w:spacing w:val="40"/>
          <w:sz w:val="44"/>
          <w:szCs w:val="44"/>
        </w:rPr>
      </w:pPr>
      <w:r>
        <w:rPr>
          <w:rFonts w:ascii="方正小标宋简体" w:eastAsia="方正小标宋简体" w:hAnsi="STZhongsong" w:hint="eastAsia"/>
          <w:bCs/>
          <w:spacing w:val="40"/>
          <w:sz w:val="44"/>
          <w:szCs w:val="44"/>
        </w:rPr>
        <w:t>项目支出绩效评价报告</w:t>
      </w:r>
    </w:p>
    <w:p w:rsidR="00C734C9" w:rsidRDefault="00B11DE7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基本情况</w:t>
      </w:r>
    </w:p>
    <w:p w:rsidR="00C734C9" w:rsidRDefault="00B11DE7">
      <w:pPr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（一）项目概况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办案业务费是指用于法院审判工作的差旅费、印刷费、邮电费、公务用车运行维护费等办案业务支出，以保障审</w:t>
      </w:r>
      <w:proofErr w:type="gramStart"/>
      <w:r>
        <w:rPr>
          <w:rFonts w:ascii="仿宋_GB2312" w:eastAsia="仿宋_GB2312" w:cs="仿宋_GB2312"/>
          <w:kern w:val="0"/>
          <w:sz w:val="32"/>
          <w:szCs w:val="32"/>
        </w:rPr>
        <w:t>执工作</w:t>
      </w:r>
      <w:proofErr w:type="gramEnd"/>
      <w:r>
        <w:rPr>
          <w:rFonts w:ascii="仿宋_GB2312" w:eastAsia="仿宋_GB2312" w:cs="仿宋_GB2312"/>
          <w:kern w:val="0"/>
          <w:sz w:val="32"/>
          <w:szCs w:val="32"/>
        </w:rPr>
        <w:t>有序开展，满足办案业务需求，符合支出相关要求，有效改善业务办公需求，</w:t>
      </w:r>
      <w:bookmarkStart w:id="0" w:name="_GoBack"/>
      <w:bookmarkEnd w:id="0"/>
      <w:r>
        <w:rPr>
          <w:rFonts w:ascii="仿宋_GB2312" w:eastAsia="仿宋_GB2312" w:cs="仿宋_GB2312"/>
          <w:kern w:val="0"/>
          <w:sz w:val="32"/>
          <w:szCs w:val="32"/>
        </w:rPr>
        <w:t>满足发展需要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cs="仿宋_GB2312"/>
          <w:kern w:val="0"/>
          <w:sz w:val="32"/>
          <w:szCs w:val="32"/>
        </w:rPr>
        <w:t>该项目资金财政拨款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399.1</w:t>
      </w:r>
      <w:r>
        <w:rPr>
          <w:rFonts w:ascii="仿宋_GB2312" w:eastAsia="仿宋_GB2312" w:cs="仿宋_GB2312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cs="仿宋_GB2312"/>
          <w:kern w:val="0"/>
          <w:sz w:val="32"/>
          <w:szCs w:val="32"/>
        </w:rPr>
        <w:t>全部用于办案业务相关支出。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（二）项目绩效目标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该项目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总体</w:t>
      </w:r>
      <w:r>
        <w:rPr>
          <w:rFonts w:ascii="仿宋_GB2312" w:eastAsia="仿宋_GB2312" w:cs="仿宋_GB2312"/>
          <w:kern w:val="0"/>
          <w:sz w:val="32"/>
          <w:szCs w:val="32"/>
        </w:rPr>
        <w:t>目标为全部用于法院办案业务相关支出，保障审</w:t>
      </w:r>
      <w:proofErr w:type="gramStart"/>
      <w:r>
        <w:rPr>
          <w:rFonts w:ascii="仿宋_GB2312" w:eastAsia="仿宋_GB2312" w:cs="仿宋_GB2312"/>
          <w:kern w:val="0"/>
          <w:sz w:val="32"/>
          <w:szCs w:val="32"/>
        </w:rPr>
        <w:t>执工作</w:t>
      </w:r>
      <w:proofErr w:type="gramEnd"/>
      <w:r>
        <w:rPr>
          <w:rFonts w:ascii="仿宋_GB2312" w:eastAsia="仿宋_GB2312" w:cs="仿宋_GB2312"/>
          <w:kern w:val="0"/>
          <w:sz w:val="32"/>
          <w:szCs w:val="32"/>
        </w:rPr>
        <w:t>有序开展，确保法院各项工作平稳运行。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阶段目标为今年经费</w:t>
      </w:r>
      <w:r>
        <w:rPr>
          <w:rFonts w:ascii="仿宋_GB2312" w:eastAsia="仿宋_GB2312" w:cs="仿宋_GB2312"/>
          <w:kern w:val="0"/>
          <w:sz w:val="32"/>
          <w:szCs w:val="32"/>
        </w:rPr>
        <w:t>百分之百全部用于法院办案业务相关支出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二、绩效评价工作开展情况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（一）绩效评价目的、对象和范围。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为更合理的安排资金，提高资金使用率，对我院办案业务费进行绩效评价，包含办案业务费全部经费。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（二）绩效评价原则、评价指标体系、评价方法、评价标准等。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本着客观公正和有效性，按照设定的指标体系，单位中层以上干部参与评价，并从各科室抽调人员进行打分，有项目负责人梳理并整改。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（三）绩效评价工作过程。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前期准备：成立部门绩效评价小组，学习评价指标体系和绩效相关文件通知。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组织实施：按照规定的工作程序组织绩效评价，注重评价质量，撰写绩效评价报告。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评价分析：对评价结果进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行分析，充分运用分析评价引领。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三、综合评价分析情况及评价结论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根据评价指标逐项，</w:t>
      </w:r>
      <w:r>
        <w:rPr>
          <w:rFonts w:ascii="仿宋_GB2312" w:eastAsia="仿宋_GB2312" w:cs="仿宋_GB2312"/>
          <w:kern w:val="0"/>
          <w:sz w:val="32"/>
          <w:szCs w:val="32"/>
        </w:rPr>
        <w:t>该项目绩效评价综合得分为</w:t>
      </w:r>
      <w:r>
        <w:rPr>
          <w:rFonts w:ascii="仿宋_GB2312" w:eastAsia="仿宋_GB2312" w:cs="仿宋_GB2312"/>
          <w:kern w:val="0"/>
          <w:sz w:val="32"/>
          <w:szCs w:val="32"/>
        </w:rPr>
        <w:t>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cs="仿宋_GB2312"/>
          <w:kern w:val="0"/>
          <w:sz w:val="32"/>
          <w:szCs w:val="32"/>
        </w:rPr>
        <w:t>分，绩效评价结果为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cs="仿宋_GB2312"/>
          <w:kern w:val="0"/>
          <w:sz w:val="32"/>
          <w:szCs w:val="32"/>
        </w:rPr>
        <w:t>优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cs="仿宋_GB2312"/>
          <w:kern w:val="0"/>
          <w:sz w:val="32"/>
          <w:szCs w:val="32"/>
        </w:rPr>
        <w:t>。</w:t>
      </w:r>
    </w:p>
    <w:p w:rsidR="00C734C9" w:rsidRDefault="00B11DE7">
      <w:pPr>
        <w:widowControl/>
        <w:autoSpaceDE w:val="0"/>
        <w:autoSpaceDN w:val="0"/>
        <w:adjustRightInd w:val="0"/>
        <w:spacing w:beforeAutospacing="1" w:afterAutospacing="1" w:line="440" w:lineRule="exact"/>
        <w:ind w:firstLine="601"/>
        <w:jc w:val="center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22</w:t>
      </w:r>
      <w:r>
        <w:rPr>
          <w:rFonts w:ascii="仿宋_GB2312" w:eastAsia="仿宋_GB2312" w:cs="仿宋_GB2312"/>
          <w:kern w:val="0"/>
          <w:sz w:val="32"/>
          <w:szCs w:val="32"/>
        </w:rPr>
        <w:t>年项目支出绩效指标计分表</w:t>
      </w:r>
      <w:r>
        <w:rPr>
          <w:rFonts w:ascii="黑体" w:eastAsia="黑体" w:hAnsi="宋体" w:cs="黑体"/>
          <w:color w:val="333333"/>
          <w:kern w:val="0"/>
          <w:szCs w:val="21"/>
          <w:shd w:val="clear" w:color="auto" w:fill="FFFFFF"/>
        </w:rPr>
        <w:t> </w:t>
      </w:r>
    </w:p>
    <w:tbl>
      <w:tblPr>
        <w:tblW w:w="8851" w:type="dxa"/>
        <w:tblInd w:w="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809"/>
        <w:gridCol w:w="1061"/>
        <w:gridCol w:w="636"/>
        <w:gridCol w:w="2754"/>
        <w:gridCol w:w="2735"/>
      </w:tblGrid>
      <w:tr w:rsidR="00C734C9">
        <w:trPr>
          <w:trHeight w:val="851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二级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指标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三级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指标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2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2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评价标准</w:t>
            </w:r>
          </w:p>
        </w:tc>
      </w:tr>
      <w:tr w:rsidR="00C734C9">
        <w:trPr>
          <w:trHeight w:val="851"/>
        </w:trPr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项目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决策（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项目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目标（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目标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内容（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设有目标（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   </w:t>
            </w:r>
          </w:p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目标明确（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   </w:t>
            </w:r>
          </w:p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目标细化（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    </w:t>
            </w:r>
          </w:p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目标量化（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</w:tr>
      <w:tr w:rsidR="00C734C9">
        <w:trPr>
          <w:trHeight w:val="851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决策过程（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决策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依据（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符合法律法规（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部门年度工作计划（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</w:tr>
      <w:tr w:rsidR="00C734C9">
        <w:trPr>
          <w:trHeight w:val="851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决策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程序（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符合申报条件（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</w:tr>
      <w:tr w:rsidR="00C734C9">
        <w:trPr>
          <w:trHeight w:val="851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资金分配（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分配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办法（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办法健全、规范（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因素全面合理（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</w:tr>
      <w:tr w:rsidR="00C734C9">
        <w:trPr>
          <w:trHeight w:val="851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分配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结果（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符合分配办法（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分配公平合理（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</w:tr>
      <w:tr w:rsidR="00C734C9">
        <w:trPr>
          <w:trHeight w:val="851"/>
        </w:trPr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项目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管理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资金到位（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到位率（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实际到位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计划到位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*100%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 w:rsidR="00C734C9">
        <w:trPr>
          <w:trHeight w:val="851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到位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时效（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到位及时（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  <w:p w:rsidR="00C734C9" w:rsidRDefault="00C734C9">
            <w:pPr>
              <w:widowControl/>
              <w:spacing w:line="260" w:lineRule="atLeast"/>
              <w:jc w:val="left"/>
            </w:pPr>
          </w:p>
        </w:tc>
      </w:tr>
      <w:tr w:rsidR="00C734C9">
        <w:trPr>
          <w:trHeight w:val="851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资金管理（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资金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使用（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支出依据合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，无虚列项目支出情况；无截留挤占挪用情况；无超标准开支情况；无超预算情况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虚列套取扣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4-7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依据不合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</w:t>
            </w:r>
          </w:p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截留、挤占、挪用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    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3-6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</w:t>
            </w:r>
          </w:p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超标准开支扣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2-5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</w:t>
            </w:r>
          </w:p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超预算扣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2-5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</w:t>
            </w:r>
          </w:p>
        </w:tc>
      </w:tr>
      <w:tr w:rsidR="00C734C9">
        <w:trPr>
          <w:trHeight w:val="851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财务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管理（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财务制度健全（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分）严格执行制度（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分）会计核算规范（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</w:tr>
      <w:tr w:rsidR="00C734C9">
        <w:trPr>
          <w:trHeight w:val="851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组织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实施（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组织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机构（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ind w:left="200" w:hanging="200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机构健全、分工明确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  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</w:tr>
      <w:tr w:rsidR="00C734C9">
        <w:trPr>
          <w:trHeight w:val="851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管理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制度（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管理制度健全（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制度执行严格（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</w:tr>
      <w:tr w:rsidR="00C734C9">
        <w:trPr>
          <w:trHeight w:val="851"/>
        </w:trPr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项目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绩效（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项目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产出（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产出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数量（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</w:tr>
      <w:tr w:rsidR="00C734C9">
        <w:trPr>
          <w:trHeight w:val="851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产出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质量（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</w:tr>
      <w:tr w:rsidR="00C734C9">
        <w:trPr>
          <w:trHeight w:val="851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产出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时效（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</w:tr>
      <w:tr w:rsidR="00C734C9">
        <w:trPr>
          <w:trHeight w:val="851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产出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成本（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</w:tr>
      <w:tr w:rsidR="00C734C9">
        <w:trPr>
          <w:trHeight w:val="851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项目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效果（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经济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效益（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</w:tr>
      <w:tr w:rsidR="00C734C9">
        <w:trPr>
          <w:trHeight w:val="851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社会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效益（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</w:tr>
      <w:tr w:rsidR="00C734C9">
        <w:trPr>
          <w:trHeight w:val="851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环境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效益（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</w:tr>
      <w:tr w:rsidR="00C734C9">
        <w:trPr>
          <w:trHeight w:val="851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可持续影响（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项目产出能持续运用（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</w:tr>
      <w:tr w:rsidR="00C734C9">
        <w:trPr>
          <w:trHeight w:val="851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C734C9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服务</w:t>
            </w:r>
          </w:p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对象满意度（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分）</w:t>
            </w:r>
          </w:p>
        </w:tc>
      </w:tr>
      <w:tr w:rsidR="00C734C9">
        <w:trPr>
          <w:trHeight w:val="851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总分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99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34C9" w:rsidRDefault="00B11DE7">
            <w:pPr>
              <w:widowControl/>
              <w:spacing w:line="2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四、绩效评价指标分析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（一）项目决策情况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项目决策符合法律法规，符合经济社会发展规划，设立了项目绩效目标；目标明确；目标细化；目标量化项目符合申报条件；申报、批复程序符合相关管理办法；项目调整履行了相应手续。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（二）项目管理情况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项目管理制度健全；严格执行相关管理制度。资金及时到位；资金管理、费用支出等制度健全；制度执行严格；会计核算规范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（三）项目产出情况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产出数量达到预期，质量基本合格，但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略存在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差异，成本严格按照预期执行，完成情况良好。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（四）项目效益情况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项目产出能持续运用；项目运行所依赖的政策制度能持续执行，项目预期服务对象对项目的实施的满意。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五、主要经验及做法、存在的问题及原因分析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lastRenderedPageBreak/>
        <w:t>该项目实施过程中，由于案件数量增多，办案压力大，导致我院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产出</w:t>
      </w:r>
      <w:r>
        <w:rPr>
          <w:rFonts w:ascii="仿宋_GB2312" w:eastAsia="仿宋_GB2312" w:cs="仿宋_GB2312"/>
          <w:kern w:val="0"/>
          <w:sz w:val="32"/>
          <w:szCs w:val="32"/>
        </w:rPr>
        <w:t>指标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与预期存在差异</w:t>
      </w:r>
      <w:r>
        <w:rPr>
          <w:rFonts w:ascii="仿宋_GB2312" w:eastAsia="仿宋_GB2312" w:cs="仿宋_GB2312"/>
          <w:kern w:val="0"/>
          <w:sz w:val="32"/>
          <w:szCs w:val="32"/>
        </w:rPr>
        <w:t>。今后，努力学习专业知识，提高自身专业技能，认真领悟项目绩效管理方法，保证我院项目绩效管理工作扎实有效开展。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六、其他需说明的问题</w:t>
      </w:r>
    </w:p>
    <w:p w:rsidR="00C734C9" w:rsidRDefault="00B11DE7">
      <w:pPr>
        <w:widowControl/>
        <w:autoSpaceDE w:val="0"/>
        <w:autoSpaceDN w:val="0"/>
        <w:adjustRightInd w:val="0"/>
        <w:ind w:firstLineChars="100" w:firstLine="32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（一）后续工作计划。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长期坚持项目支出绩效工作方案，项目立项前做好绩效指标分配，项目实施过程严格按照前期工作实施，发现问题及时整改，确保项目完成年初绩效目标，提高资金使用率。</w:t>
      </w:r>
    </w:p>
    <w:p w:rsidR="00C734C9" w:rsidRDefault="00B11DE7">
      <w:pPr>
        <w:widowControl/>
        <w:autoSpaceDE w:val="0"/>
        <w:autoSpaceDN w:val="0"/>
        <w:adjustRightInd w:val="0"/>
        <w:ind w:firstLineChars="100" w:firstLine="32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（二）措施及办法。</w:t>
      </w:r>
    </w:p>
    <w:p w:rsidR="00C734C9" w:rsidRDefault="00B11DE7">
      <w:pPr>
        <w:widowControl/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今后，努力学习专业知识，提高自身专业技能，认真领悟项目绩效管理方法，保证我院项目绩效管理工作扎实有效开展。</w:t>
      </w:r>
    </w:p>
    <w:p w:rsidR="00C734C9" w:rsidRDefault="00C734C9">
      <w:pPr>
        <w:widowControl/>
        <w:autoSpaceDE w:val="0"/>
        <w:autoSpaceDN w:val="0"/>
        <w:adjustRightInd w:val="0"/>
        <w:spacing w:beforeAutospacing="1" w:afterAutospacing="1" w:line="44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sectPr w:rsidR="00C734C9" w:rsidSect="00C7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DE7" w:rsidRDefault="00B11DE7" w:rsidP="00B11DE7">
      <w:r>
        <w:separator/>
      </w:r>
    </w:p>
  </w:endnote>
  <w:endnote w:type="continuationSeparator" w:id="1">
    <w:p w:rsidR="00B11DE7" w:rsidRDefault="00B11DE7" w:rsidP="00B11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2" w:usb3="00000000" w:csb0="00040001" w:csb1="00000000"/>
  </w:font>
  <w:font w:name="STZhongsong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DE7" w:rsidRDefault="00B11DE7" w:rsidP="00B11DE7">
      <w:r>
        <w:separator/>
      </w:r>
    </w:p>
  </w:footnote>
  <w:footnote w:type="continuationSeparator" w:id="1">
    <w:p w:rsidR="00B11DE7" w:rsidRDefault="00B11DE7" w:rsidP="00B11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E7E46B"/>
    <w:multiLevelType w:val="singleLevel"/>
    <w:tmpl w:val="B7E7E4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FmZmFiZGE1ZDgxZmVhYWM3MjIyN2IyNWE4ZWUzMjkifQ=="/>
  </w:docVars>
  <w:rsids>
    <w:rsidRoot w:val="00905524"/>
    <w:rsid w:val="001946FC"/>
    <w:rsid w:val="008B0688"/>
    <w:rsid w:val="00905524"/>
    <w:rsid w:val="00AF6877"/>
    <w:rsid w:val="00B11DE7"/>
    <w:rsid w:val="00C734C9"/>
    <w:rsid w:val="03C67170"/>
    <w:rsid w:val="13E50DA5"/>
    <w:rsid w:val="30380885"/>
    <w:rsid w:val="31E749FA"/>
    <w:rsid w:val="35EB320E"/>
    <w:rsid w:val="3F6879FE"/>
    <w:rsid w:val="45ED7974"/>
    <w:rsid w:val="46FC26E9"/>
    <w:rsid w:val="54E83008"/>
    <w:rsid w:val="5D1555FE"/>
    <w:rsid w:val="5DB914C2"/>
    <w:rsid w:val="6154385A"/>
    <w:rsid w:val="6EB15FDC"/>
    <w:rsid w:val="75242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4C9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73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7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734C9"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734C9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2414</Words>
  <Characters>297</Characters>
  <Application>Microsoft Office Word</Application>
  <DocSecurity>0</DocSecurity>
  <Lines>2</Lines>
  <Paragraphs>5</Paragraphs>
  <ScaleCrop>false</ScaleCrop>
  <Company>Lenovo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null,null,部门经办</cp:lastModifiedBy>
  <cp:revision>3</cp:revision>
  <dcterms:created xsi:type="dcterms:W3CDTF">2022-08-23T06:34:00Z</dcterms:created>
  <dcterms:modified xsi:type="dcterms:W3CDTF">2023-08-17T02:55:00Z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546E628925454B25899CCF34E7F87113</vt:lpwstr>
  </property>
</Properties>
</file>