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32"/>
          <w:szCs w:val="32"/>
        </w:rPr>
      </w:pPr>
      <w:r>
        <w:rPr>
          <w:rFonts w:hint="eastAsia" w:ascii="黑体" w:hAnsi="黑体" w:eastAsia="黑体"/>
          <w:sz w:val="32"/>
          <w:szCs w:val="32"/>
        </w:rPr>
        <w:t>附件1</w:t>
      </w:r>
    </w:p>
    <w:p>
      <w:pPr>
        <w:jc w:val="center"/>
        <w:rPr>
          <w:rFonts w:ascii="方正小标宋简体" w:hAnsi="仿宋" w:eastAsia="方正小标宋简体"/>
          <w:sz w:val="44"/>
          <w:szCs w:val="44"/>
        </w:rPr>
      </w:pPr>
      <w:r>
        <w:rPr>
          <w:rFonts w:hint="eastAsia" w:ascii="方正小标宋简体" w:hAnsi="仿宋" w:eastAsia="方正小标宋简体"/>
          <w:sz w:val="44"/>
          <w:szCs w:val="44"/>
        </w:rPr>
        <w:t>202</w:t>
      </w:r>
      <w:r>
        <w:rPr>
          <w:rFonts w:hint="eastAsia" w:ascii="方正小标宋简体" w:hAnsi="仿宋" w:eastAsia="方正小标宋简体"/>
          <w:sz w:val="44"/>
          <w:szCs w:val="44"/>
          <w:lang w:val="en-US" w:eastAsia="zh-CN"/>
        </w:rPr>
        <w:t>1</w:t>
      </w:r>
      <w:r>
        <w:rPr>
          <w:rFonts w:hint="eastAsia" w:ascii="方正小标宋简体" w:hAnsi="仿宋" w:eastAsia="方正小标宋简体"/>
          <w:sz w:val="44"/>
          <w:szCs w:val="44"/>
        </w:rPr>
        <w:t>年度石狮市直国家机关普法责任清单</w:t>
      </w:r>
    </w:p>
    <w:p>
      <w:pPr>
        <w:rPr>
          <w:rFonts w:ascii="仿宋_GB2312" w:hAnsi="仿宋" w:eastAsia="仿宋_GB2312"/>
          <w:sz w:val="32"/>
          <w:szCs w:val="32"/>
        </w:rPr>
      </w:pPr>
      <w:r>
        <w:rPr>
          <w:rFonts w:hint="eastAsia" w:ascii="仿宋_GB2312" w:hAnsi="仿宋" w:eastAsia="仿宋_GB2312"/>
          <w:sz w:val="32"/>
          <w:szCs w:val="32"/>
        </w:rPr>
        <w:t>填报单位（盖章）：</w:t>
      </w:r>
      <w:r>
        <w:rPr>
          <w:rFonts w:hint="eastAsia" w:ascii="仿宋_GB2312" w:hAnsi="仿宋_GB2312" w:eastAsia="仿宋_GB2312" w:cs="仿宋_GB2312"/>
          <w:sz w:val="32"/>
          <w:szCs w:val="32"/>
        </w:rPr>
        <w:t xml:space="preserve">     </w:t>
      </w:r>
      <w:r>
        <w:rPr>
          <w:rFonts w:hint="eastAsia" w:ascii="仿宋_GB2312" w:hAnsi="仿宋" w:eastAsia="仿宋_GB2312"/>
          <w:sz w:val="32"/>
          <w:szCs w:val="32"/>
        </w:rPr>
        <w:t xml:space="preserve">    主要负责人：       报送时间：202</w:t>
      </w:r>
      <w:r>
        <w:rPr>
          <w:rFonts w:hint="eastAsia" w:ascii="仿宋_GB2312" w:hAnsi="仿宋" w:eastAsia="仿宋_GB2312"/>
          <w:sz w:val="32"/>
          <w:szCs w:val="32"/>
          <w:lang w:val="en-US" w:eastAsia="zh-CN"/>
        </w:rPr>
        <w:t>1</w:t>
      </w:r>
      <w:r>
        <w:rPr>
          <w:rFonts w:hint="eastAsia" w:ascii="仿宋_GB2312" w:hAnsi="仿宋" w:eastAsia="仿宋_GB2312"/>
          <w:sz w:val="32"/>
          <w:szCs w:val="32"/>
        </w:rPr>
        <w:t>年</w:t>
      </w:r>
      <w:r>
        <w:rPr>
          <w:rFonts w:hint="eastAsia" w:ascii="仿宋_GB2312" w:hAnsi="仿宋" w:eastAsia="仿宋_GB2312"/>
          <w:sz w:val="32"/>
          <w:szCs w:val="32"/>
          <w:lang w:val="en-US" w:eastAsia="zh-CN"/>
        </w:rPr>
        <w:t>6</w:t>
      </w:r>
      <w:r>
        <w:rPr>
          <w:rFonts w:hint="eastAsia" w:ascii="仿宋_GB2312" w:hAnsi="仿宋" w:eastAsia="仿宋_GB2312"/>
          <w:sz w:val="32"/>
          <w:szCs w:val="32"/>
        </w:rPr>
        <w:t>月</w:t>
      </w:r>
      <w:r>
        <w:rPr>
          <w:rFonts w:hint="eastAsia" w:ascii="仿宋_GB2312" w:hAnsi="仿宋" w:eastAsia="仿宋_GB2312"/>
          <w:sz w:val="32"/>
          <w:szCs w:val="32"/>
          <w:lang w:val="en-US" w:eastAsia="zh-CN"/>
        </w:rPr>
        <w:t>23</w:t>
      </w:r>
      <w:r>
        <w:rPr>
          <w:rFonts w:hint="eastAsia" w:ascii="仿宋_GB2312" w:hAnsi="仿宋" w:eastAsia="仿宋_GB2312"/>
          <w:sz w:val="32"/>
          <w:szCs w:val="32"/>
        </w:rPr>
        <w:t>日</w:t>
      </w:r>
    </w:p>
    <w:tbl>
      <w:tblPr>
        <w:tblStyle w:val="4"/>
        <w:tblW w:w="128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3234"/>
        <w:gridCol w:w="2300"/>
        <w:gridCol w:w="1466"/>
        <w:gridCol w:w="1984"/>
        <w:gridCol w:w="1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1951" w:type="dxa"/>
            <w:tcBorders>
              <w:tl2br w:val="single" w:color="auto" w:sz="4" w:space="0"/>
            </w:tcBorders>
          </w:tcPr>
          <w:p>
            <w:pPr>
              <w:jc w:val="center"/>
              <w:rPr>
                <w:rFonts w:ascii="仿宋" w:hAnsi="仿宋" w:eastAsia="仿宋"/>
                <w:b/>
                <w:sz w:val="28"/>
                <w:szCs w:val="28"/>
              </w:rPr>
            </w:pPr>
            <w:r>
              <w:rPr>
                <w:rFonts w:hint="eastAsia" w:ascii="仿宋" w:hAnsi="仿宋" w:eastAsia="仿宋"/>
                <w:b/>
                <w:sz w:val="28"/>
                <w:szCs w:val="28"/>
              </w:rPr>
              <w:t xml:space="preserve">    内容</w:t>
            </w:r>
          </w:p>
          <w:p>
            <w:pPr>
              <w:ind w:firstLine="280" w:firstLineChars="100"/>
              <w:rPr>
                <w:rFonts w:ascii="仿宋" w:hAnsi="仿宋" w:eastAsia="仿宋"/>
                <w:b/>
                <w:sz w:val="28"/>
                <w:szCs w:val="28"/>
              </w:rPr>
            </w:pPr>
            <w:r>
              <w:rPr>
                <w:rFonts w:hint="eastAsia" w:ascii="仿宋" w:hAnsi="仿宋" w:eastAsia="仿宋"/>
                <w:b/>
                <w:sz w:val="28"/>
                <w:szCs w:val="28"/>
              </w:rPr>
              <w:t>单位</w:t>
            </w:r>
          </w:p>
        </w:tc>
        <w:tc>
          <w:tcPr>
            <w:tcW w:w="3234" w:type="dxa"/>
            <w:vAlign w:val="center"/>
          </w:tcPr>
          <w:p>
            <w:pPr>
              <w:jc w:val="center"/>
              <w:rPr>
                <w:rFonts w:ascii="仿宋" w:hAnsi="仿宋" w:eastAsia="仿宋"/>
                <w:b/>
                <w:sz w:val="28"/>
                <w:szCs w:val="28"/>
              </w:rPr>
            </w:pPr>
            <w:r>
              <w:rPr>
                <w:rFonts w:hint="eastAsia" w:ascii="仿宋" w:hAnsi="仿宋" w:eastAsia="仿宋"/>
                <w:b/>
                <w:sz w:val="28"/>
                <w:szCs w:val="28"/>
              </w:rPr>
              <w:t>年度重点宣传</w:t>
            </w:r>
          </w:p>
          <w:p>
            <w:pPr>
              <w:jc w:val="center"/>
              <w:rPr>
                <w:rFonts w:ascii="仿宋" w:hAnsi="仿宋" w:eastAsia="仿宋"/>
                <w:b/>
                <w:sz w:val="28"/>
                <w:szCs w:val="28"/>
              </w:rPr>
            </w:pPr>
            <w:r>
              <w:rPr>
                <w:rFonts w:hint="eastAsia" w:ascii="仿宋" w:hAnsi="仿宋" w:eastAsia="仿宋"/>
                <w:b/>
                <w:sz w:val="28"/>
                <w:szCs w:val="28"/>
              </w:rPr>
              <w:t>普及法律法规</w:t>
            </w:r>
          </w:p>
        </w:tc>
        <w:tc>
          <w:tcPr>
            <w:tcW w:w="2300" w:type="dxa"/>
            <w:vAlign w:val="center"/>
          </w:tcPr>
          <w:p>
            <w:pPr>
              <w:jc w:val="center"/>
              <w:rPr>
                <w:rFonts w:ascii="仿宋" w:hAnsi="仿宋" w:eastAsia="仿宋"/>
                <w:b/>
                <w:sz w:val="28"/>
                <w:szCs w:val="28"/>
              </w:rPr>
            </w:pPr>
            <w:r>
              <w:rPr>
                <w:rFonts w:hint="eastAsia" w:ascii="仿宋" w:hAnsi="仿宋" w:eastAsia="仿宋"/>
                <w:b/>
                <w:sz w:val="28"/>
                <w:szCs w:val="28"/>
              </w:rPr>
              <w:t>重点普法对象</w:t>
            </w:r>
          </w:p>
        </w:tc>
        <w:tc>
          <w:tcPr>
            <w:tcW w:w="1466" w:type="dxa"/>
            <w:vAlign w:val="center"/>
          </w:tcPr>
          <w:p>
            <w:pPr>
              <w:jc w:val="center"/>
              <w:rPr>
                <w:rFonts w:ascii="仿宋" w:hAnsi="仿宋" w:eastAsia="仿宋"/>
                <w:b/>
                <w:sz w:val="28"/>
                <w:szCs w:val="28"/>
              </w:rPr>
            </w:pPr>
            <w:r>
              <w:rPr>
                <w:rFonts w:hint="eastAsia" w:ascii="仿宋" w:hAnsi="仿宋" w:eastAsia="仿宋"/>
                <w:b/>
                <w:sz w:val="28"/>
                <w:szCs w:val="28"/>
              </w:rPr>
              <w:t>联系科室</w:t>
            </w:r>
          </w:p>
        </w:tc>
        <w:tc>
          <w:tcPr>
            <w:tcW w:w="1984" w:type="dxa"/>
            <w:vAlign w:val="center"/>
          </w:tcPr>
          <w:p>
            <w:pPr>
              <w:jc w:val="center"/>
              <w:rPr>
                <w:rFonts w:ascii="仿宋" w:hAnsi="仿宋" w:eastAsia="仿宋"/>
                <w:b/>
                <w:sz w:val="28"/>
                <w:szCs w:val="28"/>
              </w:rPr>
            </w:pPr>
            <w:r>
              <w:rPr>
                <w:rFonts w:hint="eastAsia" w:ascii="仿宋" w:hAnsi="仿宋" w:eastAsia="仿宋"/>
                <w:b/>
                <w:sz w:val="28"/>
                <w:szCs w:val="28"/>
              </w:rPr>
              <w:t>联系人</w:t>
            </w:r>
          </w:p>
        </w:tc>
        <w:tc>
          <w:tcPr>
            <w:tcW w:w="1931" w:type="dxa"/>
            <w:vAlign w:val="center"/>
          </w:tcPr>
          <w:p>
            <w:pPr>
              <w:jc w:val="center"/>
              <w:rPr>
                <w:rFonts w:ascii="仿宋" w:hAnsi="仿宋" w:eastAsia="仿宋"/>
                <w:b/>
                <w:sz w:val="28"/>
                <w:szCs w:val="28"/>
              </w:rPr>
            </w:pPr>
            <w:r>
              <w:rPr>
                <w:rFonts w:hint="eastAsia" w:ascii="仿宋" w:hAnsi="仿宋" w:eastAsia="仿宋"/>
                <w:b/>
                <w:sz w:val="28"/>
                <w:szCs w:val="28"/>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5" w:hRule="atLeast"/>
        </w:trPr>
        <w:tc>
          <w:tcPr>
            <w:tcW w:w="1951" w:type="dxa"/>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石狮法院</w:t>
            </w:r>
          </w:p>
        </w:tc>
        <w:tc>
          <w:tcPr>
            <w:tcW w:w="3234"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28"/>
                <w:szCs w:val="28"/>
              </w:rPr>
              <w:t>宪法》《</w:t>
            </w:r>
            <w:r>
              <w:rPr>
                <w:rFonts w:hint="eastAsia" w:ascii="仿宋_GB2312" w:hAnsi="仿宋_GB2312" w:eastAsia="仿宋_GB2312" w:cs="仿宋_GB2312"/>
                <w:sz w:val="28"/>
                <w:szCs w:val="28"/>
                <w:lang w:eastAsia="zh-CN"/>
              </w:rPr>
              <w:t>刑法</w:t>
            </w:r>
            <w:r>
              <w:rPr>
                <w:rFonts w:hint="eastAsia" w:ascii="仿宋_GB2312" w:hAnsi="仿宋_GB2312" w:eastAsia="仿宋_GB2312" w:cs="仿宋_GB2312"/>
                <w:sz w:val="28"/>
                <w:szCs w:val="28"/>
              </w:rPr>
              <w:t>》《民法典》《</w:t>
            </w:r>
            <w:r>
              <w:rPr>
                <w:rFonts w:hint="eastAsia" w:ascii="仿宋_GB2312" w:hAnsi="仿宋_GB2312" w:eastAsia="仿宋_GB2312" w:cs="仿宋_GB2312"/>
                <w:sz w:val="28"/>
                <w:szCs w:val="28"/>
                <w:lang w:eastAsia="zh-CN"/>
              </w:rPr>
              <w:t>优化营商环境条例</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eastAsia="zh-CN"/>
              </w:rPr>
              <w:t>劳动法</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eastAsia="zh-CN"/>
              </w:rPr>
              <w:t>婚姻法</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eastAsia="zh-CN"/>
              </w:rPr>
              <w:t>《中华人民共和国环境保护法》《消费者权益保护法》《未成年人保护法》《预防未成年人犯罪法》</w:t>
            </w:r>
          </w:p>
        </w:tc>
        <w:tc>
          <w:tcPr>
            <w:tcW w:w="2300"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执法（服务、管理）对象、社会公众和机关内部工作人员</w:t>
            </w:r>
          </w:p>
        </w:tc>
        <w:tc>
          <w:tcPr>
            <w:tcW w:w="1466"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综合办</w:t>
            </w:r>
          </w:p>
        </w:tc>
        <w:tc>
          <w:tcPr>
            <w:tcW w:w="1984"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lang w:eastAsia="zh-CN"/>
              </w:rPr>
              <w:t>李泳锋</w:t>
            </w:r>
          </w:p>
        </w:tc>
        <w:tc>
          <w:tcPr>
            <w:tcW w:w="1931" w:type="dxa"/>
            <w:vAlign w:val="center"/>
          </w:tcPr>
          <w:p>
            <w:pPr>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4"/>
                <w:szCs w:val="24"/>
              </w:rPr>
              <w:t>手机：</w:t>
            </w:r>
            <w:r>
              <w:rPr>
                <w:rFonts w:hint="eastAsia" w:ascii="仿宋_GB2312" w:hAnsi="仿宋_GB2312" w:eastAsia="仿宋_GB2312" w:cs="仿宋_GB2312"/>
                <w:sz w:val="24"/>
                <w:szCs w:val="24"/>
                <w:lang w:val="en-US" w:eastAsia="zh-CN"/>
              </w:rPr>
              <w:t>1598000</w:t>
            </w:r>
            <w:bookmarkStart w:id="0" w:name="_GoBack"/>
            <w:bookmarkEnd w:id="0"/>
            <w:r>
              <w:rPr>
                <w:rFonts w:hint="eastAsia" w:ascii="仿宋_GB2312" w:hAnsi="仿宋_GB2312" w:eastAsia="仿宋_GB2312" w:cs="仿宋_GB2312"/>
                <w:sz w:val="24"/>
                <w:szCs w:val="24"/>
                <w:lang w:val="en-US" w:eastAsia="zh-CN"/>
              </w:rPr>
              <w:t>0083</w:t>
            </w:r>
          </w:p>
        </w:tc>
      </w:tr>
    </w:tbl>
    <w:p>
      <w:pPr>
        <w:rPr>
          <w:rFonts w:ascii="仿宋" w:hAnsi="仿宋" w:eastAsia="仿宋"/>
          <w:sz w:val="32"/>
          <w:szCs w:val="32"/>
        </w:rPr>
      </w:pPr>
      <w:r>
        <w:rPr>
          <w:rFonts w:hint="eastAsia" w:ascii="仿宋" w:hAnsi="仿宋" w:eastAsia="仿宋"/>
          <w:sz w:val="32"/>
          <w:szCs w:val="32"/>
        </w:rPr>
        <w:t>备注：联系科室只需填写一个主要科室即可。</w:t>
      </w:r>
    </w:p>
    <w:p>
      <w:pPr>
        <w:spacing w:line="500" w:lineRule="exact"/>
        <w:rPr>
          <w:rFonts w:ascii="黑体" w:hAnsi="黑体" w:eastAsia="黑体"/>
          <w:sz w:val="32"/>
          <w:szCs w:val="32"/>
        </w:rPr>
      </w:pPr>
    </w:p>
    <w:p>
      <w:pPr>
        <w:spacing w:line="400" w:lineRule="exact"/>
        <w:rPr>
          <w:rFonts w:ascii="黑体" w:hAnsi="黑体" w:eastAsia="黑体"/>
          <w:sz w:val="32"/>
          <w:szCs w:val="32"/>
        </w:rPr>
      </w:pPr>
      <w:r>
        <w:rPr>
          <w:rFonts w:hint="eastAsia" w:ascii="黑体" w:hAnsi="黑体" w:eastAsia="黑体"/>
          <w:sz w:val="32"/>
          <w:szCs w:val="32"/>
        </w:rPr>
        <w:t>附件2</w:t>
      </w:r>
    </w:p>
    <w:p>
      <w:pPr>
        <w:spacing w:beforeLines="50" w:afterLines="50" w:line="400" w:lineRule="exact"/>
        <w:ind w:firstLine="440" w:firstLineChars="100"/>
        <w:jc w:val="center"/>
        <w:rPr>
          <w:rFonts w:ascii="仿宋" w:hAnsi="仿宋" w:eastAsia="仿宋"/>
          <w:sz w:val="44"/>
          <w:szCs w:val="44"/>
        </w:rPr>
      </w:pPr>
      <w:r>
        <w:rPr>
          <w:rFonts w:hint="eastAsia" w:ascii="方正小标宋简体" w:hAnsi="仿宋" w:eastAsia="方正小标宋简体"/>
          <w:sz w:val="44"/>
          <w:szCs w:val="44"/>
        </w:rPr>
        <w:t>202</w:t>
      </w:r>
      <w:r>
        <w:rPr>
          <w:rFonts w:hint="eastAsia" w:ascii="方正小标宋简体" w:hAnsi="仿宋" w:eastAsia="方正小标宋简体"/>
          <w:sz w:val="44"/>
          <w:szCs w:val="44"/>
          <w:lang w:val="en-US" w:eastAsia="zh-CN"/>
        </w:rPr>
        <w:t>1</w:t>
      </w:r>
      <w:r>
        <w:rPr>
          <w:rFonts w:hint="eastAsia" w:ascii="方正小标宋简体" w:hAnsi="仿宋" w:eastAsia="方正小标宋简体"/>
          <w:sz w:val="44"/>
          <w:szCs w:val="44"/>
        </w:rPr>
        <w:t>年度石狮市直国家机关普法计划（样表）</w:t>
      </w:r>
    </w:p>
    <w:p>
      <w:pPr>
        <w:spacing w:line="400" w:lineRule="exact"/>
        <w:rPr>
          <w:rFonts w:ascii="仿宋_GB2312" w:hAnsi="仿宋" w:eastAsia="仿宋_GB2312"/>
          <w:sz w:val="28"/>
          <w:szCs w:val="28"/>
        </w:rPr>
      </w:pPr>
      <w:r>
        <w:rPr>
          <w:rFonts w:hint="eastAsia" w:ascii="仿宋_GB2312" w:hAnsi="仿宋" w:eastAsia="仿宋_GB2312"/>
          <w:sz w:val="28"/>
          <w:szCs w:val="28"/>
        </w:rPr>
        <w:t>填报单位（盖章）：            主要负责人：                报送时间：202</w:t>
      </w:r>
      <w:r>
        <w:rPr>
          <w:rFonts w:hint="eastAsia" w:ascii="仿宋_GB2312" w:hAnsi="仿宋" w:eastAsia="仿宋_GB2312"/>
          <w:sz w:val="28"/>
          <w:szCs w:val="28"/>
          <w:lang w:val="en-US" w:eastAsia="zh-CN"/>
        </w:rPr>
        <w:t>1</w:t>
      </w:r>
      <w:r>
        <w:rPr>
          <w:rFonts w:hint="eastAsia" w:ascii="仿宋_GB2312" w:hAnsi="仿宋" w:eastAsia="仿宋_GB2312"/>
          <w:sz w:val="28"/>
          <w:szCs w:val="28"/>
        </w:rPr>
        <w:t>年</w:t>
      </w:r>
      <w:r>
        <w:rPr>
          <w:rFonts w:hint="eastAsia" w:ascii="仿宋_GB2312" w:hAnsi="仿宋" w:eastAsia="仿宋_GB2312"/>
          <w:sz w:val="28"/>
          <w:szCs w:val="28"/>
          <w:lang w:val="en-US" w:eastAsia="zh-CN"/>
        </w:rPr>
        <w:t>6</w:t>
      </w:r>
      <w:r>
        <w:rPr>
          <w:rFonts w:hint="eastAsia" w:ascii="仿宋_GB2312" w:hAnsi="仿宋" w:eastAsia="仿宋_GB2312"/>
          <w:sz w:val="28"/>
          <w:szCs w:val="28"/>
        </w:rPr>
        <w:t>月</w:t>
      </w:r>
      <w:r>
        <w:rPr>
          <w:rFonts w:hint="eastAsia" w:ascii="仿宋_GB2312" w:hAnsi="仿宋" w:eastAsia="仿宋_GB2312"/>
          <w:sz w:val="28"/>
          <w:szCs w:val="28"/>
          <w:lang w:val="en-US" w:eastAsia="zh-CN"/>
        </w:rPr>
        <w:t>23</w:t>
      </w:r>
      <w:r>
        <w:rPr>
          <w:rFonts w:hint="eastAsia" w:ascii="仿宋_GB2312" w:hAnsi="仿宋" w:eastAsia="仿宋_GB2312"/>
          <w:sz w:val="28"/>
          <w:szCs w:val="28"/>
        </w:rPr>
        <w:t>日</w:t>
      </w:r>
    </w:p>
    <w:tbl>
      <w:tblPr>
        <w:tblStyle w:val="4"/>
        <w:tblW w:w="144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0"/>
        <w:gridCol w:w="1560"/>
        <w:gridCol w:w="2268"/>
        <w:gridCol w:w="2551"/>
        <w:gridCol w:w="2038"/>
        <w:gridCol w:w="2073"/>
        <w:gridCol w:w="1418"/>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1100" w:type="dxa"/>
            <w:vMerge w:val="restart"/>
            <w:tcBorders>
              <w:tl2br w:val="single" w:color="auto" w:sz="4" w:space="0"/>
            </w:tcBorders>
          </w:tcPr>
          <w:p>
            <w:pPr>
              <w:spacing w:line="500" w:lineRule="exact"/>
              <w:ind w:firstLine="235" w:firstLineChars="98"/>
              <w:rPr>
                <w:rFonts w:ascii="仿宋" w:hAnsi="仿宋" w:eastAsia="仿宋"/>
                <w:b/>
                <w:sz w:val="24"/>
              </w:rPr>
            </w:pPr>
            <w:r>
              <w:rPr>
                <w:rFonts w:hint="eastAsia" w:ascii="仿宋" w:hAnsi="仿宋" w:eastAsia="仿宋"/>
                <w:b/>
                <w:sz w:val="24"/>
              </w:rPr>
              <w:t>任务</w:t>
            </w:r>
          </w:p>
          <w:p>
            <w:pPr>
              <w:spacing w:line="500" w:lineRule="exact"/>
              <w:rPr>
                <w:rFonts w:ascii="仿宋" w:hAnsi="仿宋" w:eastAsia="仿宋"/>
                <w:b/>
                <w:sz w:val="24"/>
              </w:rPr>
            </w:pPr>
          </w:p>
          <w:p>
            <w:pPr>
              <w:spacing w:line="500" w:lineRule="exact"/>
              <w:rPr>
                <w:rFonts w:ascii="仿宋" w:hAnsi="仿宋" w:eastAsia="仿宋"/>
                <w:b/>
                <w:sz w:val="24"/>
              </w:rPr>
            </w:pPr>
            <w:r>
              <w:rPr>
                <w:rFonts w:hint="eastAsia" w:ascii="仿宋" w:hAnsi="仿宋" w:eastAsia="仿宋"/>
                <w:b/>
                <w:sz w:val="24"/>
              </w:rPr>
              <w:t>单位</w:t>
            </w:r>
          </w:p>
        </w:tc>
        <w:tc>
          <w:tcPr>
            <w:tcW w:w="3828" w:type="dxa"/>
            <w:gridSpan w:val="2"/>
            <w:vAlign w:val="center"/>
          </w:tcPr>
          <w:p>
            <w:pPr>
              <w:spacing w:line="400" w:lineRule="exact"/>
              <w:jc w:val="center"/>
              <w:rPr>
                <w:rFonts w:ascii="仿宋" w:hAnsi="仿宋" w:eastAsia="仿宋"/>
                <w:b/>
                <w:sz w:val="24"/>
              </w:rPr>
            </w:pPr>
            <w:r>
              <w:rPr>
                <w:rFonts w:hint="eastAsia" w:ascii="仿宋" w:hAnsi="仿宋" w:eastAsia="仿宋"/>
                <w:b/>
                <w:sz w:val="24"/>
              </w:rPr>
              <w:t>机关内部学法</w:t>
            </w:r>
          </w:p>
          <w:p>
            <w:pPr>
              <w:spacing w:line="400" w:lineRule="exact"/>
              <w:jc w:val="center"/>
              <w:rPr>
                <w:rFonts w:ascii="仿宋" w:hAnsi="仿宋" w:eastAsia="仿宋"/>
                <w:b/>
                <w:sz w:val="24"/>
              </w:rPr>
            </w:pPr>
            <w:r>
              <w:rPr>
                <w:rFonts w:hint="eastAsia" w:ascii="仿宋" w:hAnsi="仿宋" w:eastAsia="仿宋"/>
                <w:b/>
                <w:sz w:val="24"/>
              </w:rPr>
              <w:t>活动</w:t>
            </w:r>
          </w:p>
        </w:tc>
        <w:tc>
          <w:tcPr>
            <w:tcW w:w="2551" w:type="dxa"/>
            <w:vMerge w:val="restart"/>
            <w:vAlign w:val="center"/>
          </w:tcPr>
          <w:p>
            <w:pPr>
              <w:jc w:val="center"/>
              <w:rPr>
                <w:rFonts w:ascii="仿宋" w:hAnsi="仿宋" w:eastAsia="仿宋"/>
                <w:b/>
                <w:sz w:val="24"/>
              </w:rPr>
            </w:pPr>
            <w:r>
              <w:rPr>
                <w:rFonts w:hint="eastAsia" w:ascii="仿宋" w:hAnsi="仿宋" w:eastAsia="仿宋"/>
                <w:b/>
                <w:sz w:val="24"/>
              </w:rPr>
              <w:t>面向执法（服务、管理）对象及社会公众开展的普法活动</w:t>
            </w:r>
          </w:p>
        </w:tc>
        <w:tc>
          <w:tcPr>
            <w:tcW w:w="2038" w:type="dxa"/>
            <w:vMerge w:val="restart"/>
            <w:vAlign w:val="center"/>
          </w:tcPr>
          <w:p>
            <w:pPr>
              <w:jc w:val="center"/>
              <w:rPr>
                <w:rFonts w:ascii="仿宋" w:hAnsi="仿宋" w:eastAsia="仿宋"/>
                <w:b/>
                <w:sz w:val="24"/>
              </w:rPr>
            </w:pPr>
            <w:r>
              <w:rPr>
                <w:rFonts w:hint="eastAsia" w:ascii="仿宋" w:hAnsi="仿宋" w:eastAsia="仿宋"/>
                <w:b/>
                <w:sz w:val="24"/>
              </w:rPr>
              <w:t>与其他部门联合开展的普法活动</w:t>
            </w:r>
          </w:p>
        </w:tc>
        <w:tc>
          <w:tcPr>
            <w:tcW w:w="2073" w:type="dxa"/>
            <w:vMerge w:val="restart"/>
            <w:vAlign w:val="center"/>
          </w:tcPr>
          <w:p>
            <w:pPr>
              <w:jc w:val="center"/>
              <w:rPr>
                <w:rFonts w:ascii="仿宋" w:hAnsi="仿宋" w:eastAsia="仿宋"/>
                <w:b/>
                <w:sz w:val="24"/>
              </w:rPr>
            </w:pPr>
            <w:r>
              <w:rPr>
                <w:rFonts w:hint="eastAsia" w:ascii="仿宋" w:hAnsi="仿宋" w:eastAsia="仿宋"/>
                <w:b/>
                <w:sz w:val="24"/>
              </w:rPr>
              <w:t>线上或线下</w:t>
            </w:r>
          </w:p>
          <w:p>
            <w:pPr>
              <w:jc w:val="center"/>
              <w:rPr>
                <w:rFonts w:ascii="仿宋" w:hAnsi="仿宋" w:eastAsia="仿宋"/>
                <w:b/>
                <w:sz w:val="24"/>
              </w:rPr>
            </w:pPr>
            <w:r>
              <w:rPr>
                <w:rFonts w:hint="eastAsia" w:ascii="仿宋" w:hAnsi="仿宋" w:eastAsia="仿宋"/>
                <w:b/>
                <w:sz w:val="24"/>
              </w:rPr>
              <w:t>旁听庭审活动</w:t>
            </w:r>
          </w:p>
        </w:tc>
        <w:tc>
          <w:tcPr>
            <w:tcW w:w="2835" w:type="dxa"/>
            <w:gridSpan w:val="2"/>
            <w:vAlign w:val="center"/>
          </w:tcPr>
          <w:p>
            <w:pPr>
              <w:jc w:val="center"/>
              <w:rPr>
                <w:rFonts w:ascii="仿宋" w:hAnsi="仿宋" w:eastAsia="仿宋"/>
                <w:b/>
                <w:sz w:val="24"/>
              </w:rPr>
            </w:pPr>
            <w:r>
              <w:rPr>
                <w:rFonts w:hint="eastAsia" w:ascii="仿宋" w:hAnsi="仿宋" w:eastAsia="仿宋"/>
                <w:b/>
                <w:sz w:val="24"/>
              </w:rPr>
              <w:t>法治宣传阵地建设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1100" w:type="dxa"/>
            <w:vMerge w:val="continue"/>
            <w:tcBorders>
              <w:tl2br w:val="single" w:color="auto" w:sz="4" w:space="0"/>
            </w:tcBorders>
          </w:tcPr>
          <w:p>
            <w:pPr>
              <w:rPr>
                <w:rFonts w:ascii="仿宋" w:hAnsi="仿宋" w:eastAsia="仿宋"/>
                <w:sz w:val="24"/>
              </w:rPr>
            </w:pPr>
          </w:p>
        </w:tc>
        <w:tc>
          <w:tcPr>
            <w:tcW w:w="1560" w:type="dxa"/>
            <w:vAlign w:val="center"/>
          </w:tcPr>
          <w:p>
            <w:pPr>
              <w:spacing w:line="400" w:lineRule="exact"/>
              <w:jc w:val="center"/>
              <w:rPr>
                <w:rFonts w:ascii="仿宋" w:hAnsi="仿宋" w:eastAsia="仿宋"/>
                <w:b/>
                <w:sz w:val="24"/>
              </w:rPr>
            </w:pPr>
            <w:r>
              <w:rPr>
                <w:rFonts w:hint="eastAsia" w:ascii="仿宋" w:hAnsi="仿宋" w:eastAsia="仿宋"/>
                <w:b/>
                <w:sz w:val="24"/>
              </w:rPr>
              <w:t>领导</w:t>
            </w:r>
          </w:p>
          <w:p>
            <w:pPr>
              <w:spacing w:line="400" w:lineRule="exact"/>
              <w:jc w:val="center"/>
              <w:rPr>
                <w:rFonts w:ascii="仿宋" w:hAnsi="仿宋" w:eastAsia="仿宋"/>
                <w:b/>
                <w:sz w:val="24"/>
              </w:rPr>
            </w:pPr>
            <w:r>
              <w:rPr>
                <w:rFonts w:hint="eastAsia" w:ascii="仿宋" w:hAnsi="仿宋" w:eastAsia="仿宋"/>
                <w:b/>
                <w:sz w:val="24"/>
              </w:rPr>
              <w:t>班子</w:t>
            </w:r>
          </w:p>
        </w:tc>
        <w:tc>
          <w:tcPr>
            <w:tcW w:w="2268" w:type="dxa"/>
            <w:vAlign w:val="center"/>
          </w:tcPr>
          <w:p>
            <w:pPr>
              <w:spacing w:line="400" w:lineRule="exact"/>
              <w:jc w:val="center"/>
              <w:rPr>
                <w:rFonts w:ascii="仿宋" w:hAnsi="仿宋" w:eastAsia="仿宋"/>
                <w:b/>
                <w:sz w:val="24"/>
              </w:rPr>
            </w:pPr>
            <w:r>
              <w:rPr>
                <w:rFonts w:hint="eastAsia" w:ascii="仿宋" w:hAnsi="仿宋" w:eastAsia="仿宋"/>
                <w:b/>
                <w:sz w:val="24"/>
              </w:rPr>
              <w:t>部门工作人员</w:t>
            </w:r>
          </w:p>
        </w:tc>
        <w:tc>
          <w:tcPr>
            <w:tcW w:w="2551" w:type="dxa"/>
            <w:vMerge w:val="continue"/>
          </w:tcPr>
          <w:p>
            <w:pPr>
              <w:rPr>
                <w:rFonts w:ascii="仿宋" w:hAnsi="仿宋" w:eastAsia="仿宋"/>
                <w:sz w:val="24"/>
              </w:rPr>
            </w:pPr>
          </w:p>
        </w:tc>
        <w:tc>
          <w:tcPr>
            <w:tcW w:w="2038" w:type="dxa"/>
            <w:vMerge w:val="continue"/>
          </w:tcPr>
          <w:p>
            <w:pPr>
              <w:rPr>
                <w:rFonts w:ascii="仿宋" w:hAnsi="仿宋" w:eastAsia="仿宋"/>
                <w:sz w:val="24"/>
              </w:rPr>
            </w:pPr>
          </w:p>
        </w:tc>
        <w:tc>
          <w:tcPr>
            <w:tcW w:w="2073" w:type="dxa"/>
            <w:vMerge w:val="continue"/>
          </w:tcPr>
          <w:p>
            <w:pPr>
              <w:jc w:val="center"/>
              <w:rPr>
                <w:rFonts w:ascii="仿宋" w:hAnsi="仿宋" w:eastAsia="仿宋"/>
                <w:b/>
                <w:sz w:val="24"/>
              </w:rPr>
            </w:pPr>
          </w:p>
        </w:tc>
        <w:tc>
          <w:tcPr>
            <w:tcW w:w="1418" w:type="dxa"/>
            <w:vAlign w:val="center"/>
          </w:tcPr>
          <w:p>
            <w:pPr>
              <w:jc w:val="center"/>
              <w:rPr>
                <w:rFonts w:ascii="仿宋" w:hAnsi="仿宋" w:eastAsia="仿宋"/>
                <w:b/>
                <w:sz w:val="24"/>
              </w:rPr>
            </w:pPr>
            <w:r>
              <w:rPr>
                <w:rFonts w:hint="eastAsia" w:ascii="仿宋" w:hAnsi="仿宋" w:eastAsia="仿宋"/>
                <w:b/>
                <w:sz w:val="24"/>
              </w:rPr>
              <w:t>已有阵地</w:t>
            </w:r>
          </w:p>
        </w:tc>
        <w:tc>
          <w:tcPr>
            <w:tcW w:w="1417" w:type="dxa"/>
            <w:vAlign w:val="center"/>
          </w:tcPr>
          <w:p>
            <w:pPr>
              <w:jc w:val="center"/>
              <w:rPr>
                <w:rFonts w:ascii="仿宋" w:hAnsi="仿宋" w:eastAsia="仿宋"/>
                <w:b/>
                <w:sz w:val="24"/>
              </w:rPr>
            </w:pPr>
            <w:r>
              <w:rPr>
                <w:rFonts w:hint="eastAsia" w:ascii="仿宋" w:hAnsi="仿宋" w:eastAsia="仿宋"/>
                <w:b/>
                <w:sz w:val="24"/>
              </w:rPr>
              <w:t>拟建阵地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3" w:hRule="atLeast"/>
        </w:trPr>
        <w:tc>
          <w:tcPr>
            <w:tcW w:w="1100"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石狮法院</w:t>
            </w:r>
          </w:p>
        </w:tc>
        <w:tc>
          <w:tcPr>
            <w:tcW w:w="1560" w:type="dxa"/>
            <w:vAlign w:val="center"/>
          </w:tcPr>
          <w:p>
            <w:pPr>
              <w:spacing w:line="300" w:lineRule="exact"/>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rPr>
              <w:t>党组中心组组织学习《</w:t>
            </w:r>
            <w:r>
              <w:rPr>
                <w:rFonts w:hint="eastAsia" w:ascii="仿宋_GB2312" w:hAnsi="仿宋_GB2312" w:eastAsia="仿宋_GB2312" w:cs="仿宋_GB2312"/>
                <w:sz w:val="24"/>
                <w:lang w:eastAsia="zh-CN"/>
              </w:rPr>
              <w:t>信访工作条例</w:t>
            </w:r>
            <w:r>
              <w:rPr>
                <w:rFonts w:hint="eastAsia" w:ascii="仿宋_GB2312" w:hAnsi="仿宋_GB2312" w:eastAsia="仿宋_GB2312" w:cs="仿宋_GB2312"/>
                <w:sz w:val="24"/>
              </w:rPr>
              <w:t>》</w:t>
            </w:r>
            <w:r>
              <w:rPr>
                <w:rFonts w:hint="eastAsia" w:ascii="仿宋_GB2312" w:hAnsi="仿宋_GB2312" w:eastAsia="仿宋_GB2312" w:cs="仿宋_GB2312"/>
                <w:sz w:val="24"/>
                <w:lang w:eastAsia="zh-CN"/>
              </w:rPr>
              <w:t>《反有组织犯罪法》</w:t>
            </w:r>
          </w:p>
        </w:tc>
        <w:tc>
          <w:tcPr>
            <w:tcW w:w="2268" w:type="dxa"/>
            <w:vAlign w:val="center"/>
          </w:tcPr>
          <w:p>
            <w:pPr>
              <w:spacing w:line="300" w:lineRule="exact"/>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rPr>
              <w:t>组织</w:t>
            </w:r>
            <w:r>
              <w:rPr>
                <w:rFonts w:hint="eastAsia" w:ascii="仿宋_GB2312" w:hAnsi="仿宋_GB2312" w:eastAsia="仿宋_GB2312" w:cs="仿宋_GB2312"/>
                <w:sz w:val="24"/>
                <w:lang w:eastAsia="zh-CN"/>
              </w:rPr>
              <w:t>相关干警参加</w:t>
            </w:r>
            <w:r>
              <w:rPr>
                <w:rFonts w:hint="eastAsia" w:ascii="仿宋_GB2312" w:hAnsi="仿宋_GB2312" w:eastAsia="仿宋_GB2312" w:cs="仿宋_GB2312"/>
                <w:sz w:val="24"/>
                <w:lang w:val="en-US" w:eastAsia="zh-CN"/>
              </w:rPr>
              <w:t>2022年全省涉台司法培训班、民事诉讼法修改重点问题解决等线上、线下培训</w:t>
            </w:r>
          </w:p>
        </w:tc>
        <w:tc>
          <w:tcPr>
            <w:tcW w:w="2551"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通过微信公众号、现场普法等宣传《中华人民共和国民法典》，全年在执法办案中宣传《宪法》、《刑法》、《民法典》、《</w:t>
            </w:r>
            <w:r>
              <w:rPr>
                <w:rFonts w:hint="eastAsia" w:ascii="仿宋_GB2312" w:hAnsi="仿宋_GB2312" w:eastAsia="仿宋_GB2312" w:cs="仿宋_GB2312"/>
                <w:sz w:val="24"/>
                <w:lang w:eastAsia="zh-CN"/>
              </w:rPr>
              <w:t>优化营商环境工作条例</w:t>
            </w:r>
            <w:r>
              <w:rPr>
                <w:rFonts w:hint="eastAsia" w:ascii="仿宋_GB2312" w:hAnsi="仿宋_GB2312" w:eastAsia="仿宋_GB2312" w:cs="仿宋_GB2312"/>
                <w:sz w:val="24"/>
              </w:rPr>
              <w:t>》、《消费者权益保护法》等法律法规；法官外出开展法治专题讲座、线上直播普法等活动。</w:t>
            </w:r>
          </w:p>
        </w:tc>
        <w:tc>
          <w:tcPr>
            <w:tcW w:w="2038"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lang w:eastAsia="zh-CN"/>
              </w:rPr>
              <w:t>妇女节、民法典宣传月、禁毒日</w:t>
            </w:r>
            <w:r>
              <w:rPr>
                <w:rFonts w:hint="eastAsia" w:ascii="仿宋_GB2312" w:hAnsi="仿宋_GB2312" w:eastAsia="仿宋_GB2312" w:cs="仿宋_GB2312"/>
                <w:sz w:val="24"/>
              </w:rPr>
              <w:t>12.4宪法日与多部门通过现场普法等多种方式联合开展法治宣传活动。</w:t>
            </w:r>
          </w:p>
        </w:tc>
        <w:tc>
          <w:tcPr>
            <w:tcW w:w="2073"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lang w:eastAsia="zh-CN"/>
              </w:rPr>
              <w:t>组织民营企业家、小学生、</w:t>
            </w:r>
            <w:r>
              <w:rPr>
                <w:rFonts w:hint="eastAsia" w:ascii="仿宋_GB2312" w:hAnsi="仿宋_GB2312" w:eastAsia="仿宋_GB2312" w:cs="仿宋_GB2312"/>
                <w:sz w:val="24"/>
              </w:rPr>
              <w:t>机关干部旁听庭审。</w:t>
            </w:r>
          </w:p>
        </w:tc>
        <w:tc>
          <w:tcPr>
            <w:tcW w:w="1418"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文明诚信诉讼宣教中心、融媒体工作室、微信公众号、视频号、抖音号、微博、天平阳光、法治号、头条号、澎湃号、大鱼号</w:t>
            </w:r>
          </w:p>
        </w:tc>
        <w:tc>
          <w:tcPr>
            <w:tcW w:w="1417"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无</w:t>
            </w:r>
          </w:p>
        </w:tc>
      </w:tr>
    </w:tbl>
    <w:p>
      <w:pPr>
        <w:spacing w:line="400" w:lineRule="exact"/>
        <w:rPr>
          <w:rFonts w:ascii="仿宋_GB2312" w:hAnsi="仿宋" w:eastAsia="仿宋_GB2312"/>
          <w:szCs w:val="21"/>
        </w:rPr>
      </w:pPr>
      <w:r>
        <w:rPr>
          <w:rFonts w:hint="eastAsia" w:ascii="仿宋_GB2312" w:hAnsi="仿宋" w:eastAsia="仿宋_GB2312"/>
          <w:szCs w:val="21"/>
        </w:rPr>
        <w:t>备注：1、根据《中央全面依法治国委员会办公室关于开展法治政府建设示范创建活动的意见》要求，领导班子每年至少安排4次以上法治专题</w:t>
      </w:r>
    </w:p>
    <w:p>
      <w:pPr>
        <w:spacing w:line="400" w:lineRule="exact"/>
        <w:rPr>
          <w:rFonts w:hint="eastAsia" w:ascii="仿宋_GB2312" w:hAnsi="仿宋" w:eastAsia="仿宋_GB2312"/>
          <w:szCs w:val="21"/>
          <w:lang w:eastAsia="zh-CN"/>
        </w:rPr>
        <w:sectPr>
          <w:pgSz w:w="16838" w:h="11906" w:orient="landscape"/>
          <w:pgMar w:top="1587" w:right="2098" w:bottom="1474" w:left="1701" w:header="851" w:footer="992" w:gutter="0"/>
          <w:cols w:space="0" w:num="1"/>
          <w:docGrid w:type="linesAndChars" w:linePitch="315" w:charSpace="0"/>
        </w:sectPr>
      </w:pPr>
      <w:r>
        <w:rPr>
          <w:rFonts w:hint="eastAsia" w:ascii="仿宋_GB2312" w:hAnsi="仿宋" w:eastAsia="仿宋_GB2312"/>
          <w:szCs w:val="21"/>
        </w:rPr>
        <w:t xml:space="preserve">         学习。2、根据《石狮市建立国家工作人员旁听庭审活动常态化制度化的实施意见》要求，国家工作人员参加线上或线下旁听庭审每年不少于1次，市管领导干部旁听活动每年不少于2次</w:t>
      </w:r>
      <w:r>
        <w:rPr>
          <w:rFonts w:hint="eastAsia" w:ascii="仿宋_GB2312" w:hAnsi="仿宋" w:eastAsia="仿宋_GB2312"/>
          <w:szCs w:val="21"/>
          <w:lang w:eastAsia="zh-CN"/>
        </w:rPr>
        <w:t>。</w:t>
      </w: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DcxZDg2ZjhkMzVhZjFlODVkYWNhNjY3YzdkZGViNzAifQ=="/>
  </w:docVars>
  <w:rsids>
    <w:rsidRoot w:val="00CF74FE"/>
    <w:rsid w:val="00063ABC"/>
    <w:rsid w:val="000C0823"/>
    <w:rsid w:val="001346AA"/>
    <w:rsid w:val="001401CF"/>
    <w:rsid w:val="00197C14"/>
    <w:rsid w:val="001C39E0"/>
    <w:rsid w:val="00250BB5"/>
    <w:rsid w:val="00253ED5"/>
    <w:rsid w:val="00294291"/>
    <w:rsid w:val="00406C33"/>
    <w:rsid w:val="005A0EBA"/>
    <w:rsid w:val="005A151A"/>
    <w:rsid w:val="00796043"/>
    <w:rsid w:val="00A45457"/>
    <w:rsid w:val="00AE55F7"/>
    <w:rsid w:val="00AF6399"/>
    <w:rsid w:val="00B17789"/>
    <w:rsid w:val="00C433EC"/>
    <w:rsid w:val="00C50FFF"/>
    <w:rsid w:val="00C552C8"/>
    <w:rsid w:val="00C72979"/>
    <w:rsid w:val="00C73CBE"/>
    <w:rsid w:val="00CA3FF1"/>
    <w:rsid w:val="00CF74FE"/>
    <w:rsid w:val="00E063EB"/>
    <w:rsid w:val="00E932E4"/>
    <w:rsid w:val="00FE37E3"/>
    <w:rsid w:val="00FE6A5A"/>
    <w:rsid w:val="28381841"/>
    <w:rsid w:val="36147CD5"/>
    <w:rsid w:val="3E0D35E4"/>
    <w:rsid w:val="45237196"/>
    <w:rsid w:val="49B838D7"/>
    <w:rsid w:val="5CEC1C37"/>
    <w:rsid w:val="62D344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146</Words>
  <Characters>834</Characters>
  <Lines>6</Lines>
  <Paragraphs>1</Paragraphs>
  <TotalTime>197</TotalTime>
  <ScaleCrop>false</ScaleCrop>
  <LinksUpToDate>false</LinksUpToDate>
  <CharactersWithSpaces>979</CharactersWithSpaces>
  <Application>WPS Office_12.1.0.15336_F1E327BC-269C-435d-A152-05C5408002CA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2022-05-05T10:05:00Z</dcterms:created>
  <dc:creator>NTKO</dc:creator>
  <cp:lastModifiedBy>铜豌豆</cp:lastModifiedBy>
  <dcterms:modified xsi:type="dcterms:W3CDTF">2023-08-22T03:54:54Z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2052-12.1.0.15336</vt:lpwstr>
  </property>
  <property fmtid="{D5CDD505-2E9C-101B-9397-08002B2CF9AE}" pid="3" name="ICV">
    <vt:lpwstr>17E71E529EF5455AA95FF120E5C000AC_12</vt:lpwstr>
  </property>
</Properties>
</file>