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29" w:rsidRDefault="00702129" w:rsidP="0070212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02129" w:rsidRDefault="00702129" w:rsidP="00702129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2023年度石狮市直国家机关普法责任清单</w:t>
      </w:r>
    </w:p>
    <w:p w:rsidR="00702129" w:rsidRDefault="00702129" w:rsidP="00702129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填报单位（盖章）：</w:t>
      </w:r>
      <w:r w:rsidR="00D12A87">
        <w:rPr>
          <w:rFonts w:ascii="仿宋_GB2312" w:eastAsia="仿宋_GB2312" w:hAnsi="仿宋_GB2312" w:cs="仿宋_GB2312" w:hint="eastAsia"/>
          <w:sz w:val="32"/>
          <w:szCs w:val="32"/>
        </w:rPr>
        <w:t>石狮法院</w:t>
      </w:r>
      <w:r>
        <w:rPr>
          <w:rFonts w:ascii="仿宋_GB2312" w:eastAsia="仿宋_GB2312" w:hAnsi="仿宋" w:hint="eastAsia"/>
          <w:sz w:val="32"/>
          <w:szCs w:val="32"/>
        </w:rPr>
        <w:t xml:space="preserve">        主要负责人：</w:t>
      </w:r>
      <w:r w:rsidR="00D12A87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        报送时间：2023年</w:t>
      </w:r>
      <w:r w:rsidR="00D12A87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D12A87">
        <w:rPr>
          <w:rFonts w:ascii="仿宋_GB2312" w:eastAsia="仿宋_GB2312" w:hAnsi="仿宋" w:hint="eastAsia"/>
          <w:sz w:val="32"/>
          <w:szCs w:val="32"/>
        </w:rPr>
        <w:t>1</w:t>
      </w:r>
      <w:r w:rsidR="00CC26BA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tbl>
      <w:tblPr>
        <w:tblW w:w="13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81"/>
        <w:gridCol w:w="1968"/>
        <w:gridCol w:w="1536"/>
        <w:gridCol w:w="1932"/>
        <w:gridCol w:w="1596"/>
        <w:gridCol w:w="2028"/>
      </w:tblGrid>
      <w:tr w:rsidR="00702129" w:rsidTr="002238BE">
        <w:trPr>
          <w:trHeight w:val="1331"/>
        </w:trPr>
        <w:tc>
          <w:tcPr>
            <w:tcW w:w="1951" w:type="dxa"/>
            <w:tcBorders>
              <w:tl2br w:val="single" w:sz="4" w:space="0" w:color="auto"/>
            </w:tcBorders>
          </w:tcPr>
          <w:p w:rsidR="00702129" w:rsidRDefault="00702129" w:rsidP="002238B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内容</w:t>
            </w:r>
          </w:p>
          <w:p w:rsidR="00702129" w:rsidRDefault="00702129" w:rsidP="002238BE">
            <w:pPr>
              <w:ind w:firstLineChars="100" w:firstLine="28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449" w:type="dxa"/>
            <w:gridSpan w:val="2"/>
            <w:vAlign w:val="center"/>
          </w:tcPr>
          <w:p w:rsidR="00702129" w:rsidRDefault="00702129" w:rsidP="002238B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年度重点宣传</w:t>
            </w:r>
          </w:p>
          <w:p w:rsidR="00702129" w:rsidRDefault="00702129" w:rsidP="002238B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普及法律法规</w:t>
            </w:r>
          </w:p>
        </w:tc>
        <w:tc>
          <w:tcPr>
            <w:tcW w:w="1536" w:type="dxa"/>
            <w:vAlign w:val="center"/>
          </w:tcPr>
          <w:p w:rsidR="00702129" w:rsidRDefault="00702129" w:rsidP="002238B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重点普法对象</w:t>
            </w:r>
          </w:p>
        </w:tc>
        <w:tc>
          <w:tcPr>
            <w:tcW w:w="1932" w:type="dxa"/>
            <w:vAlign w:val="center"/>
          </w:tcPr>
          <w:p w:rsidR="00702129" w:rsidRDefault="00702129" w:rsidP="002238B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联系科室</w:t>
            </w:r>
          </w:p>
        </w:tc>
        <w:tc>
          <w:tcPr>
            <w:tcW w:w="1596" w:type="dxa"/>
            <w:vAlign w:val="center"/>
          </w:tcPr>
          <w:p w:rsidR="00702129" w:rsidRDefault="00702129" w:rsidP="002238B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028" w:type="dxa"/>
            <w:vAlign w:val="center"/>
          </w:tcPr>
          <w:p w:rsidR="00702129" w:rsidRDefault="00702129" w:rsidP="002238B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</w:tr>
      <w:tr w:rsidR="00702129" w:rsidTr="002238BE">
        <w:trPr>
          <w:trHeight w:val="4135"/>
        </w:trPr>
        <w:tc>
          <w:tcPr>
            <w:tcW w:w="1951" w:type="dxa"/>
            <w:vAlign w:val="center"/>
          </w:tcPr>
          <w:p w:rsidR="00702129" w:rsidRDefault="00D12A87" w:rsidP="002238B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石狮法院</w:t>
            </w:r>
          </w:p>
        </w:tc>
        <w:tc>
          <w:tcPr>
            <w:tcW w:w="2481" w:type="dxa"/>
            <w:vAlign w:val="center"/>
          </w:tcPr>
          <w:p w:rsidR="00702129" w:rsidRDefault="00702129" w:rsidP="004625D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党的二十大精神、习近平新时代中国特色社会主义思想特别是习近平法治思想；宪法、民法典、党内法规、新颁布或新修订的法律法规规章；本</w:t>
            </w:r>
            <w:r w:rsidR="00235631"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法治宣传教育五年规划等</w:t>
            </w:r>
            <w:r w:rsidR="006F70F6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  <w:tc>
          <w:tcPr>
            <w:tcW w:w="1968" w:type="dxa"/>
            <w:vAlign w:val="center"/>
          </w:tcPr>
          <w:p w:rsidR="00702129" w:rsidRDefault="00702129" w:rsidP="0059498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《中华人民共和国宪法》、</w:t>
            </w:r>
            <w:r w:rsidR="00235631">
              <w:rPr>
                <w:rFonts w:ascii="仿宋_GB2312" w:eastAsia="仿宋_GB2312" w:hAnsi="仿宋_GB2312" w:cs="仿宋_GB2312" w:hint="eastAsia"/>
                <w:sz w:val="24"/>
              </w:rPr>
              <w:t>《中华人民共和国民法典》</w:t>
            </w:r>
            <w:r w:rsidR="00F22043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r w:rsidR="00235631">
              <w:rPr>
                <w:rFonts w:ascii="仿宋_GB2312" w:eastAsia="仿宋_GB2312" w:hAnsi="仿宋_GB2312" w:cs="仿宋_GB2312" w:hint="eastAsia"/>
                <w:sz w:val="24"/>
              </w:rPr>
              <w:t>中华人民共和国妇女权益保障法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r w:rsidR="00235631">
              <w:rPr>
                <w:rFonts w:ascii="仿宋_GB2312" w:eastAsia="仿宋_GB2312" w:hAnsi="仿宋_GB2312" w:cs="仿宋_GB2312" w:hint="eastAsia"/>
                <w:sz w:val="24"/>
              </w:rPr>
              <w:t>、《中华人民共和国反有组织犯罪法》</w:t>
            </w:r>
            <w:r w:rsidR="00F22043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="00594981"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r w:rsidR="00F22043" w:rsidRPr="00F22043">
              <w:rPr>
                <w:rFonts w:ascii="仿宋_GB2312" w:eastAsia="仿宋_GB2312" w:hAnsi="仿宋_GB2312" w:cs="仿宋_GB2312" w:hint="eastAsia"/>
                <w:sz w:val="24"/>
              </w:rPr>
              <w:t>中华人民共和国未成年人保护法》</w:t>
            </w:r>
            <w:r w:rsidR="006F70F6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  <w:tc>
          <w:tcPr>
            <w:tcW w:w="1536" w:type="dxa"/>
            <w:vAlign w:val="center"/>
          </w:tcPr>
          <w:p w:rsidR="00702129" w:rsidRDefault="00235631" w:rsidP="002238B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社会公众</w:t>
            </w:r>
          </w:p>
        </w:tc>
        <w:tc>
          <w:tcPr>
            <w:tcW w:w="1932" w:type="dxa"/>
            <w:vAlign w:val="center"/>
          </w:tcPr>
          <w:p w:rsidR="00702129" w:rsidRDefault="00D12A87" w:rsidP="002238B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综合办公室</w:t>
            </w:r>
          </w:p>
        </w:tc>
        <w:tc>
          <w:tcPr>
            <w:tcW w:w="1596" w:type="dxa"/>
            <w:vAlign w:val="center"/>
          </w:tcPr>
          <w:p w:rsidR="00702129" w:rsidRDefault="00D12A87" w:rsidP="002238B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吴春华（新闻宣传科员）</w:t>
            </w:r>
          </w:p>
        </w:tc>
        <w:tc>
          <w:tcPr>
            <w:tcW w:w="2028" w:type="dxa"/>
            <w:vAlign w:val="center"/>
          </w:tcPr>
          <w:p w:rsidR="00702129" w:rsidRDefault="00702129" w:rsidP="00D12A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手机：</w:t>
            </w:r>
            <w:r w:rsidR="00D12A87">
              <w:rPr>
                <w:rFonts w:ascii="仿宋_GB2312" w:eastAsia="仿宋_GB2312" w:hAnsi="仿宋_GB2312" w:cs="仿宋_GB2312" w:hint="eastAsia"/>
                <w:sz w:val="24"/>
              </w:rPr>
              <w:t>13859799526</w:t>
            </w:r>
          </w:p>
        </w:tc>
      </w:tr>
    </w:tbl>
    <w:p w:rsidR="00702129" w:rsidRDefault="00702129" w:rsidP="0070212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备注：联系股室只需填写一个主要股室即可。</w:t>
      </w:r>
    </w:p>
    <w:p w:rsidR="00702129" w:rsidRDefault="00702129" w:rsidP="00702129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702129" w:rsidRDefault="00702129" w:rsidP="00702129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702129" w:rsidRDefault="00702129" w:rsidP="001518FF">
      <w:pPr>
        <w:spacing w:beforeLines="50" w:afterLines="50" w:line="400" w:lineRule="exact"/>
        <w:ind w:firstLineChars="100" w:firstLine="440"/>
        <w:jc w:val="center"/>
        <w:rPr>
          <w:rFonts w:ascii="仿宋" w:eastAsia="仿宋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2023年度石狮市直国家机关普法计划</w:t>
      </w:r>
    </w:p>
    <w:p w:rsidR="00702129" w:rsidRDefault="00702129" w:rsidP="00702129">
      <w:pPr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填报单位（盖章）：</w:t>
      </w:r>
      <w:r w:rsidR="00D12A87">
        <w:rPr>
          <w:rFonts w:ascii="仿宋_GB2312" w:eastAsia="仿宋_GB2312" w:hAnsi="仿宋" w:hint="eastAsia"/>
          <w:sz w:val="28"/>
          <w:szCs w:val="28"/>
        </w:rPr>
        <w:t>石狮法院</w:t>
      </w:r>
      <w:r>
        <w:rPr>
          <w:rFonts w:ascii="仿宋_GB2312" w:eastAsia="仿宋_GB2312" w:hAnsi="仿宋" w:hint="eastAsia"/>
          <w:sz w:val="28"/>
          <w:szCs w:val="28"/>
        </w:rPr>
        <w:t xml:space="preserve">          主要负责人：</w:t>
      </w:r>
      <w:r w:rsidR="00D12A87">
        <w:rPr>
          <w:rFonts w:ascii="仿宋_GB2312" w:eastAsia="仿宋_GB2312" w:hAnsi="仿宋" w:hint="eastAsia"/>
          <w:sz w:val="28"/>
          <w:szCs w:val="28"/>
        </w:rPr>
        <w:t xml:space="preserve">                     </w:t>
      </w:r>
      <w:r>
        <w:rPr>
          <w:rFonts w:ascii="仿宋_GB2312" w:eastAsia="仿宋_GB2312" w:hAnsi="仿宋" w:hint="eastAsia"/>
          <w:sz w:val="28"/>
          <w:szCs w:val="28"/>
        </w:rPr>
        <w:t>报送时间：2023年</w:t>
      </w:r>
      <w:r w:rsidR="00D12A87">
        <w:rPr>
          <w:rFonts w:ascii="仿宋_GB2312" w:eastAsia="仿宋_GB2312" w:hAnsi="仿宋" w:hint="eastAsia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D12A87">
        <w:rPr>
          <w:rFonts w:ascii="仿宋_GB2312" w:eastAsia="仿宋_GB2312" w:hAnsi="仿宋" w:hint="eastAsia"/>
          <w:sz w:val="28"/>
          <w:szCs w:val="28"/>
        </w:rPr>
        <w:t>1</w:t>
      </w:r>
      <w:r w:rsidR="00CC26BA"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日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701"/>
        <w:gridCol w:w="2977"/>
        <w:gridCol w:w="2409"/>
        <w:gridCol w:w="1985"/>
        <w:gridCol w:w="1843"/>
        <w:gridCol w:w="1417"/>
        <w:gridCol w:w="1134"/>
      </w:tblGrid>
      <w:tr w:rsidR="00702129" w:rsidTr="00FD4494">
        <w:trPr>
          <w:trHeight w:val="733"/>
        </w:trPr>
        <w:tc>
          <w:tcPr>
            <w:tcW w:w="959" w:type="dxa"/>
            <w:vMerge w:val="restart"/>
            <w:tcBorders>
              <w:tl2br w:val="single" w:sz="4" w:space="0" w:color="auto"/>
            </w:tcBorders>
          </w:tcPr>
          <w:p w:rsidR="00702129" w:rsidRDefault="00702129" w:rsidP="002238BE">
            <w:pPr>
              <w:spacing w:line="500" w:lineRule="exact"/>
              <w:ind w:firstLineChars="98" w:firstLine="236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任务</w:t>
            </w:r>
          </w:p>
          <w:p w:rsidR="00702129" w:rsidRDefault="00702129" w:rsidP="002238BE">
            <w:pPr>
              <w:spacing w:line="500" w:lineRule="exact"/>
              <w:rPr>
                <w:rFonts w:ascii="仿宋" w:eastAsia="仿宋" w:hAnsi="仿宋"/>
                <w:b/>
                <w:sz w:val="24"/>
              </w:rPr>
            </w:pPr>
          </w:p>
          <w:p w:rsidR="00702129" w:rsidRDefault="00702129" w:rsidP="002238BE">
            <w:pPr>
              <w:spacing w:line="5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4678" w:type="dxa"/>
            <w:gridSpan w:val="2"/>
            <w:vAlign w:val="center"/>
          </w:tcPr>
          <w:p w:rsidR="00702129" w:rsidRDefault="00702129" w:rsidP="002238B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机关内部学法</w:t>
            </w:r>
          </w:p>
          <w:p w:rsidR="00702129" w:rsidRDefault="00702129" w:rsidP="002238B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活动</w:t>
            </w:r>
          </w:p>
        </w:tc>
        <w:tc>
          <w:tcPr>
            <w:tcW w:w="2409" w:type="dxa"/>
            <w:vMerge w:val="restart"/>
            <w:vAlign w:val="center"/>
          </w:tcPr>
          <w:p w:rsidR="00702129" w:rsidRDefault="00702129" w:rsidP="002238B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面向执法（服务、管理）对象及社会公众开展的普法活动</w:t>
            </w:r>
          </w:p>
        </w:tc>
        <w:tc>
          <w:tcPr>
            <w:tcW w:w="1985" w:type="dxa"/>
            <w:vMerge w:val="restart"/>
            <w:vAlign w:val="center"/>
          </w:tcPr>
          <w:p w:rsidR="00702129" w:rsidRDefault="00702129" w:rsidP="002238B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与其他部门联合开展的普法活动</w:t>
            </w:r>
          </w:p>
        </w:tc>
        <w:tc>
          <w:tcPr>
            <w:tcW w:w="1843" w:type="dxa"/>
            <w:vMerge w:val="restart"/>
            <w:vAlign w:val="center"/>
          </w:tcPr>
          <w:p w:rsidR="00702129" w:rsidRDefault="00702129" w:rsidP="002238B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线上或线下</w:t>
            </w:r>
          </w:p>
          <w:p w:rsidR="00702129" w:rsidRDefault="00702129" w:rsidP="002238B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旁听庭审活动</w:t>
            </w:r>
          </w:p>
        </w:tc>
        <w:tc>
          <w:tcPr>
            <w:tcW w:w="2551" w:type="dxa"/>
            <w:gridSpan w:val="2"/>
            <w:vAlign w:val="center"/>
          </w:tcPr>
          <w:p w:rsidR="00702129" w:rsidRDefault="00702129" w:rsidP="002238B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法治宣传阵地建设</w:t>
            </w:r>
          </w:p>
        </w:tc>
      </w:tr>
      <w:tr w:rsidR="00FD4494" w:rsidTr="00FD4494">
        <w:trPr>
          <w:trHeight w:val="686"/>
        </w:trPr>
        <w:tc>
          <w:tcPr>
            <w:tcW w:w="959" w:type="dxa"/>
            <w:vMerge/>
            <w:tcBorders>
              <w:tl2br w:val="single" w:sz="4" w:space="0" w:color="auto"/>
            </w:tcBorders>
          </w:tcPr>
          <w:p w:rsidR="00702129" w:rsidRDefault="00702129" w:rsidP="002238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02129" w:rsidRDefault="00702129" w:rsidP="002238B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领导</w:t>
            </w:r>
          </w:p>
          <w:p w:rsidR="00702129" w:rsidRDefault="00702129" w:rsidP="002238B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班子</w:t>
            </w:r>
          </w:p>
        </w:tc>
        <w:tc>
          <w:tcPr>
            <w:tcW w:w="2977" w:type="dxa"/>
            <w:vAlign w:val="center"/>
          </w:tcPr>
          <w:p w:rsidR="00702129" w:rsidRDefault="00702129" w:rsidP="002238B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部门工作人员</w:t>
            </w:r>
          </w:p>
        </w:tc>
        <w:tc>
          <w:tcPr>
            <w:tcW w:w="2409" w:type="dxa"/>
            <w:vMerge/>
          </w:tcPr>
          <w:p w:rsidR="00702129" w:rsidRDefault="00702129" w:rsidP="002238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Merge/>
          </w:tcPr>
          <w:p w:rsidR="00702129" w:rsidRDefault="00702129" w:rsidP="002238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Merge/>
          </w:tcPr>
          <w:p w:rsidR="00702129" w:rsidRDefault="00702129" w:rsidP="002238B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2129" w:rsidRDefault="00702129" w:rsidP="002238B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已有阵地</w:t>
            </w:r>
          </w:p>
        </w:tc>
        <w:tc>
          <w:tcPr>
            <w:tcW w:w="1134" w:type="dxa"/>
            <w:vAlign w:val="center"/>
          </w:tcPr>
          <w:p w:rsidR="00702129" w:rsidRDefault="00702129" w:rsidP="002238B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拟建阵地</w:t>
            </w:r>
          </w:p>
        </w:tc>
      </w:tr>
      <w:tr w:rsidR="00FD4494" w:rsidTr="00FD4494">
        <w:trPr>
          <w:trHeight w:val="3953"/>
        </w:trPr>
        <w:tc>
          <w:tcPr>
            <w:tcW w:w="959" w:type="dxa"/>
            <w:vAlign w:val="center"/>
          </w:tcPr>
          <w:p w:rsidR="00702129" w:rsidRDefault="00F22043" w:rsidP="002238B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石狮法院</w:t>
            </w:r>
          </w:p>
        </w:tc>
        <w:tc>
          <w:tcPr>
            <w:tcW w:w="1701" w:type="dxa"/>
            <w:vAlign w:val="center"/>
          </w:tcPr>
          <w:p w:rsidR="00702129" w:rsidRDefault="00702129" w:rsidP="00F22043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1、一季度党组中心组组织学习</w:t>
            </w:r>
            <w:r w:rsidR="00571AAA">
              <w:rPr>
                <w:rFonts w:ascii="仿宋_GB2312" w:eastAsia="仿宋_GB2312" w:hAnsi="仿宋_GB2312" w:cs="仿宋_GB2312" w:hint="eastAsia"/>
                <w:sz w:val="24"/>
              </w:rPr>
              <w:t>习近平总书记</w:t>
            </w:r>
            <w:r w:rsidR="00A32D0E">
              <w:rPr>
                <w:rFonts w:ascii="仿宋_GB2312" w:eastAsia="仿宋_GB2312" w:hAnsi="仿宋_GB2312" w:cs="仿宋_GB2312" w:hint="eastAsia"/>
                <w:sz w:val="24"/>
              </w:rPr>
              <w:t>关于</w:t>
            </w:r>
            <w:r w:rsidR="00571AAA">
              <w:rPr>
                <w:rFonts w:ascii="仿宋_GB2312" w:eastAsia="仿宋_GB2312" w:hAnsi="仿宋_GB2312" w:cs="仿宋_GB2312" w:hint="eastAsia"/>
                <w:sz w:val="24"/>
              </w:rPr>
              <w:t>政法工作重要指示精神、中央政法工作会议精神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；2、二季度党组中心组组织学习</w:t>
            </w:r>
            <w:r w:rsidR="00F22043">
              <w:rPr>
                <w:rFonts w:ascii="仿宋_GB2312" w:eastAsia="仿宋_GB2312" w:hAnsi="仿宋_GB2312" w:cs="仿宋_GB2312" w:hint="eastAsia"/>
                <w:sz w:val="24"/>
              </w:rPr>
              <w:t>主题教育相关会议精神</w:t>
            </w:r>
            <w:r w:rsidR="00A42909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  <w:tc>
          <w:tcPr>
            <w:tcW w:w="2977" w:type="dxa"/>
            <w:vAlign w:val="center"/>
          </w:tcPr>
          <w:p w:rsidR="00702129" w:rsidRDefault="00702129" w:rsidP="00F22043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1、一季度</w:t>
            </w:r>
            <w:r w:rsidR="00FD4494">
              <w:rPr>
                <w:rFonts w:ascii="仿宋_GB2312" w:eastAsia="仿宋_GB2312" w:hAnsi="仿宋_GB2312" w:cs="仿宋_GB2312" w:hint="eastAsia"/>
                <w:sz w:val="24"/>
              </w:rPr>
              <w:t>通过“闽法课堂”学习《</w:t>
            </w:r>
            <w:r w:rsidR="00FD4494" w:rsidRPr="00FD4494">
              <w:rPr>
                <w:rFonts w:ascii="仿宋_GB2312" w:eastAsia="仿宋_GB2312" w:hAnsi="仿宋_GB2312" w:cs="仿宋_GB2312" w:hint="eastAsia"/>
                <w:sz w:val="24"/>
              </w:rPr>
              <w:t>证券、基金与理财行业消费者保护审判实务</w:t>
            </w:r>
            <w:r w:rsidR="00FD4494">
              <w:rPr>
                <w:rFonts w:ascii="仿宋_GB2312" w:eastAsia="仿宋_GB2312" w:hAnsi="仿宋_GB2312" w:cs="仿宋_GB2312" w:hint="eastAsia"/>
                <w:sz w:val="24"/>
              </w:rPr>
              <w:t>》、</w:t>
            </w:r>
            <w:r w:rsidR="00594981">
              <w:rPr>
                <w:rFonts w:ascii="仿宋_GB2312" w:eastAsia="仿宋_GB2312" w:hAnsi="仿宋_GB2312" w:cs="仿宋_GB2312" w:hint="eastAsia"/>
                <w:sz w:val="24"/>
              </w:rPr>
              <w:t>线上</w:t>
            </w:r>
            <w:r w:rsidR="00FD4494">
              <w:rPr>
                <w:rFonts w:ascii="仿宋_GB2312" w:eastAsia="仿宋_GB2312" w:hAnsi="仿宋_GB2312" w:cs="仿宋_GB2312" w:hint="eastAsia"/>
                <w:sz w:val="24"/>
              </w:rPr>
              <w:t>参加</w:t>
            </w:r>
            <w:r w:rsidR="00FD4494" w:rsidRPr="00FD4494">
              <w:rPr>
                <w:rFonts w:ascii="仿宋_GB2312" w:eastAsia="仿宋_GB2312" w:hAnsi="仿宋_GB2312" w:cs="仿宋_GB2312" w:hint="eastAsia"/>
                <w:sz w:val="24"/>
              </w:rPr>
              <w:t>全省涉台纠纷多元化解专题培训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702129" w:rsidRDefault="00702129" w:rsidP="00E76509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2、二季度</w:t>
            </w:r>
            <w:r w:rsidR="00FD4494">
              <w:rPr>
                <w:rFonts w:ascii="仿宋_GB2312" w:eastAsia="仿宋_GB2312" w:hAnsi="仿宋_GB2312" w:cs="仿宋_GB2312" w:hint="eastAsia"/>
                <w:sz w:val="24"/>
              </w:rPr>
              <w:t>通过“闽法课堂”学习《</w:t>
            </w:r>
            <w:r w:rsidR="00FD4494" w:rsidRPr="00FD4494">
              <w:rPr>
                <w:rFonts w:ascii="仿宋_GB2312" w:eastAsia="仿宋_GB2312" w:hAnsi="仿宋_GB2312" w:cs="仿宋_GB2312" w:hint="eastAsia"/>
                <w:sz w:val="24"/>
              </w:rPr>
              <w:t>民法典时代婚姻家庭纠纷若干实务问题探讨</w:t>
            </w:r>
            <w:r w:rsidR="00FD4494">
              <w:rPr>
                <w:rFonts w:ascii="仿宋_GB2312" w:eastAsia="仿宋_GB2312" w:hAnsi="仿宋_GB2312" w:cs="仿宋_GB2312" w:hint="eastAsia"/>
                <w:sz w:val="24"/>
              </w:rPr>
              <w:t>》、通过人民法院大讲堂学习《</w:t>
            </w:r>
            <w:r w:rsidR="00FD4494" w:rsidRPr="00FD4494">
              <w:rPr>
                <w:rFonts w:ascii="仿宋_GB2312" w:eastAsia="仿宋_GB2312" w:hAnsi="仿宋_GB2312" w:cs="仿宋_GB2312" w:hint="eastAsia"/>
                <w:sz w:val="24"/>
              </w:rPr>
              <w:t>植物新品种案件审理思路</w:t>
            </w:r>
            <w:r w:rsidR="00FD4494">
              <w:rPr>
                <w:rFonts w:ascii="仿宋_GB2312" w:eastAsia="仿宋_GB2312" w:hAnsi="仿宋_GB2312" w:cs="仿宋_GB2312" w:hint="eastAsia"/>
                <w:sz w:val="24"/>
              </w:rPr>
              <w:t>》、《</w:t>
            </w:r>
            <w:r w:rsidR="00FD4494" w:rsidRPr="00FD4494">
              <w:rPr>
                <w:rFonts w:ascii="仿宋_GB2312" w:eastAsia="仿宋_GB2312" w:hAnsi="仿宋_GB2312" w:cs="仿宋_GB2312" w:hint="eastAsia"/>
                <w:sz w:val="24"/>
              </w:rPr>
              <w:t>民法典担保制度司法解释的理解与适用</w:t>
            </w:r>
            <w:r w:rsidR="00FD4494"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r w:rsidR="00E76509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  <w:tc>
          <w:tcPr>
            <w:tcW w:w="2409" w:type="dxa"/>
            <w:vAlign w:val="center"/>
          </w:tcPr>
          <w:p w:rsidR="00702129" w:rsidRDefault="00702129" w:rsidP="001518F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三季度通过微信公众号、现场普法等宣传《</w:t>
            </w:r>
            <w:r w:rsidR="00F22043">
              <w:rPr>
                <w:rFonts w:ascii="仿宋_GB2312" w:eastAsia="仿宋_GB2312" w:hAnsi="仿宋_GB2312" w:cs="仿宋_GB2312" w:hint="eastAsia"/>
                <w:sz w:val="24"/>
              </w:rPr>
              <w:t>民法典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》、《</w:t>
            </w:r>
            <w:r w:rsidR="00594981">
              <w:rPr>
                <w:rFonts w:ascii="仿宋_GB2312" w:eastAsia="仿宋_GB2312" w:hAnsi="仿宋_GB2312" w:cs="仿宋_GB2312" w:hint="eastAsia"/>
                <w:sz w:val="24"/>
              </w:rPr>
              <w:t>刑法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r w:rsidR="00FD4494">
              <w:rPr>
                <w:rFonts w:ascii="仿宋_GB2312" w:eastAsia="仿宋_GB2312" w:hAnsi="仿宋_GB2312" w:cs="仿宋_GB2312" w:hint="eastAsia"/>
                <w:sz w:val="24"/>
              </w:rPr>
              <w:t>、《未成年人保护法》、</w:t>
            </w:r>
            <w:r w:rsidR="00FD4494" w:rsidRPr="00FD4494">
              <w:rPr>
                <w:rFonts w:ascii="仿宋_GB2312" w:eastAsia="仿宋_GB2312" w:hAnsi="仿宋_GB2312" w:cs="仿宋_GB2312" w:hint="eastAsia"/>
                <w:sz w:val="24"/>
              </w:rPr>
              <w:t>《预防未成年人犯罪法》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等相关法律法规。</w:t>
            </w:r>
          </w:p>
        </w:tc>
        <w:tc>
          <w:tcPr>
            <w:tcW w:w="1985" w:type="dxa"/>
            <w:vAlign w:val="center"/>
          </w:tcPr>
          <w:p w:rsidR="00702129" w:rsidRDefault="00FD4494" w:rsidP="00F2204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宪法日暨宪法宣传周</w:t>
            </w:r>
            <w:r w:rsidR="00702129">
              <w:rPr>
                <w:rFonts w:ascii="仿宋_GB2312" w:eastAsia="仿宋_GB2312" w:hAnsi="仿宋_GB2312" w:cs="仿宋_GB2312" w:hint="eastAsia"/>
                <w:sz w:val="24"/>
              </w:rPr>
              <w:t>与多部门通过现场普法等多种方式联合开展宪法宣传活动。</w:t>
            </w:r>
          </w:p>
        </w:tc>
        <w:tc>
          <w:tcPr>
            <w:tcW w:w="1843" w:type="dxa"/>
            <w:vAlign w:val="center"/>
          </w:tcPr>
          <w:p w:rsidR="00702129" w:rsidRDefault="00702129" w:rsidP="00F2204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三季度组织</w:t>
            </w:r>
            <w:r w:rsidR="005E317C">
              <w:rPr>
                <w:rFonts w:ascii="仿宋_GB2312" w:eastAsia="仿宋_GB2312" w:hAnsi="仿宋_GB2312" w:cs="仿宋_GB2312" w:hint="eastAsia"/>
                <w:sz w:val="24"/>
              </w:rPr>
              <w:t>人大代表</w:t>
            </w:r>
            <w:r w:rsidR="00FD4494">
              <w:rPr>
                <w:rFonts w:ascii="仿宋_GB2312" w:eastAsia="仿宋_GB2312" w:hAnsi="仿宋_GB2312" w:cs="仿宋_GB2312" w:hint="eastAsia"/>
                <w:sz w:val="24"/>
              </w:rPr>
              <w:t>现场旁听庭审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702129" w:rsidRDefault="00702129" w:rsidP="00FD449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四季度组织</w:t>
            </w:r>
            <w:r w:rsidR="00FD4494">
              <w:rPr>
                <w:rFonts w:ascii="仿宋_GB2312" w:eastAsia="仿宋_GB2312" w:hAnsi="仿宋_GB2312" w:cs="仿宋_GB2312" w:hint="eastAsia"/>
                <w:sz w:val="24"/>
              </w:rPr>
              <w:t>行业协会、社会群体等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现场旁听庭审活动</w:t>
            </w:r>
            <w:r w:rsidR="00D12054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702129" w:rsidRDefault="00FD4494" w:rsidP="00F2204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融媒体工作室、微信公众号、视频号、抖音号、头条号、天平阳光、法治号</w:t>
            </w:r>
            <w:r w:rsidR="00D12054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702129" w:rsidRDefault="00702129" w:rsidP="00F2204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</w:tbl>
    <w:p w:rsidR="00702129" w:rsidRDefault="00702129" w:rsidP="00702129">
      <w:pPr>
        <w:spacing w:line="400" w:lineRule="exact"/>
        <w:ind w:left="1050" w:hangingChars="500" w:hanging="1050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备注：1、根据中共中央办公厅 国务院办公厅印发的《法治政府建设与责任落实督察工作规定》第九条第九项，建立部门领导班子定期学法制度，每年至少举办2次法治专题讲座。</w:t>
      </w:r>
    </w:p>
    <w:p w:rsidR="00702129" w:rsidRDefault="00702129" w:rsidP="00702129">
      <w:pPr>
        <w:spacing w:line="400" w:lineRule="exact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 xml:space="preserve">      2、根据《石狮市建立国家工作人员旁听庭审活动常态化制度化的实施意见》要求，国家工作人员参加线上或线下旁听庭审每年不少于1</w:t>
      </w:r>
    </w:p>
    <w:p w:rsidR="00702129" w:rsidRPr="00702129" w:rsidRDefault="00702129" w:rsidP="00702129">
      <w:pPr>
        <w:spacing w:line="400" w:lineRule="exact"/>
        <w:rPr>
          <w:rFonts w:ascii="仿宋_GB2312" w:eastAsia="仿宋_GB2312" w:hAnsi="仿宋"/>
          <w:szCs w:val="21"/>
        </w:rPr>
        <w:sectPr w:rsidR="00702129" w:rsidRPr="00702129">
          <w:pgSz w:w="16838" w:h="11906" w:orient="landscape"/>
          <w:pgMar w:top="1587" w:right="2098" w:bottom="1474" w:left="1701" w:header="851" w:footer="992" w:gutter="0"/>
          <w:cols w:space="0"/>
          <w:docGrid w:type="linesAndChars" w:linePitch="315"/>
        </w:sectPr>
      </w:pPr>
      <w:r>
        <w:rPr>
          <w:rFonts w:ascii="仿宋_GB2312" w:eastAsia="仿宋_GB2312" w:hAnsi="仿宋" w:hint="eastAsia"/>
          <w:szCs w:val="21"/>
        </w:rPr>
        <w:t xml:space="preserve">         次，市管领导干部旁听活动每年不少于2次。</w:t>
      </w:r>
    </w:p>
    <w:p w:rsidR="00B72C05" w:rsidRPr="00702129" w:rsidRDefault="00B72C05"/>
    <w:sectPr w:rsidR="00B72C05" w:rsidRPr="00702129" w:rsidSect="007021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C40" w:rsidRDefault="00B47C40" w:rsidP="00702129">
      <w:r>
        <w:separator/>
      </w:r>
    </w:p>
  </w:endnote>
  <w:endnote w:type="continuationSeparator" w:id="1">
    <w:p w:rsidR="00B47C40" w:rsidRDefault="00B47C40" w:rsidP="00702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C40" w:rsidRDefault="00B47C40" w:rsidP="00702129">
      <w:r>
        <w:separator/>
      </w:r>
    </w:p>
  </w:footnote>
  <w:footnote w:type="continuationSeparator" w:id="1">
    <w:p w:rsidR="00B47C40" w:rsidRDefault="00B47C40" w:rsidP="00702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129"/>
    <w:rsid w:val="000C2EF0"/>
    <w:rsid w:val="001518FF"/>
    <w:rsid w:val="00151E09"/>
    <w:rsid w:val="00235631"/>
    <w:rsid w:val="003D05D5"/>
    <w:rsid w:val="004625D3"/>
    <w:rsid w:val="00571AAA"/>
    <w:rsid w:val="00594981"/>
    <w:rsid w:val="005E317C"/>
    <w:rsid w:val="006F70F6"/>
    <w:rsid w:val="00702129"/>
    <w:rsid w:val="008322D3"/>
    <w:rsid w:val="008B25B4"/>
    <w:rsid w:val="009D130E"/>
    <w:rsid w:val="00A32D0E"/>
    <w:rsid w:val="00A42909"/>
    <w:rsid w:val="00B47C40"/>
    <w:rsid w:val="00B72C05"/>
    <w:rsid w:val="00B74741"/>
    <w:rsid w:val="00CC26BA"/>
    <w:rsid w:val="00D12054"/>
    <w:rsid w:val="00D12A87"/>
    <w:rsid w:val="00D22CED"/>
    <w:rsid w:val="00E76509"/>
    <w:rsid w:val="00F22043"/>
    <w:rsid w:val="00F81AC5"/>
    <w:rsid w:val="00FD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021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702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0212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021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02129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702129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70212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21</cp:revision>
  <cp:lastPrinted>2023-07-14T01:12:00Z</cp:lastPrinted>
  <dcterms:created xsi:type="dcterms:W3CDTF">2023-07-13T03:24:00Z</dcterms:created>
  <dcterms:modified xsi:type="dcterms:W3CDTF">2023-07-14T07:29:00Z</dcterms:modified>
</cp:coreProperties>
</file>