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20" w:lineRule="atLeast"/>
        <w:jc w:val="center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选任管理人申请书</w:t>
      </w:r>
    </w:p>
    <w:p>
      <w:pPr>
        <w:widowControl/>
        <w:spacing w:line="520" w:lineRule="atLeast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长沙市中级人民法院：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（申报机构名称）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已收到贵院选任管理人公告。我单位符合《中华人民共和国企业破产法》《最高人民法院关于审理企业破产案件指定管理人的规定》及贵院选任公告规定的条件，且不存在可能影响忠实履行管理人职责的利害关系。经研究，我单位现申请报名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   （案件名称）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管理人的选任。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联系人：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电子邮箱：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20" w:lineRule="atLeast"/>
        <w:ind w:firstLine="64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20" w:lineRule="atLeast"/>
        <w:ind w:firstLine="576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（申报机构盖章）</w:t>
      </w:r>
    </w:p>
    <w:p>
      <w:pPr>
        <w:widowControl/>
        <w:spacing w:line="520" w:lineRule="atLeast"/>
        <w:ind w:firstLine="5120"/>
        <w:jc w:val="left"/>
        <w:textAlignment w:val="top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 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519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2023-08-23T03:56:10Z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1BC57DD450DA4B8C9A4F3A376FE0AF69_12</vt:lpwstr>
  </property>
</Properties>
</file>