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pStyle w:val="2"/>
        <w:ind w:firstLine="420"/>
        <w:rPr>
          <w:rFonts w:hint="eastAsia"/>
        </w:rPr>
      </w:pPr>
      <w:r>
        <w:rPr>
          <w:rFonts w:hint="eastAsia"/>
        </w:rPr>
        <w:t>根据北京市东城区机构编制委员会东编办【2014</w:t>
      </w:r>
      <w:bookmarkStart w:id="0" w:name="_GoBack"/>
      <w:bookmarkEnd w:id="0"/>
      <w:r>
        <w:rPr>
          <w:rFonts w:hint="eastAsia"/>
        </w:rPr>
        <w:t>】3号设立北京市东城区人民法院，内设13个部门。所属事业部门1个：北京市东城区人民法院综合事务中心。</w:t>
      </w:r>
    </w:p>
    <w:p>
      <w:pPr>
        <w:pStyle w:val="2"/>
        <w:ind w:firstLine="420"/>
        <w:rPr>
          <w:rFonts w:hint="eastAsia"/>
        </w:rPr>
      </w:pPr>
      <w:r>
        <w:rPr>
          <w:rFonts w:hint="eastAsia"/>
        </w:rPr>
        <w:t>部门设置：部门机构设置13个部门。业务部门为9个，分别为立案庭（诉讼服务中心）、刑事审判庭、民事审判一庭、民事审判二庭、民事审判三庭（知识产权审判庭）、行政审判庭、综合审判庭、执行局、天坛人民法庭；审判辅助部门2个：审判管理办公室（研究室）、司法警察大队；综合行政部门2个：综合办公室、政治部（机关党委 机关纪委）。</w:t>
      </w:r>
    </w:p>
    <w:p>
      <w:pPr>
        <w:pStyle w:val="2"/>
        <w:ind w:firstLine="420"/>
        <w:rPr>
          <w:rFonts w:hint="eastAsia"/>
        </w:rPr>
      </w:pPr>
      <w:r>
        <w:rPr>
          <w:rFonts w:hint="eastAsia"/>
        </w:rPr>
        <w:t>部门职责：充分履行审判职能，深入落实和推进司法改革，着力加强纪律作风建设，各项工作不断发展进步,为首都和东城区的和谐稳定发展提供了有力司法保障。</w:t>
      </w:r>
      <w:r>
        <w:rPr>
          <w:rFonts w:hint="eastAsia"/>
        </w:rPr>
        <w:tab/>
      </w:r>
    </w:p>
    <w:p>
      <w:pPr>
        <w:pStyle w:val="2"/>
        <w:ind w:firstLine="420"/>
        <w:rPr>
          <w:rFonts w:hint="eastAsia"/>
        </w:rPr>
      </w:pPr>
      <w:r>
        <w:rPr>
          <w:rFonts w:hint="eastAsia"/>
        </w:rPr>
        <w:t>部门工作任务：2010年6月28日，国务院正式批复了北京市政府关于调整首都功能核心区行政区划的请示。原东城区人民法院与原崇文区人民法院合并，成立新的北京市东城区人民法院。现有南、北两个办公区，北区位于北京市东城区交道口东大街1号，南区位于北京市东城区永外定安里10号。北京市东城区人民法院部门行政编制362人，实有人数335人；事业编制33人，实有人数31人；聘用人员（法院聘任书记员、聘用制司法警察、其他聘用人员）155人。主要受理辖区内一审刑事、民事、商事、行政、知识产权和执行案件。2022年，全院收案40016件，结案40253件，结收比100.6%，全院干警齐力同心、求真务实，较好完成了全年工作任务，各项工作迎来新局面、取得新实效。</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（二）部门整体绩效目标设立情况（包括绩效目标设立依据、目标</w:t>
      </w:r>
      <w:r>
        <w:rPr>
          <w:rFonts w:ascii="楷体_GB2312" w:eastAsia="楷体_GB2312"/>
          <w:sz w:val="32"/>
          <w:szCs w:val="32"/>
        </w:rPr>
        <w:t>与</w:t>
      </w:r>
      <w:r>
        <w:rPr>
          <w:rFonts w:hint="eastAsia" w:ascii="楷体_GB2312" w:eastAsia="楷体_GB2312"/>
          <w:sz w:val="32"/>
          <w:szCs w:val="32"/>
        </w:rPr>
        <w:t>职责任务匹配情况、目标合理性等）。</w:t>
      </w:r>
    </w:p>
    <w:p>
      <w:pPr>
        <w:pStyle w:val="2"/>
        <w:ind w:firstLine="420"/>
        <w:rPr>
          <w:rFonts w:hint="eastAsia"/>
        </w:rPr>
      </w:pPr>
      <w:r>
        <w:rPr>
          <w:rFonts w:hint="eastAsia"/>
        </w:rPr>
        <w:t>我院2022年度基本完成部门整体绩效目标，即在区委的领导下，在区人大及其常委会的监督和市高级法院的指导下，认真贯彻落实中央、市委及区委工作部署，忠实履行宪法法律赋予的职责，坚持服务大局、司法为民、公正司法，主要做好以下工作：一、融入首都发展大局，全力保障首都安全稳定和高质量发展；二、做好刑民行执各项工作，全力提升审判质效，提升司法公信力；三、以更多举措推进司法为民；四、坚定推进司法体制机制改革，不断提升司法公信力；五、以更严要求打造过硬政法队伍，强化党风廉政建设和司法能力建设；六、自觉接受各方监督，促进司法民主。</w:t>
      </w:r>
    </w:p>
    <w:p>
      <w:pPr>
        <w:pStyle w:val="2"/>
        <w:ind w:firstLine="420"/>
        <w:rPr>
          <w:rFonts w:hint="eastAsia"/>
        </w:rPr>
      </w:pPr>
      <w:r>
        <w:rPr>
          <w:rFonts w:hint="eastAsia"/>
        </w:rPr>
        <w:t>一年来，在区委的领导、区人大及其常委会的监督和市高院的指导下，我院坚持以习近平新时代中国特色社会主义思想为指导，认真学习贯彻党的十九大、二十大精神，着力践行习近平法治思想，以党的二十大安保维稳和司法为民公正司法为主线，围绕加速“崇文争先”，紧扣做实“六字文章”，忠实履行宪法、法律赋予的职责，统筹做好疫情防控、审判执行和队伍建设工作，较好地发挥了司法的服务保障职能。</w:t>
      </w:r>
    </w:p>
    <w:p>
      <w:pPr>
        <w:pStyle w:val="2"/>
        <w:ind w:firstLine="420"/>
        <w:rPr>
          <w:rFonts w:hint="eastAsia"/>
        </w:rPr>
      </w:pPr>
      <w:r>
        <w:rPr>
          <w:rFonts w:hint="eastAsia"/>
        </w:rPr>
        <w:t>我院从以下几个方面细化目标完成与实施：依法严惩各类刑事犯罪，积极参与社会治理，依法从严从快惩处妨害新冠疫情防控犯罪，保障首都重大活动举办；以加强知识产权保护、持续优化营商环境、保障“疏整促”等工作、深化改革相关工作、化解大量民生纠纷为重点，服务保障“五个东城”建设；通过着力优化立案和诉讼服务，依法妥善化解行政纠纷，不断解决执行难题，积极开展普法宣传，坚守公正司法为民司法。</w:t>
      </w:r>
    </w:p>
    <w:p>
      <w:pPr>
        <w:pStyle w:val="2"/>
        <w:ind w:firstLine="420"/>
        <w:rPr>
          <w:rFonts w:hint="eastAsia"/>
        </w:rPr>
      </w:pPr>
      <w:r>
        <w:rPr>
          <w:rFonts w:hint="eastAsia"/>
        </w:rPr>
        <w:t>我院严格按照年初预算进行部门整体支出。在支出过程中，能严格遵守各项规章制度。所有项目都详细制定了方案，严格按方案组织实施，并加强了监督。尤其是在专项经费支出上，我们能严格执行专项资金财务管理办法，专款专用，无截留、无挪用等现象。</w:t>
      </w:r>
    </w:p>
    <w:p>
      <w:pPr>
        <w:pStyle w:val="2"/>
        <w:ind w:firstLine="420"/>
      </w:pPr>
      <w:r>
        <w:rPr>
          <w:rFonts w:hint="eastAsia"/>
        </w:rPr>
        <w:t>我院依据《北京市高级人民法院机关2022年度目标责任制考核实施细则》，统筹做好司法政务保障。高标准做好机要保密工作，防止失密、泄密风险；精细化开展办文办会；不断完善代表委员联络工作，做好意见收集、工作整改、情况反馈和需求回应；稳妥做好人民陪审工作，持续推进深度参审；不断深化档案管理，避免因卷宗未及时归档引发工作风险；不断优化财务管理，将严控风险与优化流程相结合，为干警提供更优质高效服务。</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ind w:firstLine="420" w:firstLineChars="200"/>
        <w:rPr>
          <w:rFonts w:ascii="宋体" w:hAnsi="宋体"/>
        </w:rPr>
      </w:pPr>
      <w:r>
        <w:rPr>
          <w:rFonts w:hint="eastAsia" w:ascii="宋体" w:hAnsi="宋体"/>
        </w:rPr>
        <w:t>2022年</w:t>
      </w:r>
      <w:r>
        <w:rPr>
          <w:rFonts w:ascii="宋体" w:hAnsi="宋体"/>
        </w:rPr>
        <w:t>全年</w:t>
      </w:r>
      <w:r>
        <w:rPr>
          <w:rFonts w:hint="eastAsia" w:ascii="宋体" w:hAnsi="宋体"/>
        </w:rPr>
        <w:t>预算数</w:t>
      </w:r>
      <w:r>
        <w:rPr>
          <w:rFonts w:ascii="宋体" w:hAnsi="宋体"/>
        </w:rPr>
        <w:t>23,032.71</w:t>
      </w:r>
      <w:r>
        <w:rPr>
          <w:rFonts w:hint="eastAsia" w:ascii="宋体" w:hAnsi="宋体"/>
        </w:rPr>
        <w:t>万元</w:t>
      </w:r>
      <w:r>
        <w:rPr>
          <w:rFonts w:ascii="宋体" w:hAnsi="宋体"/>
        </w:rPr>
        <w:t>，</w:t>
      </w:r>
      <w:r>
        <w:rPr>
          <w:rFonts w:hint="eastAsia" w:ascii="宋体" w:hAnsi="宋体"/>
        </w:rPr>
        <w:t>其中</w:t>
      </w:r>
      <w:r>
        <w:rPr>
          <w:rFonts w:ascii="宋体" w:hAnsi="宋体"/>
        </w:rPr>
        <w:t>，基本</w:t>
      </w:r>
      <w:r>
        <w:rPr>
          <w:rFonts w:hint="eastAsia" w:ascii="宋体" w:hAnsi="宋体"/>
        </w:rPr>
        <w:t>支出</w:t>
      </w:r>
      <w:r>
        <w:rPr>
          <w:rFonts w:ascii="宋体" w:hAnsi="宋体"/>
        </w:rPr>
        <w:t>预算数20,350.53万元，</w:t>
      </w:r>
      <w:r>
        <w:rPr>
          <w:rFonts w:hint="eastAsia" w:ascii="宋体" w:hAnsi="宋体"/>
        </w:rPr>
        <w:t>项目支出预算数</w:t>
      </w:r>
      <w:r>
        <w:rPr>
          <w:rFonts w:ascii="宋体" w:hAnsi="宋体"/>
        </w:rPr>
        <w:t>2,6</w:t>
      </w:r>
      <w:r>
        <w:rPr>
          <w:rFonts w:hint="eastAsia" w:ascii="宋体" w:hAnsi="宋体"/>
        </w:rPr>
        <w:t>6</w:t>
      </w:r>
      <w:r>
        <w:rPr>
          <w:rFonts w:ascii="宋体" w:hAnsi="宋体"/>
        </w:rPr>
        <w:t>2.</w:t>
      </w:r>
      <w:r>
        <w:rPr>
          <w:rFonts w:hint="eastAsia" w:ascii="宋体" w:hAnsi="宋体"/>
        </w:rPr>
        <w:t>75</w:t>
      </w:r>
      <w:r>
        <w:rPr>
          <w:rFonts w:ascii="宋体" w:hAnsi="宋体"/>
        </w:rPr>
        <w:t>万元，其他支出</w:t>
      </w:r>
      <w:r>
        <w:rPr>
          <w:rFonts w:hint="eastAsia" w:ascii="宋体" w:hAnsi="宋体"/>
        </w:rPr>
        <w:t>预算数19.43</w:t>
      </w:r>
      <w:r>
        <w:rPr>
          <w:rFonts w:ascii="宋体" w:hAnsi="宋体"/>
        </w:rPr>
        <w:t>万元</w:t>
      </w:r>
      <w:r>
        <w:rPr>
          <w:rFonts w:hint="eastAsia" w:ascii="宋体" w:hAnsi="宋体"/>
        </w:rPr>
        <w:t>。</w:t>
      </w:r>
      <w:r>
        <w:rPr>
          <w:rFonts w:ascii="宋体" w:hAnsi="宋体"/>
        </w:rPr>
        <w:t>资金总体</w:t>
      </w:r>
      <w:r>
        <w:rPr>
          <w:rFonts w:hint="eastAsia" w:ascii="宋体" w:hAnsi="宋体"/>
        </w:rPr>
        <w:t>支出</w:t>
      </w:r>
      <w:r>
        <w:rPr>
          <w:rFonts w:ascii="宋体" w:hAnsi="宋体"/>
        </w:rPr>
        <w:t>22,630.52万元，其中，基本支出20,299.39万元，项目</w:t>
      </w:r>
      <w:r>
        <w:rPr>
          <w:rFonts w:hint="eastAsia" w:ascii="宋体" w:hAnsi="宋体"/>
        </w:rPr>
        <w:t>支出</w:t>
      </w:r>
      <w:r>
        <w:rPr>
          <w:rFonts w:ascii="宋体" w:hAnsi="宋体"/>
        </w:rPr>
        <w:t>2,3</w:t>
      </w:r>
      <w:r>
        <w:rPr>
          <w:rFonts w:hint="eastAsia" w:ascii="宋体" w:hAnsi="宋体"/>
        </w:rPr>
        <w:t>2</w:t>
      </w:r>
      <w:r>
        <w:rPr>
          <w:rFonts w:ascii="宋体" w:hAnsi="宋体"/>
        </w:rPr>
        <w:t>3.</w:t>
      </w:r>
      <w:r>
        <w:rPr>
          <w:rFonts w:hint="eastAsia" w:ascii="宋体" w:hAnsi="宋体"/>
        </w:rPr>
        <w:t>85</w:t>
      </w:r>
      <w:r>
        <w:rPr>
          <w:rFonts w:ascii="宋体" w:hAnsi="宋体"/>
        </w:rPr>
        <w:t>万元，其他支出</w:t>
      </w:r>
      <w:r>
        <w:rPr>
          <w:rFonts w:hint="eastAsia" w:ascii="宋体" w:hAnsi="宋体"/>
        </w:rPr>
        <w:t>7.28</w:t>
      </w:r>
      <w:r>
        <w:rPr>
          <w:rFonts w:ascii="宋体" w:hAnsi="宋体"/>
        </w:rPr>
        <w:t>万元。</w:t>
      </w:r>
      <w:r>
        <w:rPr>
          <w:rFonts w:hint="eastAsia" w:ascii="宋体" w:hAnsi="宋体"/>
        </w:rPr>
        <w:t>预算</w:t>
      </w:r>
      <w:r>
        <w:rPr>
          <w:rFonts w:ascii="宋体" w:hAnsi="宋体"/>
        </w:rPr>
        <w:t>执行率为98.25%</w:t>
      </w:r>
      <w:r>
        <w:rPr>
          <w:rFonts w:hint="eastAsia" w:ascii="宋体" w:hAnsi="宋体"/>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pPr>
        <w:pStyle w:val="2"/>
        <w:ind w:firstLine="420"/>
      </w:pPr>
      <w:r>
        <w:rPr>
          <w:rFonts w:hint="eastAsia"/>
        </w:rPr>
        <w:t>2022年，全院收案40016件，结案40253件，结收比100.6%，法官人均结案376件。全院全年审判执行文书数量（份）44411份。全院全年数字化档案数量（卷）33098卷。</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p>
    <w:p>
      <w:pPr>
        <w:pStyle w:val="2"/>
        <w:ind w:firstLine="420"/>
        <w:rPr>
          <w:rFonts w:hint="eastAsia"/>
        </w:rPr>
      </w:pPr>
      <w:r>
        <w:rPr>
          <w:rFonts w:hint="eastAsia"/>
        </w:rPr>
        <w:t>2022年，我院一审判决案件改判发回重审率为0.23%，排名16个区法院第1位。生效改判发回（瑕疵）案件1件。我院运用互联网司法，在线庭审率为151.5%，累计在线庭审40048件次，排名全市法院第1位，各部门均完成目标任务。审判流程有效公开率为100%。我院以司法公开促进法治精神传播，裁判文书上网率始终保持100%，网上直播案件排名全国基层法院前列，被中国法院网评选为“全国优秀直播法院”。</w:t>
      </w:r>
    </w:p>
    <w:p>
      <w:pPr>
        <w:pStyle w:val="2"/>
        <w:ind w:firstLine="420"/>
        <w:rPr>
          <w:rFonts w:hint="eastAsia"/>
        </w:rPr>
      </w:pPr>
      <w:r>
        <w:rPr>
          <w:rFonts w:hint="eastAsia"/>
        </w:rPr>
        <w:t>2022年，我院物业、金融、知识产权、合同等四大领域的类型化诉讼案件占民商事案件比例为11.89%，由低到高排名16个区法院第9位，同比下降2.1%。</w:t>
      </w:r>
    </w:p>
    <w:p>
      <w:pPr>
        <w:pStyle w:val="2"/>
        <w:ind w:firstLine="420"/>
        <w:rPr>
          <w:rFonts w:hint="eastAsia"/>
        </w:rPr>
      </w:pPr>
      <w:r>
        <w:rPr>
          <w:rFonts w:hint="eastAsia"/>
        </w:rPr>
        <w:t>2022年投诉信访率为0.06%，共办结25件，完成率达100%，扎实开展矛盾化解，坚持依法处理、同步舆情引导、注重社会面防控，妥善办结重大敏感案件，避免矛盾扩大转移。扎实开展风险防范，聚焦重要节点、特殊领域、群体纠纷，严防立案审判执行各环节出现影响社会稳定的风险隐患。扎实开展涉诉信访工作，对重点案件实行院长督办，妥善化解多起历史遗留信访案，解开信访当事人的“心结”；为期三年的重复信访集中治理工作顺利收官，获评区治理重复信访先进单位。</w:t>
      </w:r>
    </w:p>
    <w:p>
      <w:pPr>
        <w:pStyle w:val="2"/>
        <w:ind w:firstLine="420"/>
        <w:rPr>
          <w:rFonts w:hint="eastAsia"/>
        </w:rPr>
      </w:pPr>
      <w:r>
        <w:rPr>
          <w:rFonts w:hint="eastAsia"/>
        </w:rPr>
        <w:t>2022年，审执质量继续保持领先，一审判决案件改判发回重审率（瑕疵）0.23%，排名区法院首位，未出现被定错的执行撤改案件。全院多层级质量管理辐射效应增强，审判委员会强化示范引领，院庭长强化监督管理，专业法官会议强化集中会诊，合议庭强化实质性合议。案件评查形成部门自查、评查法官互查、信息化排查的多元格局，发布多期工作指引，为法官提供规范参考。</w:t>
      </w:r>
    </w:p>
    <w:p>
      <w:pPr>
        <w:pStyle w:val="2"/>
        <w:ind w:firstLine="420"/>
      </w:pPr>
      <w:r>
        <w:rPr>
          <w:rFonts w:hint="eastAsia"/>
        </w:rPr>
        <w:t>2022年，我院持续解决执行难题。办结执行案件13110件，执行到位金额117.4亿元。</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w:t>
      </w:r>
      <w:r>
        <w:rPr>
          <w:rFonts w:ascii="仿宋_GB2312" w:hAnsi="宋体" w:eastAsia="仿宋_GB2312" w:cs="宋体"/>
          <w:color w:val="000000"/>
          <w:kern w:val="0"/>
          <w:sz w:val="32"/>
          <w:szCs w:val="32"/>
        </w:rPr>
        <w:t>进度</w:t>
      </w:r>
    </w:p>
    <w:p>
      <w:pPr>
        <w:pStyle w:val="2"/>
        <w:ind w:firstLine="420"/>
      </w:pPr>
      <w:r>
        <w:rPr>
          <w:rFonts w:hint="eastAsia"/>
        </w:rPr>
        <w:t>2022年度当年案件结收比为100%，与上年一致。按照市高院工作部署，续推广电子送达，积极引导当事人同意并首选电子送达，对当事人已经确认电子送达地址的商事案件，确保电子送达率100%。全院2022年度电子送达覆盖率达71.55%。2022年，全院有财产可供执行案件法定审限内执结率为99.14%（合格标准为90%），持续解决执行难题。我院各项经费做到及时报账，及时支付。各项工作及时开展，维稳工作及时汇报，及时处理。</w:t>
      </w:r>
    </w:p>
    <w:p>
      <w:pPr>
        <w:ind w:left="105" w:leftChars="50" w:firstLine="480" w:firstLineChars="150"/>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rPr>
        <w:t xml:space="preserve">  </w:t>
      </w:r>
    </w:p>
    <w:p>
      <w:pPr>
        <w:ind w:left="105" w:leftChars="50" w:firstLine="315" w:firstLineChars="150"/>
      </w:pPr>
      <w:r>
        <w:rPr>
          <w:rFonts w:hint="eastAsia"/>
        </w:rPr>
        <w:t>我院202</w:t>
      </w:r>
      <w:r>
        <w:t>2</w:t>
      </w:r>
      <w:r>
        <w:rPr>
          <w:rFonts w:hint="eastAsia"/>
        </w:rPr>
        <w:t>年全口径案件成本（全年财政拨款预算数（项目经费）/审结案件数量）为661.5元，较2021年增加73.6元，主要是我院结案量降低。</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p>
    <w:p>
      <w:pPr>
        <w:pStyle w:val="2"/>
        <w:ind w:firstLine="420"/>
        <w:rPr>
          <w:rFonts w:hint="eastAsia"/>
        </w:rPr>
      </w:pPr>
      <w:r>
        <w:rPr>
          <w:rFonts w:hint="eastAsia"/>
        </w:rPr>
        <w:t>依法审理各类案件，维护社会稳定、促进经济发展，保障办公办案正常运转，使全县经济效益稳步增长，效益显著。</w:t>
      </w:r>
    </w:p>
    <w:p>
      <w:pPr>
        <w:pStyle w:val="2"/>
        <w:ind w:firstLine="420"/>
        <w:rPr>
          <w:rFonts w:hint="eastAsia"/>
        </w:rPr>
      </w:pPr>
      <w:r>
        <w:rPr>
          <w:rFonts w:hint="eastAsia"/>
        </w:rPr>
        <w:t>我院2022年网上预约立案数量（占全部收案数量的比重）为49.75%，完成了年初40%的预定目标。优化智慧法院成果运用。疫情期间为便利当事人诉讼，优化在线立案服务，制定发布《网上立案指引》，为群众提供“键对键”的指引；完成在线立案19908件次，占受理案件总数的49.75%。优化在线庭审服务，制作发布“云庭审”操作视频，推广在线诉讼典型案例，增强群众线上参诉的认同感。优化在线配套服务，制作与街道社区调委会线上诉调对接工作指南，推广律师便捷诉讼“一码通”，协调社区帮助老年、残障等特殊群体参与在线庭审。开展在线庭审38033件次，在线庭审率居全市中基层法院领先地位。</w:t>
      </w:r>
    </w:p>
    <w:p>
      <w:pPr>
        <w:pStyle w:val="2"/>
        <w:ind w:firstLine="420"/>
        <w:rPr>
          <w:rFonts w:hint="eastAsia"/>
        </w:rPr>
      </w:pPr>
      <w:r>
        <w:rPr>
          <w:rFonts w:hint="eastAsia"/>
        </w:rPr>
        <w:t>我院2022年我院平均扣除审限天数为68.25天，在16个区法院中最短，比全市平均值短49.4天；最后一次开庭至结案平均天数我院为27.37天，由低到高排名提升至16个区法院第5位；民商事案件平均审理天数我院为80.82天，比2020年与2021年平均值（86.6天）下降6.7%，排名16个区法院第6位，同比提升3个位次，由2021年的不得分项目提升至满分项目。</w:t>
      </w:r>
    </w:p>
    <w:p>
      <w:pPr>
        <w:pStyle w:val="2"/>
        <w:ind w:firstLine="420"/>
      </w:pPr>
      <w:r>
        <w:rPr>
          <w:rFonts w:hint="eastAsia"/>
        </w:rPr>
        <w:t>保证首都经济运转和维护营商环境情况，回应生产经营发展需求。围绕保障企业经营权益，妥善办结买卖合同、股权转让、损害公司利益责任案件696件。围绕保障企业融资权益，对超过法律规定上限的利息不予支持，依法降低畸高融资成本，引导金融业更好提振实体经济。围绕保障企业纾困解难，对劳动争议注重释法说理和依法调解，寓劳动者的权益维护于企业的持续发展之中；发挥执行局产权保护调解室作用，对企业之间的执行案件经双方同意采取缓和执行方式，企业得以更好接续经营。</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2.社会效益</w:t>
      </w:r>
    </w:p>
    <w:p>
      <w:pPr>
        <w:pStyle w:val="2"/>
        <w:ind w:firstLine="420"/>
        <w:rPr>
          <w:rFonts w:hint="eastAsia"/>
        </w:rPr>
      </w:pPr>
      <w:r>
        <w:rPr>
          <w:rFonts w:hint="eastAsia"/>
        </w:rPr>
        <w:t>按照法院围绕中心、服务大局的工作要求，紧扣经济社会发展履职尽责。积极融入国家发展大局，在司法办案中始终把牢方向、站稳立场，以高质量司法保障安全稳定、保障经济发展、保障民生福祉。积极融入新时代首都发展大局，深入贯彻市第十三次党代会和市委全会精神，围绕“五子联动”关键领域和重点环节，做好风险防控、矛盾化解和审判执行工作。积极融入我区发展大局，更好保障加速“崇文争先”、做实“六字文章”，妥善办理好服务核心区控规落实、老城保护复兴、文化强区战略、国际消费中心城市示范区建设等区重点工作相关案件，全力服务我区高质量发展。</w:t>
      </w:r>
    </w:p>
    <w:p>
      <w:pPr>
        <w:pStyle w:val="2"/>
        <w:ind w:firstLine="420"/>
        <w:rPr>
          <w:rFonts w:hint="eastAsia"/>
        </w:rPr>
      </w:pPr>
      <w:r>
        <w:rPr>
          <w:rFonts w:hint="eastAsia"/>
        </w:rPr>
        <w:t>我院紧扣安全稳定“靖”字文章，做好风险防控工作，2022年度办结刑事案件591件。严厉打击危害国家安全、危害公共安全、扰乱公共秩序和侵害人民群众人身权、财产权等各类犯罪，保障首都核心区安全稳定。整治养老诈骗专项行动取得积极成效，判处以理财投资为名的诈骗案件15件38人，守住老人的“吃饭钱、看病钱”；该项工作受到全国专项行动办公室肯定，我院在全市法院作经验介绍，惩治高价收藏品诈骗老人案入选北京法院典型案例。办结全市首例被告人将贩毒所得从事洗钱案件，切断毒品衍生犯罪财物转移渠道。巩固反腐败斗争成果，坚持受贿行贿一起惩处，判决受贿、行贿案件10件10人。推进扫黑除恶常态化，贯彻《反有组织犯罪法》，对上级指定管辖的外区黑恶势力及保护伞犯罪21件25人实施有力打击；坚持打防并举，针对部门、单位管理中存在的漏洞和问题，发出6份司法建议，助力完善基层治理。</w:t>
      </w:r>
    </w:p>
    <w:p>
      <w:pPr>
        <w:pStyle w:val="2"/>
        <w:ind w:firstLine="420"/>
      </w:pPr>
      <w:r>
        <w:rPr>
          <w:rFonts w:hint="eastAsia"/>
        </w:rPr>
        <w:t>我院大力参与疫情防控，依法办结涉疫案件，在法治轨道上保障防疫措施有效落实。积极参与抗疫，成立青年党员志愿先锋队，闻令而动昼夜驰援流调专班、集中隔离点；全院干警尽锐出战、轮番上阵，投身到核酸检测、卡口执勤、疫苗接种、政策宣传等基层防疫工作中，分担了街道社区的防疫压力。积极建言献策疫情防控工作，制作违反防疫规定的格式化法律风险告知书，为防疫措施精准优化提供法治服务和保障。</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3.环境效益</w:t>
      </w:r>
    </w:p>
    <w:p>
      <w:pPr>
        <w:pStyle w:val="2"/>
        <w:ind w:firstLine="420"/>
      </w:pPr>
      <w:r>
        <w:rPr>
          <w:rFonts w:hint="eastAsia"/>
        </w:rPr>
        <w:t>服务保障文化中心建设。妥善办理文物保护、老城复兴、中轴线申遗相关案件；立足职能妥善维护文艺产权、规范文艺行业；注重社会主义核心价值观融入司法裁判，着力中医药传统文化保护；保障文创行业发展，深度融入区“紫金服务”品牌体系。</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4.可持续</w:t>
      </w:r>
      <w:r>
        <w:rPr>
          <w:rFonts w:ascii="仿宋_GB2312" w:hAnsi="宋体" w:eastAsia="仿宋_GB2312" w:cs="宋体"/>
          <w:color w:val="000000"/>
          <w:kern w:val="0"/>
          <w:sz w:val="32"/>
          <w:szCs w:val="32"/>
        </w:rPr>
        <w:t>性影响</w:t>
      </w:r>
    </w:p>
    <w:p>
      <w:pPr>
        <w:pStyle w:val="2"/>
        <w:ind w:firstLine="420"/>
        <w:rPr>
          <w:rFonts w:hint="eastAsia"/>
        </w:rPr>
      </w:pPr>
      <w:r>
        <w:rPr>
          <w:rFonts w:hint="eastAsia"/>
        </w:rPr>
        <w:t>我院审判执行工作整体水平良好，切实服务群众，保障人民权重利益，人民法院的公信力不断增强。</w:t>
      </w:r>
    </w:p>
    <w:p>
      <w:pPr>
        <w:pStyle w:val="2"/>
        <w:ind w:firstLine="420"/>
        <w:rPr>
          <w:rFonts w:hint="eastAsia"/>
        </w:rPr>
      </w:pPr>
      <w:r>
        <w:rPr>
          <w:rFonts w:hint="eastAsia"/>
        </w:rPr>
        <w:t>做好司法为民工作，加强民生司法保障。依法适用民法典，妥善办结事关群众衣食住行、养老育幼、婚姻继承的民生案件4555件。维护食药等公共安全，办结某肿瘤药品公司销售假药案，被最高法院评选为药品安全十大典型案例；判处销售有毒“降糖茶”的被告人有期徒刑10年，守护群众“舌尖上”的安全；判决高空抛物罪案件2件2人，群众“头顶上”的安全更有保障。维护妇女儿童权益，与区教委就未成年人司法保护与社会支持开展合作、探索建立校园争议诉前调解机制，与区妇联合作试点家事调解员举措，发出人身安全保护令13件，推动妇女儿童保护机制更优、合力更强。维护劳动者权益，办结劳动争议案件1074件，高效调处涉医疗企业员工、建筑业农民工群体薪酬纠纷，帮助劳动者端稳就业“饭碗”。维护个人信息权益，依法办结全市首例因拨打骚扰电话引发的侵权案件，为私人电话号码的收集和处理上好司法保护“安全锁”。在支持行政机关依法行政的同时，维护行政相对人合法权益，判决区属行政机关败诉案件29件，占经法院判决行政案件的17.3%。</w:t>
      </w:r>
    </w:p>
    <w:p>
      <w:pPr>
        <w:pStyle w:val="2"/>
        <w:ind w:firstLine="420"/>
        <w:rPr>
          <w:rFonts w:hint="eastAsia"/>
        </w:rPr>
      </w:pPr>
      <w:r>
        <w:rPr>
          <w:rFonts w:hint="eastAsia"/>
        </w:rPr>
        <w:t>与市、区两级文旅主管部门合作，建立著作权行政保护与司法保护衔接机制，向多家单位发送司法建议，为文化产业创新发展提供法治保障。在王府井商圈设立法官工作站，为多家知名企业开展知识产权、消费者权益保护等方面的法律知识宣讲，服务国家级消费示范区建设。与工商界人民团体联合创办“法律商会网络讲堂”，为辖区文创企业依法经营和依法维权量身定制普法服务。</w:t>
      </w:r>
    </w:p>
    <w:p>
      <w:pPr>
        <w:pStyle w:val="2"/>
        <w:ind w:firstLine="420"/>
        <w:rPr>
          <w:rFonts w:hint="eastAsia"/>
        </w:rPr>
      </w:pPr>
      <w:r>
        <w:rPr>
          <w:rFonts w:hint="eastAsia"/>
        </w:rPr>
        <w:t>我院把政治建设放在首位，坚持党对法院工作的绝对领导，自觉接受党委政法委的政治督察和司法监督。加强理论武装，扎实开展“两个确立”主题教育，深入学习宣传贯彻党的二十大精神，引导干警深刻领悟“两个确立”的决定性意义，切实做到“两个维护”。加强党组织建设，每月发布党建任务提示单；开展党支部政治生态“体检”、党务干部政治轮训、干警政治素质测评。党建考评体系调研课题获区优秀调研一等奖，1名法官获评“首都劳动奖章”，1名党支部书记被评为全国法院政治工作先进个人。加强青年干警理论素质培养，打造“水滴学堂”“东法智读会”等学习平台，获《人民法院报》和市委机关刊物宣传推介。</w:t>
      </w:r>
    </w:p>
    <w:p>
      <w:pPr>
        <w:pStyle w:val="2"/>
        <w:ind w:firstLine="420"/>
        <w:rPr>
          <w:rFonts w:hint="eastAsia"/>
        </w:rPr>
      </w:pPr>
      <w:r>
        <w:rPr>
          <w:rFonts w:hint="eastAsia"/>
        </w:rPr>
        <w:t>我院人才培养注重夯实能力根基，完善各类岗位练兵比武机制，将结果与入额遴选、法官考核、评优评先挂钩。市级审判业务和司法实务专家达到4名，各类市级业务政务标兵达到17名，领军型、骨干型人才不断涌现。探索建立青年人才“三类三阶”善养体系，实现人才梯次化培养、集群化发展。推进涉文化领域审判特色人才高地建设，举办3场司法文化论坛，以特色法院文化培根固本、涵养队伍。加强学术调研工作，20篇论文29人次获全国及北京法院学术论文奖项，我院连续3年被评为全国法院学术论文组织工作先进单位。</w:t>
      </w:r>
    </w:p>
    <w:p>
      <w:pPr>
        <w:pStyle w:val="2"/>
        <w:ind w:firstLine="420"/>
      </w:pPr>
      <w:r>
        <w:rPr>
          <w:rFonts w:hint="eastAsia"/>
        </w:rPr>
        <w:t>我院2022年度强化裁判示范，发布社会主义核心价值观融入司法典型案例，用敬老文化柔性化解家庭内部矛盾，用和合文化悉心调处四合院邻里纠纷。37名法官担任法治副校长走进校园讲授普法课，法官走进社区讲解养老反诈要诀，走进企业单位讲解民法典20余场。创新普法载体，干警自导自演情景剧《法槌的温度》，获东城戏剧节一等奖；防诈骗短剧《粮票风波》在街道社区巡演，受到群众欢迎。召开新闻发布会6场，介绍司法助力文化发展等典型案例，讲好小案大道理；通过官方微信、微博等平台推送普法文章560篇，超400万人次阅读，鲜活生动的法治文化呈现于公众掌心指尖。</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5.服务对象</w:t>
      </w:r>
      <w:r>
        <w:rPr>
          <w:rFonts w:ascii="仿宋_GB2312" w:hAnsi="宋体" w:eastAsia="仿宋_GB2312" w:cs="宋体"/>
          <w:color w:val="000000"/>
          <w:kern w:val="0"/>
          <w:sz w:val="32"/>
          <w:szCs w:val="32"/>
        </w:rPr>
        <w:t>满意度</w:t>
      </w:r>
    </w:p>
    <w:p>
      <w:pPr>
        <w:pStyle w:val="2"/>
        <w:ind w:firstLine="420"/>
        <w:rPr>
          <w:rFonts w:hint="eastAsia"/>
        </w:rPr>
      </w:pPr>
      <w:r>
        <w:rPr>
          <w:rFonts w:hint="eastAsia"/>
        </w:rPr>
        <w:t>我院2022年度工作办公获同级人民代表大会通过、赞成率为100%。群众满意度达90%以上。</w:t>
      </w:r>
    </w:p>
    <w:p>
      <w:pPr>
        <w:pStyle w:val="2"/>
        <w:ind w:firstLine="420"/>
      </w:pPr>
      <w:r>
        <w:rPr>
          <w:rFonts w:hint="eastAsia"/>
        </w:rPr>
        <w:t>我院依托12368热线接听民声诉求，积极对接基层社会治理需求，未诉先办解决争议，热线回访满意度100%。同时加强与人大代表、政协委员沟通联络，始终铭记权力来自人民、行权为了人民，自觉接受代表委员监督。潜心倾听代表委员声音，不断拓宽代表委员行使知情权、参与权和监督权渠道，开展读书交流、文化论坛、社区普法等线上线下联络活动8场。尽心落实代表委员意见建议，接受代表委员监督指导工作50余人次，依据意见建议加强诉源治理、便民诉讼、精准普法等工作。用心回应代表委员关切，向区人大常委会专题汇报保障优化营商环境工作，反馈意见建议回函20份，根据意见建议进一步延伸商事审判职能，为更好找准司法服务的发力点打下坚实基础。</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pPr>
        <w:pStyle w:val="2"/>
        <w:ind w:firstLine="420"/>
        <w:rPr>
          <w:rFonts w:hint="eastAsia"/>
        </w:rPr>
      </w:pPr>
      <w:r>
        <w:rPr>
          <w:rFonts w:hint="eastAsia"/>
        </w:rPr>
        <w:t>我院持续加强制度建设和管理。根据上级相关政策和本院实际情况，相继制定并完善了财经各项规章制度，形成了包括《内部控制制度》、《预算管理办法》、《财务管理办法》、《绩效管理办法》、《固定资产管理办法》、《政府采购管理办法》、《合同管理办法》、《专项资金管理办法》和《公务卡管理办法》等一套完整、合规的财务管理制度，既加强财务管理、也规范财务行为。</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p>
    <w:p>
      <w:pPr>
        <w:pStyle w:val="2"/>
        <w:ind w:firstLine="420"/>
      </w:pPr>
      <w:r>
        <w:rPr>
          <w:rFonts w:hint="eastAsia"/>
        </w:rPr>
        <w:t>在2022年的财务工作中，我院严格按照符合国家财经法规和财务管理制度规定以及有关专项资金管理办法的规定制定的财务管理制度要求，坚持“依法理财，厉行节约；保证重点，强化绩效；明确责任，控制风险”的原则，科学合理编制部门预算，严格年度预算执行，完整准确编制决算，统筹资金，突出重点。严格经费收支管理，提高资金使用效益。严格按照各项专项资金使用用途安排该专项资金的支出使用，严格遵守“专款专用”原则，严格落实专项资金的申拨、使用审批手续，充分发挥资金使用效益。严格规范经费开支审批权限，做到层层审批、层层把关，单位的重大项目安排、大额度资金的使用，严格按照“三重一大”集体决策制度的相关规定，报院党组研究通过，且形成文字纪要后方可执行。各庭室提出事前经费申请，经审批通过后再开展相关业务。认真核实基础数据，实施预算绩效管理, 落实政府采购、政府购买服务和资金结算管理办法等财务管理要求使用资金。保证资金的使用合法、合规且安全完整、财务信息真实有效，为审判、执行和其他工作任务的圆满完成提供安全、有效的经费保障。</w:t>
      </w:r>
    </w:p>
    <w:p>
      <w:pPr>
        <w:tabs>
          <w:tab w:val="left" w:pos="4308"/>
        </w:tabs>
        <w:spacing w:line="600" w:lineRule="exact"/>
        <w:ind w:left="105" w:leftChars="50" w:firstLine="480" w:firstLineChars="150"/>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r>
        <w:rPr>
          <w:rFonts w:ascii="仿宋_GB2312" w:hAnsi="宋体" w:eastAsia="仿宋_GB2312" w:cs="宋体"/>
          <w:color w:val="000000"/>
          <w:kern w:val="0"/>
          <w:sz w:val="32"/>
          <w:szCs w:val="32"/>
        </w:rPr>
        <w:tab/>
      </w:r>
    </w:p>
    <w:p>
      <w:pPr>
        <w:pStyle w:val="2"/>
        <w:ind w:firstLine="420"/>
        <w:rPr>
          <w:rFonts w:hint="eastAsia"/>
        </w:rPr>
      </w:pPr>
      <w:r>
        <w:rPr>
          <w:rFonts w:hint="eastAsia"/>
        </w:rPr>
        <w:t>我院保证本报告的会计基础数据信息和会计信息资料真实、完整、准确。该报告依据本部门登记完整、核对无误的会计账簿和其他有关会计核算资料编制，账证相符、账实相符、账表相符、表表相符，真实、准确、完整地反映了本部门预算执行结果和财务状况。</w:t>
      </w:r>
    </w:p>
    <w:p>
      <w:pPr>
        <w:pStyle w:val="2"/>
        <w:ind w:firstLine="420"/>
      </w:pPr>
      <w:r>
        <w:rPr>
          <w:rFonts w:hint="eastAsia"/>
        </w:rPr>
        <w:t>我院的财务管理工作，贯穿于法院日常工作，是确保司法公平公正公开的基础保障，在财务管理上严格遵守会计规章制度，明确“收支两条线”的管理办法，配备财务人员，保障了财务工作的开展。经费在日常使用中，严格遵守政府会计准则制度，会计独立核算，有专门的账套设置会计科目进行记账管理。加强内外监督，本单位纪检部门定期对专项资金规范使用管理情况的监督与指导。同时积极接受上级部门监督。</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（二）资产管理</w:t>
      </w:r>
    </w:p>
    <w:p>
      <w:pPr>
        <w:pStyle w:val="2"/>
        <w:ind w:firstLine="420"/>
      </w:pPr>
      <w:r>
        <w:rPr>
          <w:rFonts w:hint="eastAsia"/>
        </w:rPr>
        <w:t>我部门资产保存完整，使用合规，配置合理，处置规范，总体使用效率高。严格依据《固定资产管理办法》进行资产的购置、登记、领用、盘点、报废处置等。我院资产为固定资产价值170,961,234.58元，比去年增加270,581.00 元,增加0.16%。主要：法庭庭审记录设备（法庭高清庭审集控主机设备）、法庭扩声设备（审判用会议话筒主机套装）、司法警察装备（警用装备购置攻防一体法式催泪盾牌、防刺背心、手持金属探测器、执法记录仪、4G对讲机）、档案室设备（电子卷宗系统服务器及存储设备）、其他办案装备（桌、椅、五节柜、屏风工位）等。</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pPr>
        <w:pStyle w:val="2"/>
        <w:ind w:firstLine="420"/>
        <w:rPr>
          <w:rFonts w:hint="eastAsia"/>
        </w:rPr>
      </w:pPr>
      <w:r>
        <w:rPr>
          <w:rFonts w:hint="eastAsia"/>
        </w:rPr>
        <w:t>我院持续开展预算绩效管理工作，按照《中共北京市委 北京市人民政府关于全面实施预算绩效管理的实施意见》的总体要求，积极作为、改革创新，着力提升预算绩效管理的有效性、针对性，开展预算绩效管理工作，持续做好成本管控和绩效管理，坚决压减低效无效支出，加强财政绩效管理，促进本单位预算绩效管理能力水平均衡发展。我院高度重视绩效自评结果的应用工作，积极探索和建立一套与预算管理相结合、多渠道应用评价结果的有效机制。我院持续提升绩效运行监控水平，对绩效目标偏离情况及时进行矫正。我院每年通过官网公开上一年度年度部门决算的同时，将绩效自评结果一并公开</w:t>
      </w:r>
    </w:p>
    <w:p>
      <w:pPr>
        <w:pStyle w:val="2"/>
        <w:ind w:firstLine="420"/>
      </w:pPr>
      <w:r>
        <w:rPr>
          <w:rFonts w:hint="eastAsia"/>
        </w:rPr>
        <w:t>2023年，北京市东城区人民法院对2022年度部门项目支出实施了绩效评价，评价项目11个，占部门项目总数的100%，涉及金额2,682.18万元。其中，重点评价项目1个，涉及金额339.60万元，评价得分在90（含）-100分的1个、评价得分在80（含）-90分的0个、评价得分在60（含）-80分的0个、评价得分在60分以下的0个。单位自评项目10个，涉及金额2,342.58万元，评价得分在90（含）-100分的10个、评价得分在80（含）-90分的0个、评价得分在60（含）-80分的0个、评价得分在60分以下的0个。我院在预算绩效管理主体责任的落实情况及工作开展情况上，积极稳妥且富有成效，在进一步推动法院在绩效指标设计上，能较准确体现项目的实际决策、产出及效益情况，扩大定量指标的设置，落实成本控制不超预算，绩效管理较上一年有明显进步。</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（四）结转结余率</w:t>
      </w:r>
    </w:p>
    <w:p>
      <w:pPr>
        <w:pStyle w:val="2"/>
        <w:ind w:firstLine="420"/>
      </w:pPr>
      <w:r>
        <w:rPr>
          <w:rFonts w:hint="eastAsia"/>
        </w:rPr>
        <w:t>我院2022年结转结余率是1.75%，比2021年减少2.65%。</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p>
    <w:p>
      <w:pPr>
        <w:pStyle w:val="2"/>
        <w:ind w:firstLine="420"/>
      </w:pPr>
      <w:r>
        <w:rPr>
          <w:rFonts w:hint="eastAsia"/>
        </w:rPr>
        <w:t>我院2022年部门预决算差异率是1.62%，本年度我院严格执行市财政批复的部门预算支出，未经财政部门批准，不得随意进行预算调整，杜绝无预算支出，不存在截留、挤占、挪用情况，确保各项工作顺利完成。</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pStyle w:val="2"/>
        <w:ind w:firstLine="420"/>
        <w:rPr>
          <w:rFonts w:hint="eastAsia"/>
        </w:rPr>
      </w:pPr>
      <w:r>
        <w:rPr>
          <w:rFonts w:hint="eastAsia"/>
        </w:rPr>
        <w:t>我院2022年部门整体绩效评价得分是95.65分。</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（二）存在的问题及原因分析</w:t>
      </w:r>
    </w:p>
    <w:p>
      <w:pPr>
        <w:pStyle w:val="2"/>
        <w:ind w:firstLine="420"/>
        <w:rPr>
          <w:rFonts w:hint="eastAsia"/>
        </w:rPr>
      </w:pPr>
      <w:r>
        <w:rPr>
          <w:rFonts w:hint="eastAsia"/>
        </w:rPr>
        <w:t>一是司法责任体系还不完善，存在个别案件审理周期较长的情况，还需持续加强职责使命教育，增强担当作为意识。二是队伍审判能力建设仍有不足，存在个别案件审判质量不高的情况，还需以问题导向抓实能力建设，增强司法为民、服务大局的本领。三是智慧法院建设尚有短板，存在少数案件线上开庭运行不顺畅的情况，还需持续以改革提质效，增强司法便民利民服务水平。四是个别干警司法作风不够优良，存在个别人员违反纪律的情况，还需坚持严的总基调，加大党风廉政建设力度。我们会以更多付出和更大努力，着力解决上述问题。</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r>
        <w:rPr>
          <w:rFonts w:hint="eastAsia" w:ascii="仿宋_GB2312" w:hAnsi="宋体" w:eastAsia="仿宋_GB2312" w:cs="宋体"/>
          <w:color w:val="000000"/>
          <w:kern w:val="0"/>
          <w:sz w:val="32"/>
          <w:szCs w:val="32"/>
        </w:rPr>
        <w:t>（整改措施、下一步工作举措）</w:t>
      </w:r>
    </w:p>
    <w:p>
      <w:pPr>
        <w:ind w:firstLine="420" w:firstLineChars="200"/>
        <w:rPr>
          <w:rFonts w:hint="eastAsia"/>
        </w:rPr>
      </w:pPr>
      <w:r>
        <w:rPr>
          <w:rFonts w:hint="eastAsia"/>
        </w:rPr>
        <w:t>一是抓实抓细办案周期。在整体办案周期向好的基础上，紧盯“关键少数”案件和关键流程节点。针对审理时间较长的普通程序案件开展专项评查，重点检查节点用时、程序转换、延期开庭等内容，以精准督办助推积案攻坚，源头治理“边清边积”，狠抓旧存案件清理，开展长期未结案清理专项行动；建立完善重点案件台账管理机制、积案双评双管机制；加强对案件的督办，确保如期完成工作目标。</w:t>
      </w:r>
    </w:p>
    <w:p>
      <w:pPr>
        <w:ind w:firstLine="420" w:firstLineChars="200"/>
        <w:rPr>
          <w:rFonts w:hint="eastAsia"/>
        </w:rPr>
      </w:pPr>
      <w:r>
        <w:rPr>
          <w:rFonts w:hint="eastAsia"/>
        </w:rPr>
        <w:t>二是案件质量始终领跑，提升队伍审判能力。全院多层级质量管理辐射效应增强，审判委员会强化示范引领，院庭长强化监督管理，专业法官会议强化集中会诊，合议庭强化实质性合议。案件评查形成部门自查、评查法官互查、信息化排查的多元格局，发布多期工作指引，为法官提供规范参考。全院找准前后端结案强度平衡点，配平团队任务系数“砝码”，各部门找准团队结案能力与结案目标平衡点，配强团队组合“最大公约数”，激发团队最大合力。加强小额专业团队、速执团队等专业化建设，集中力量多结案，提升小额程序适用率、首执案件人均结案数等指标。</w:t>
      </w:r>
    </w:p>
    <w:p>
      <w:pPr>
        <w:ind w:firstLine="420" w:firstLineChars="200"/>
        <w:rPr>
          <w:rFonts w:hint="eastAsia"/>
        </w:rPr>
      </w:pPr>
      <w:r>
        <w:rPr>
          <w:rFonts w:hint="eastAsia"/>
        </w:rPr>
        <w:t>三是加强智慧法院成果运用，不断释放改革效能。深刻把握实现数字正义新要求，拓展信息技术在司法领域的应用场景，不断提高智能化办案水平。类案检索更加主动。深化我院类案检索研讨的成果转化应用，将类案检索作为统一法律适用的有效手段，将类案检索报告作为集体研究讨论案件的必要参考，在更多案件中尝试使用类案检索，努力提升审判质量。电子卷宗应用更加熟练。树立“科技赋能”理念，审判人员克服思维惯性，熟练掌握文书自动生成和电子卷宗远程浏览等核心功能。加强信息化推广和服务保障工作，帮助审判人员熟练掌握智能化办案新技能。用好用活在线诉讼规则。主动适应后疫情时代在线诉讼新变化，深入学习运用《人民法院在线诉讼规则》《人民法院在线调解规则》《人民法院在线运行规则》，加强诉讼指导，拓展在线诉讼功能，用好用活电子送达、线上线下同步审理等形式，推动形成线上线下平顺衔接、和谐共融的常态化审理模式，确保案件公正高效审理。增强在线诉讼规范意识，规范在线庭审环境和纪律要求，规范证人出庭，规范庭审公开及旁听，确保在线诉讼规范统一，合法有序。</w:t>
      </w:r>
    </w:p>
    <w:p>
      <w:pPr>
        <w:ind w:firstLine="420" w:firstLineChars="200"/>
        <w:rPr>
          <w:rFonts w:hint="eastAsia"/>
        </w:rPr>
      </w:pPr>
      <w:r>
        <w:rPr>
          <w:rFonts w:hint="eastAsia"/>
        </w:rPr>
        <w:t>四是扎紧廉政防线，坚持全面从严治党治院，重点抓住“关键少数”，压实政治责任，开展入额法官、入职人员集体廉政谈话，涵养“讲政治、讲法治、讲纪律、讲情怀”的东法廉政生态。注重八小时内外日常监督，开展作风突出问题专项整治，邀请干警家属担任亲情廉政监督员。织密廉政风险防控网，制定《项目专项廉政责任书》《反商业贿赂承诺》，健全采购等项目流程监管体系。巩固政法队伍教育整顿成果，严守新时代政法干警“十个严禁”等纪律规定，引导干警从身边人身边事身边案中得到警醒。</w:t>
      </w:r>
    </w:p>
    <w:p>
      <w:pPr>
        <w:spacing w:line="480" w:lineRule="exact"/>
        <w:rPr>
          <w:rFonts w:hint="eastAsia"/>
        </w:rPr>
      </w:pPr>
    </w:p>
    <w:p>
      <w:pPr>
        <w:pStyle w:val="2"/>
        <w:ind w:firstLine="420"/>
        <w:rPr>
          <w:rFonts w:hint="eastAsia"/>
        </w:rPr>
      </w:pPr>
    </w:p>
    <w:p>
      <w:pPr>
        <w:pStyle w:val="2"/>
        <w:ind w:firstLine="0" w:firstLineChars="0"/>
        <w:rPr>
          <w:rFonts w:hint="eastAsia" w:ascii="黑体" w:eastAsia="黑体"/>
          <w:sz w:val="32"/>
          <w:szCs w:val="32"/>
        </w:rPr>
      </w:pPr>
    </w:p>
    <w:p>
      <w:pPr>
        <w:pStyle w:val="2"/>
        <w:ind w:firstLine="0" w:firstLineChars="0"/>
        <w:rPr>
          <w:rFonts w:hint="eastAsia" w:ascii="黑体" w:eastAsia="黑体"/>
          <w:sz w:val="32"/>
          <w:szCs w:val="32"/>
        </w:rPr>
      </w:pPr>
    </w:p>
    <w:p>
      <w:pPr>
        <w:pStyle w:val="2"/>
        <w:ind w:firstLine="0" w:firstLineChars="0"/>
        <w:rPr>
          <w:rFonts w:hint="eastAsia" w:ascii="黑体" w:eastAsia="黑体"/>
          <w:sz w:val="32"/>
          <w:szCs w:val="32"/>
        </w:rPr>
      </w:pPr>
    </w:p>
    <w:p>
      <w:pPr>
        <w:pStyle w:val="2"/>
        <w:ind w:firstLine="0" w:firstLineChars="0"/>
        <w:rPr>
          <w:rFonts w:hint="eastAsia" w:ascii="黑体" w:eastAsia="黑体"/>
          <w:sz w:val="32"/>
          <w:szCs w:val="32"/>
        </w:rPr>
      </w:pPr>
    </w:p>
    <w:tbl>
      <w:tblPr>
        <w:tblStyle w:val="10"/>
        <w:tblW w:w="5001" w:type="pct"/>
        <w:tblInd w:w="0" w:type="dxa"/>
        <w:tblLayout w:type="autofit"/>
        <w:tblCellMar>
          <w:top w:w="0" w:type="dxa"/>
          <w:left w:w="108" w:type="dxa"/>
          <w:bottom w:w="0" w:type="dxa"/>
          <w:right w:w="108" w:type="dxa"/>
        </w:tblCellMar>
      </w:tblPr>
      <w:tblGrid>
        <w:gridCol w:w="821"/>
        <w:gridCol w:w="868"/>
        <w:gridCol w:w="1117"/>
        <w:gridCol w:w="1117"/>
        <w:gridCol w:w="859"/>
        <w:gridCol w:w="616"/>
        <w:gridCol w:w="717"/>
        <w:gridCol w:w="3919"/>
        <w:gridCol w:w="4143"/>
      </w:tblGrid>
      <w:tr>
        <w:trPr>
          <w:wBefore w:w="0" w:type="dxa"/>
          <w:wAfter w:w="0" w:type="dxa"/>
          <w:trHeight w:val="499" w:hRule="atLeast"/>
        </w:trPr>
        <w:tc>
          <w:tcPr>
            <w:tcW w:w="5000" w:type="pct"/>
            <w:gridSpan w:val="9"/>
            <w:tcBorders>
              <w:top w:val="nil"/>
              <w:left w:val="nil"/>
              <w:bottom w:val="single" w:color="auto" w:sz="4" w:space="0"/>
              <w:right w:val="nil"/>
            </w:tcBorders>
            <w:noWrap/>
            <w:vAlign w:val="bottom"/>
          </w:tcPr>
          <w:p>
            <w:pPr>
              <w:widowControl/>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2022年部门整体绩效评价指标体系评分表</w:t>
            </w:r>
          </w:p>
        </w:tc>
      </w:tr>
      <w:tr>
        <w:trPr>
          <w:wBefore w:w="0" w:type="dxa"/>
          <w:wAfter w:w="0" w:type="dxa"/>
          <w:trHeight w:val="470" w:hRule="atLeast"/>
        </w:trPr>
        <w:tc>
          <w:tcPr>
            <w:tcW w:w="5000" w:type="pct"/>
            <w:gridSpan w:val="9"/>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rPr>
          <w:wBefore w:w="0" w:type="dxa"/>
          <w:wAfter w:w="0" w:type="dxa"/>
          <w:trHeight w:val="660" w:hRule="atLeast"/>
        </w:trPr>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0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30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21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2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3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1461"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trPr>
          <w:wBefore w:w="0" w:type="dxa"/>
          <w:wAfter w:w="0" w:type="dxa"/>
          <w:trHeight w:val="630" w:hRule="atLeast"/>
        </w:trPr>
        <w:tc>
          <w:tcPr>
            <w:tcW w:w="290"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30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23,032.71 </w:t>
            </w: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22,630.52 </w:t>
            </w:r>
          </w:p>
        </w:tc>
        <w:tc>
          <w:tcPr>
            <w:tcW w:w="30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17"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253"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19.65　</w:t>
            </w:r>
          </w:p>
        </w:tc>
        <w:tc>
          <w:tcPr>
            <w:tcW w:w="138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1461"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rPr>
          <w:wBefore w:w="0" w:type="dxa"/>
          <w:wAfter w:w="0" w:type="dxa"/>
          <w:trHeight w:val="600"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20,350.53 </w:t>
            </w:r>
          </w:p>
        </w:tc>
        <w:tc>
          <w:tcPr>
            <w:tcW w:w="39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20,299.39 </w:t>
            </w:r>
          </w:p>
        </w:tc>
        <w:tc>
          <w:tcPr>
            <w:tcW w:w="30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2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vMerge w:val="continue"/>
            <w:tcBorders>
              <w:top w:val="single" w:color="auto" w:sz="4" w:space="0"/>
              <w:left w:val="nil"/>
              <w:bottom w:val="single" w:color="auto" w:sz="4" w:space="0"/>
              <w:right w:val="nil"/>
            </w:tcBorders>
            <w:noWrap w:val="0"/>
            <w:vAlign w:val="center"/>
          </w:tcPr>
          <w:p>
            <w:pPr>
              <w:widowControl/>
              <w:jc w:val="left"/>
              <w:rPr>
                <w:rFonts w:ascii="宋体" w:hAnsi="宋体" w:cs="宋体"/>
                <w:color w:val="000000"/>
                <w:kern w:val="0"/>
                <w:sz w:val="20"/>
                <w:szCs w:val="20"/>
              </w:rPr>
            </w:pPr>
          </w:p>
        </w:tc>
        <w:tc>
          <w:tcPr>
            <w:tcW w:w="138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615"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2,662.75 </w:t>
            </w:r>
          </w:p>
        </w:tc>
        <w:tc>
          <w:tcPr>
            <w:tcW w:w="39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2,323.85 </w:t>
            </w: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vMerge w:val="continue"/>
            <w:tcBorders>
              <w:top w:val="single" w:color="auto" w:sz="4" w:space="0"/>
              <w:left w:val="nil"/>
              <w:bottom w:val="single" w:color="auto" w:sz="4" w:space="0"/>
              <w:right w:val="nil"/>
            </w:tcBorders>
            <w:noWrap w:val="0"/>
            <w:vAlign w:val="center"/>
          </w:tcPr>
          <w:p>
            <w:pPr>
              <w:widowControl/>
              <w:jc w:val="left"/>
              <w:rPr>
                <w:rFonts w:ascii="宋体" w:hAnsi="宋体" w:cs="宋体"/>
                <w:color w:val="000000"/>
                <w:kern w:val="0"/>
                <w:sz w:val="20"/>
                <w:szCs w:val="20"/>
              </w:rPr>
            </w:pPr>
          </w:p>
        </w:tc>
        <w:tc>
          <w:tcPr>
            <w:tcW w:w="138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2136"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39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19.43 </w:t>
            </w:r>
          </w:p>
        </w:tc>
        <w:tc>
          <w:tcPr>
            <w:tcW w:w="39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7.28 </w:t>
            </w: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vMerge w:val="continue"/>
            <w:tcBorders>
              <w:top w:val="single" w:color="auto" w:sz="4" w:space="0"/>
              <w:left w:val="nil"/>
              <w:bottom w:val="single" w:color="auto" w:sz="4" w:space="0"/>
              <w:right w:val="nil"/>
            </w:tcBorders>
            <w:noWrap w:val="0"/>
            <w:vAlign w:val="center"/>
          </w:tcPr>
          <w:p>
            <w:pPr>
              <w:widowControl/>
              <w:jc w:val="left"/>
              <w:rPr>
                <w:rFonts w:ascii="宋体" w:hAnsi="宋体" w:cs="宋体"/>
                <w:color w:val="000000"/>
                <w:kern w:val="0"/>
                <w:sz w:val="20"/>
                <w:szCs w:val="20"/>
              </w:rPr>
            </w:pPr>
          </w:p>
        </w:tc>
        <w:tc>
          <w:tcPr>
            <w:tcW w:w="138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569" w:hRule="atLeast"/>
        </w:trPr>
        <w:tc>
          <w:tcPr>
            <w:tcW w:w="5000" w:type="pct"/>
            <w:gridSpan w:val="9"/>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rPr>
          <w:wBefore w:w="0" w:type="dxa"/>
          <w:wAfter w:w="0" w:type="dxa"/>
          <w:trHeight w:val="499" w:hRule="atLeast"/>
        </w:trPr>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0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9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9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30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21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253" w:type="pct"/>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3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46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rPr>
          <w:wBefore w:w="0" w:type="dxa"/>
          <w:wAfter w:w="0" w:type="dxa"/>
          <w:trHeight w:val="1196" w:hRule="atLeast"/>
        </w:trPr>
        <w:tc>
          <w:tcPr>
            <w:tcW w:w="29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306" w:type="pct"/>
            <w:vMerge w:val="restart"/>
            <w:tcBorders>
              <w:top w:val="single" w:color="auto" w:sz="4" w:space="0"/>
              <w:left w:val="nil"/>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39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年初预计收结案情况</w:t>
            </w:r>
          </w:p>
        </w:tc>
        <w:tc>
          <w:tcPr>
            <w:tcW w:w="39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＞37000件</w:t>
            </w:r>
          </w:p>
        </w:tc>
        <w:tc>
          <w:tcPr>
            <w:tcW w:w="303"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40253件</w:t>
            </w:r>
          </w:p>
        </w:tc>
        <w:tc>
          <w:tcPr>
            <w:tcW w:w="217" w:type="pct"/>
            <w:vMerge w:val="restar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253" w:type="pct"/>
            <w:tcBorders>
              <w:top w:val="single" w:color="auto" w:sz="4" w:space="0"/>
              <w:left w:val="nil"/>
              <w:bottom w:val="single" w:color="auto" w:sz="4" w:space="0"/>
              <w:right w:val="nil"/>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w:t>
            </w:r>
          </w:p>
        </w:tc>
        <w:tc>
          <w:tcPr>
            <w:tcW w:w="138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146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rPr>
          <w:wBefore w:w="0" w:type="dxa"/>
          <w:wAfter w:w="0" w:type="dxa"/>
          <w:trHeight w:val="1130"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人均结案情况</w:t>
            </w:r>
          </w:p>
        </w:tc>
        <w:tc>
          <w:tcPr>
            <w:tcW w:w="39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＞300件</w:t>
            </w:r>
          </w:p>
        </w:tc>
        <w:tc>
          <w:tcPr>
            <w:tcW w:w="303"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376件</w:t>
            </w:r>
          </w:p>
        </w:tc>
        <w:tc>
          <w:tcPr>
            <w:tcW w:w="217" w:type="pct"/>
            <w:vMerge w:val="continue"/>
            <w:tcBorders>
              <w:top w:val="single" w:color="auto" w:sz="4" w:space="0"/>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tcBorders>
              <w:top w:val="single" w:color="auto" w:sz="4" w:space="0"/>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w:t>
            </w:r>
          </w:p>
        </w:tc>
        <w:tc>
          <w:tcPr>
            <w:tcW w:w="13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1258"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数字化档案数量(卷)</w:t>
            </w: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＞37000件</w:t>
            </w:r>
          </w:p>
        </w:tc>
        <w:tc>
          <w:tcPr>
            <w:tcW w:w="303"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33098件</w:t>
            </w:r>
          </w:p>
        </w:tc>
        <w:tc>
          <w:tcPr>
            <w:tcW w:w="217"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p>
        </w:tc>
        <w:tc>
          <w:tcPr>
            <w:tcW w:w="13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975"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改判发回率</w:t>
            </w: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≤0.40%</w:t>
            </w:r>
          </w:p>
        </w:tc>
        <w:tc>
          <w:tcPr>
            <w:tcW w:w="303"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0.23%</w:t>
            </w:r>
          </w:p>
        </w:tc>
        <w:tc>
          <w:tcPr>
            <w:tcW w:w="217"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w:t>
            </w:r>
          </w:p>
        </w:tc>
        <w:tc>
          <w:tcPr>
            <w:tcW w:w="13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975"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庭审直播率</w:t>
            </w: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≥20.00%</w:t>
            </w:r>
          </w:p>
        </w:tc>
        <w:tc>
          <w:tcPr>
            <w:tcW w:w="303"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35.00%</w:t>
            </w:r>
          </w:p>
        </w:tc>
        <w:tc>
          <w:tcPr>
            <w:tcW w:w="217"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w:t>
            </w:r>
          </w:p>
        </w:tc>
        <w:tc>
          <w:tcPr>
            <w:tcW w:w="13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975"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裁判文书公开情况</w:t>
            </w: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303"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217"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w:t>
            </w:r>
          </w:p>
        </w:tc>
        <w:tc>
          <w:tcPr>
            <w:tcW w:w="13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975"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一审案件服判息诉率</w:t>
            </w: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≥86.00%</w:t>
            </w:r>
          </w:p>
        </w:tc>
        <w:tc>
          <w:tcPr>
            <w:tcW w:w="303"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95.00%</w:t>
            </w:r>
          </w:p>
        </w:tc>
        <w:tc>
          <w:tcPr>
            <w:tcW w:w="217"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w:t>
            </w:r>
          </w:p>
        </w:tc>
        <w:tc>
          <w:tcPr>
            <w:tcW w:w="13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975"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法定审限内结案率</w:t>
            </w: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303"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217"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w:t>
            </w:r>
          </w:p>
        </w:tc>
        <w:tc>
          <w:tcPr>
            <w:tcW w:w="13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975"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执行质效</w:t>
            </w: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&gt;97.5%</w:t>
            </w:r>
          </w:p>
        </w:tc>
        <w:tc>
          <w:tcPr>
            <w:tcW w:w="303"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99.14%</w:t>
            </w:r>
          </w:p>
        </w:tc>
        <w:tc>
          <w:tcPr>
            <w:tcW w:w="217"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w:t>
            </w:r>
          </w:p>
        </w:tc>
        <w:tc>
          <w:tcPr>
            <w:tcW w:w="13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975"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当年案件结收比</w:t>
            </w: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303"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217"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w:t>
            </w:r>
          </w:p>
        </w:tc>
        <w:tc>
          <w:tcPr>
            <w:tcW w:w="13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975"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电子送达率</w:t>
            </w: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30.00%</w:t>
            </w:r>
          </w:p>
        </w:tc>
        <w:tc>
          <w:tcPr>
            <w:tcW w:w="303"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71.55%</w:t>
            </w:r>
          </w:p>
        </w:tc>
        <w:tc>
          <w:tcPr>
            <w:tcW w:w="217"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w:t>
            </w:r>
          </w:p>
        </w:tc>
        <w:tc>
          <w:tcPr>
            <w:tcW w:w="13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675"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394" w:type="pct"/>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网上预约立案数量</w:t>
            </w: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≥40.00%</w:t>
            </w:r>
          </w:p>
        </w:tc>
        <w:tc>
          <w:tcPr>
            <w:tcW w:w="303"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49.75%</w:t>
            </w:r>
          </w:p>
        </w:tc>
        <w:tc>
          <w:tcPr>
            <w:tcW w:w="217" w:type="pct"/>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253" w:type="pct"/>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w:t>
            </w:r>
          </w:p>
        </w:tc>
        <w:tc>
          <w:tcPr>
            <w:tcW w:w="1382"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1461"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rPr>
          <w:wBefore w:w="0" w:type="dxa"/>
          <w:wAfter w:w="0" w:type="dxa"/>
          <w:trHeight w:val="630"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保障首都经济运转和维护营商环境</w:t>
            </w: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优良中低差</w:t>
            </w:r>
          </w:p>
        </w:tc>
        <w:tc>
          <w:tcPr>
            <w:tcW w:w="303"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优</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w:t>
            </w:r>
          </w:p>
        </w:tc>
        <w:tc>
          <w:tcPr>
            <w:tcW w:w="13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630"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脱贫攻坚及营商环境（结案情况）</w:t>
            </w: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优良中低差</w:t>
            </w:r>
          </w:p>
        </w:tc>
        <w:tc>
          <w:tcPr>
            <w:tcW w:w="303"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优</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w:t>
            </w:r>
          </w:p>
        </w:tc>
        <w:tc>
          <w:tcPr>
            <w:tcW w:w="13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630"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疫情防控</w:t>
            </w: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优良中低差</w:t>
            </w:r>
          </w:p>
        </w:tc>
        <w:tc>
          <w:tcPr>
            <w:tcW w:w="303"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优</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w:t>
            </w:r>
          </w:p>
        </w:tc>
        <w:tc>
          <w:tcPr>
            <w:tcW w:w="13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630"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首都治安</w:t>
            </w: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优良中低差</w:t>
            </w:r>
          </w:p>
        </w:tc>
        <w:tc>
          <w:tcPr>
            <w:tcW w:w="303"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优</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w:t>
            </w:r>
          </w:p>
        </w:tc>
        <w:tc>
          <w:tcPr>
            <w:tcW w:w="13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630"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解决执行难</w:t>
            </w: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303" w:type="pct"/>
            <w:tcBorders>
              <w:top w:val="nil"/>
              <w:left w:val="nil"/>
              <w:bottom w:val="single" w:color="auto" w:sz="4" w:space="0"/>
              <w:right w:val="single" w:color="auto" w:sz="4" w:space="0"/>
            </w:tcBorders>
            <w:noWrap w:val="0"/>
            <w:vAlign w:val="center"/>
          </w:tcPr>
          <w:p>
            <w:pPr>
              <w:widowControl/>
              <w:jc w:val="center"/>
              <w:rPr>
                <w:rFonts w:ascii="等线" w:hAnsi="等线" w:eastAsia="等线" w:cs="宋体"/>
                <w:color w:val="000000"/>
                <w:kern w:val="0"/>
                <w:sz w:val="20"/>
                <w:szCs w:val="20"/>
              </w:rPr>
            </w:pPr>
            <w:r>
              <w:rPr>
                <w:rFonts w:hint="eastAsia" w:ascii="宋体" w:hAnsi="宋体" w:cs="宋体"/>
                <w:kern w:val="0"/>
                <w:sz w:val="18"/>
                <w:szCs w:val="18"/>
              </w:rPr>
              <w:t>13110件</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w:t>
            </w:r>
          </w:p>
        </w:tc>
        <w:tc>
          <w:tcPr>
            <w:tcW w:w="13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630"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环境保护</w:t>
            </w: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优良中低差</w:t>
            </w:r>
          </w:p>
        </w:tc>
        <w:tc>
          <w:tcPr>
            <w:tcW w:w="303"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优</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w:t>
            </w:r>
          </w:p>
        </w:tc>
        <w:tc>
          <w:tcPr>
            <w:tcW w:w="13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630"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司法为民、公正司法</w:t>
            </w: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优良中低差</w:t>
            </w:r>
          </w:p>
        </w:tc>
        <w:tc>
          <w:tcPr>
            <w:tcW w:w="303"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优</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w:t>
            </w:r>
          </w:p>
        </w:tc>
        <w:tc>
          <w:tcPr>
            <w:tcW w:w="13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690"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人才培养</w:t>
            </w: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优良中低差</w:t>
            </w:r>
          </w:p>
        </w:tc>
        <w:tc>
          <w:tcPr>
            <w:tcW w:w="303"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优</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w:t>
            </w:r>
          </w:p>
        </w:tc>
        <w:tc>
          <w:tcPr>
            <w:tcW w:w="13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690"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普法宣传</w:t>
            </w: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优良中低差</w:t>
            </w:r>
          </w:p>
        </w:tc>
        <w:tc>
          <w:tcPr>
            <w:tcW w:w="303"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优 </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w:t>
            </w:r>
          </w:p>
        </w:tc>
        <w:tc>
          <w:tcPr>
            <w:tcW w:w="13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675" w:hRule="atLeast"/>
        </w:trPr>
        <w:tc>
          <w:tcPr>
            <w:tcW w:w="29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同级人民代表大会通过、赞成率</w:t>
            </w:r>
          </w:p>
        </w:tc>
        <w:tc>
          <w:tcPr>
            <w:tcW w:w="39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100.00%</w:t>
            </w:r>
          </w:p>
        </w:tc>
        <w:tc>
          <w:tcPr>
            <w:tcW w:w="30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100.00%</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3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675" w:hRule="atLeast"/>
        </w:trPr>
        <w:tc>
          <w:tcPr>
            <w:tcW w:w="29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群众满意度（文字）</w:t>
            </w: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303"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&gt;90%</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w:t>
            </w:r>
          </w:p>
        </w:tc>
        <w:tc>
          <w:tcPr>
            <w:tcW w:w="13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6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rPr>
          <w:wBefore w:w="0" w:type="dxa"/>
          <w:wAfter w:w="0" w:type="dxa"/>
          <w:trHeight w:val="699"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rPr>
          <w:wBefore w:w="0" w:type="dxa"/>
          <w:wAfter w:w="0" w:type="dxa"/>
          <w:trHeight w:val="702" w:hRule="atLeast"/>
        </w:trPr>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0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39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39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30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217"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253" w:type="pct"/>
            <w:tcBorders>
              <w:top w:val="single" w:color="auto" w:sz="4" w:space="0"/>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13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461"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rPr>
          <w:wBefore w:w="0" w:type="dxa"/>
          <w:wAfter w:w="0" w:type="dxa"/>
          <w:trHeight w:val="1230" w:hRule="atLeast"/>
        </w:trPr>
        <w:tc>
          <w:tcPr>
            <w:tcW w:w="29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30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39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39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显著</w:t>
            </w:r>
          </w:p>
        </w:tc>
        <w:tc>
          <w:tcPr>
            <w:tcW w:w="303"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基本达成预期目标</w:t>
            </w:r>
          </w:p>
        </w:tc>
        <w:tc>
          <w:tcPr>
            <w:tcW w:w="217"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3" w:type="pct"/>
            <w:tcBorders>
              <w:top w:val="single" w:color="auto" w:sz="4" w:space="0"/>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　</w:t>
            </w:r>
          </w:p>
        </w:tc>
        <w:tc>
          <w:tcPr>
            <w:tcW w:w="138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1461"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rPr>
          <w:wBefore w:w="0" w:type="dxa"/>
          <w:wAfter w:w="0" w:type="dxa"/>
          <w:trHeight w:val="2220" w:hRule="atLeast"/>
        </w:trPr>
        <w:tc>
          <w:tcPr>
            <w:tcW w:w="290" w:type="pct"/>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39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显著</w:t>
            </w:r>
          </w:p>
        </w:tc>
        <w:tc>
          <w:tcPr>
            <w:tcW w:w="303"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基本达成预期目标</w:t>
            </w:r>
          </w:p>
        </w:tc>
        <w:tc>
          <w:tcPr>
            <w:tcW w:w="217"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53" w:type="pct"/>
            <w:tcBorders>
              <w:top w:val="single" w:color="auto" w:sz="4" w:space="0"/>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　</w:t>
            </w:r>
          </w:p>
        </w:tc>
        <w:tc>
          <w:tcPr>
            <w:tcW w:w="138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1461"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rPr>
          <w:wBefore w:w="0" w:type="dxa"/>
          <w:wAfter w:w="0" w:type="dxa"/>
          <w:trHeight w:val="1035"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394"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显著</w:t>
            </w:r>
          </w:p>
        </w:tc>
        <w:tc>
          <w:tcPr>
            <w:tcW w:w="303"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基本达成预期目标</w:t>
            </w:r>
          </w:p>
        </w:tc>
        <w:tc>
          <w:tcPr>
            <w:tcW w:w="217"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3"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　</w:t>
            </w:r>
          </w:p>
        </w:tc>
        <w:tc>
          <w:tcPr>
            <w:tcW w:w="1382"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1461"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rPr>
          <w:wBefore w:w="0" w:type="dxa"/>
          <w:wAfter w:w="0" w:type="dxa"/>
          <w:trHeight w:val="2220"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资产管理规范性</w:t>
            </w: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显著</w:t>
            </w:r>
          </w:p>
        </w:tc>
        <w:tc>
          <w:tcPr>
            <w:tcW w:w="30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基本达成预期目标</w:t>
            </w:r>
          </w:p>
        </w:tc>
        <w:tc>
          <w:tcPr>
            <w:tcW w:w="21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　</w:t>
            </w:r>
          </w:p>
        </w:tc>
        <w:tc>
          <w:tcPr>
            <w:tcW w:w="138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146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rPr>
          <w:wBefore w:w="0" w:type="dxa"/>
          <w:wAfter w:w="0" w:type="dxa"/>
          <w:trHeight w:val="1750"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39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绩效管理情况</w:t>
            </w:r>
          </w:p>
        </w:tc>
        <w:tc>
          <w:tcPr>
            <w:tcW w:w="39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显著</w:t>
            </w:r>
          </w:p>
        </w:tc>
        <w:tc>
          <w:tcPr>
            <w:tcW w:w="303"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基本达成预期目标</w:t>
            </w:r>
          </w:p>
        </w:tc>
        <w:tc>
          <w:tcPr>
            <w:tcW w:w="21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53" w:type="pct"/>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　</w:t>
            </w:r>
          </w:p>
        </w:tc>
        <w:tc>
          <w:tcPr>
            <w:tcW w:w="138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1461"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rPr>
          <w:wBefore w:w="0" w:type="dxa"/>
          <w:wAfter w:w="0" w:type="dxa"/>
          <w:trHeight w:val="394"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　</w:t>
            </w:r>
          </w:p>
        </w:tc>
        <w:tc>
          <w:tcPr>
            <w:tcW w:w="788" w:type="pct"/>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2021年</w:t>
            </w:r>
          </w:p>
        </w:tc>
        <w:tc>
          <w:tcPr>
            <w:tcW w:w="30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2022年</w:t>
            </w:r>
          </w:p>
        </w:tc>
        <w:tc>
          <w:tcPr>
            <w:tcW w:w="21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25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3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461" w:type="pct"/>
            <w:tcBorders>
              <w:top w:val="single" w:color="auto" w:sz="4" w:space="0"/>
              <w:left w:val="nil"/>
              <w:bottom w:val="single" w:color="auto" w:sz="4" w:space="0"/>
              <w:right w:val="single" w:color="auto" w:sz="4" w:space="0"/>
            </w:tcBorders>
            <w:noWrap w:val="0"/>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rPr>
          <w:wBefore w:w="0" w:type="dxa"/>
          <w:wAfter w:w="0" w:type="dxa"/>
          <w:trHeight w:val="1365"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788" w:type="pct"/>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4.40%　</w:t>
            </w:r>
          </w:p>
        </w:tc>
        <w:tc>
          <w:tcPr>
            <w:tcW w:w="30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1.75%　</w:t>
            </w:r>
          </w:p>
        </w:tc>
        <w:tc>
          <w:tcPr>
            <w:tcW w:w="21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53" w:type="pct"/>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4</w:t>
            </w:r>
          </w:p>
        </w:tc>
        <w:tc>
          <w:tcPr>
            <w:tcW w:w="138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1461"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rPr>
          <w:wBefore w:w="0" w:type="dxa"/>
          <w:wAfter w:w="0" w:type="dxa"/>
          <w:trHeight w:val="90" w:hRule="atLeast"/>
        </w:trPr>
        <w:tc>
          <w:tcPr>
            <w:tcW w:w="29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06" w:type="pct"/>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788" w:type="pct"/>
            <w:gridSpan w:val="2"/>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303"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1.62%</w:t>
            </w:r>
          </w:p>
        </w:tc>
        <w:tc>
          <w:tcPr>
            <w:tcW w:w="21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53" w:type="pct"/>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　</w:t>
            </w:r>
          </w:p>
        </w:tc>
        <w:tc>
          <w:tcPr>
            <w:tcW w:w="1382"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1461"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rPr>
          <w:wBefore w:w="0" w:type="dxa"/>
          <w:wAfter w:w="0" w:type="dxa"/>
          <w:trHeight w:val="404" w:hRule="atLeast"/>
        </w:trPr>
        <w:tc>
          <w:tcPr>
            <w:tcW w:w="1687"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21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253" w:type="pct"/>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95.65　</w:t>
            </w:r>
          </w:p>
        </w:tc>
        <w:tc>
          <w:tcPr>
            <w:tcW w:w="2843" w:type="pct"/>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spacing w:line="560" w:lineRule="exact"/>
        <w:rPr>
          <w:rFonts w:hint="eastAsia" w:ascii="方正小标宋简体" w:eastAsia="方正小标宋简体"/>
          <w:sz w:val="36"/>
          <w:szCs w:val="36"/>
        </w:rPr>
      </w:pPr>
    </w:p>
    <w:sectPr>
      <w:footerReference r:id="rId3" w:type="default"/>
      <w:footerReference r:id="rId4"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E00002FF" w:usb1="400004FF" w:usb2="00000000" w:usb3="00000000" w:csb0="0000019F" w:csb1="00000000"/>
  </w:font>
  <w:font w:name="黑体">
    <w:altName w:val="汉仪中黑KW"/>
    <w:panose1 w:val="02010609060101010101"/>
    <w:charset w:val="00"/>
    <w:family w:val="modern"/>
    <w:pitch w:val="default"/>
    <w:sig w:usb0="800002BF" w:usb1="38CF7CFA" w:usb2="00000016" w:usb3="00000000" w:csb0="00040001" w:csb1="00000000"/>
  </w:font>
  <w:font w:name="仿宋_GB2312">
    <w:altName w:val="方正仿宋_GBK"/>
    <w:panose1 w:val="02010609030101010101"/>
    <w:charset w:val="00"/>
    <w:family w:val="modern"/>
    <w:pitch w:val="default"/>
    <w:sig w:usb0="00000001" w:usb1="080E0000" w:usb2="00000010" w:usb3="00000000" w:csb0="00040000" w:csb1="00000000"/>
  </w:font>
  <w:font w:name="Tahoma">
    <w:panose1 w:val="020B0604030504040204"/>
    <w:charset w:val="00"/>
    <w:family w:val="swiss"/>
    <w:pitch w:val="default"/>
    <w:sig w:usb0="00000000" w:usb1="00000000" w:usb2="00000000" w:usb3="00000000" w:csb0="00000000" w:csb1="00000000"/>
  </w:font>
  <w:font w:name="方正小标宋简体">
    <w:altName w:val="汉仪书宋二KW"/>
    <w:panose1 w:val="03000509000000000000"/>
    <w:charset w:val="00"/>
    <w:family w:val="script"/>
    <w:pitch w:val="default"/>
    <w:sig w:usb0="00000001" w:usb1="080E0000" w:usb2="00000010" w:usb3="00000000" w:csb0="00040000" w:csb1="00000000"/>
  </w:font>
  <w:font w:name="楷体_GB2312">
    <w:altName w:val="汉仪楷体简"/>
    <w:panose1 w:val="02010609030101010101"/>
    <w:charset w:val="00"/>
    <w:family w:val="modern"/>
    <w:pitch w:val="default"/>
    <w:sig w:usb0="00000001" w:usb1="080E0000" w:usb2="00000010" w:usb3="00000000" w:csb0="00040000" w:csb1="00000000"/>
  </w:font>
  <w:font w:name="等线">
    <w:altName w:val="汉仪中等线KW"/>
    <w:panose1 w:val="02010600030101010101"/>
    <w:charset w:val="00"/>
    <w:family w:val="auto"/>
    <w:pitch w:val="default"/>
    <w:sig w:usb0="00000000" w:usb1="38CF7CFA" w:usb2="00000016" w:usb3="00000000" w:csb0="0004000F"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汉仪中等线KW">
    <w:panose1 w:val="0101010401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3"/>
                            </w:rPr>
                          </w:pPr>
                          <w:r>
                            <w:fldChar w:fldCharType="begin"/>
                          </w:r>
                          <w:r>
                            <w:rPr>
                              <w:rStyle w:val="13"/>
                            </w:rPr>
                            <w:instrText xml:space="preserve">PAGE  </w:instrText>
                          </w:r>
                          <w:r>
                            <w:fldChar w:fldCharType="separate"/>
                          </w:r>
                          <w:r>
                            <w:rPr>
                              <w:rStyle w:val="13"/>
                              <w:lang/>
                            </w:rPr>
                            <w:t>4</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iY7u/JAQAAmg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rrI+fYAa0+4DJqbhnR9y7uQHdGbag4o2f5EQwTiqe76qK4dE&#10;RH60Xq3XFYYExuYL4rCH5yFCei+9JdloaMTxFVX56SOkMXVOydWcv9PGoJ/Xxv3jQMzsYbn3scds&#10;pWE/TI3vfXtGPj1OvqEOF50S88GhsHlJZiPOxn42jiHqQ1e2KNeDcHtM2ETpLVcYYafCOLLCblqv&#10;vBOP7yXr4Zfa/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6Jju78kBAACaAwAADgAAAAAA&#10;AAABACAAAAA0AQAAZHJzL2Uyb0RvYy54bWxQSwUGAAAAAAYABgBZAQAAbwUAAAAA&#10;">
              <v:fill on="f" focussize="0,0"/>
              <v:stroke on="f"/>
              <v:imagedata o:title=""/>
              <o:lock v:ext="edit" aspectratio="f"/>
              <v:textbox inset="0mm,0mm,0mm,0mm" style="mso-fit-shape-to-text:t;">
                <w:txbxContent>
                  <w:p>
                    <w:pPr>
                      <w:pStyle w:val="7"/>
                      <w:rPr>
                        <w:rStyle w:val="13"/>
                      </w:rPr>
                    </w:pPr>
                    <w:r>
                      <w:fldChar w:fldCharType="begin"/>
                    </w:r>
                    <w:r>
                      <w:rPr>
                        <w:rStyle w:val="13"/>
                      </w:rPr>
                      <w:instrText xml:space="preserve">PAGE  </w:instrText>
                    </w:r>
                    <w:r>
                      <w:fldChar w:fldCharType="separate"/>
                    </w:r>
                    <w:r>
                      <w:rPr>
                        <w:rStyle w:val="13"/>
                        <w:lang/>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lang/>
      </w:rPr>
      <w:t>15</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46"/>
    <w:rsid w:val="00003B03"/>
    <w:rsid w:val="000040E6"/>
    <w:rsid w:val="00011D72"/>
    <w:rsid w:val="00020601"/>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4F8"/>
    <w:rsid w:val="0007772A"/>
    <w:rsid w:val="00077A9E"/>
    <w:rsid w:val="00077F4A"/>
    <w:rsid w:val="00077FE5"/>
    <w:rsid w:val="00080447"/>
    <w:rsid w:val="00085663"/>
    <w:rsid w:val="00095948"/>
    <w:rsid w:val="00095C26"/>
    <w:rsid w:val="00096504"/>
    <w:rsid w:val="00096B86"/>
    <w:rsid w:val="000A1770"/>
    <w:rsid w:val="000A196F"/>
    <w:rsid w:val="000A283C"/>
    <w:rsid w:val="000B15B7"/>
    <w:rsid w:val="000B70F1"/>
    <w:rsid w:val="000C15A0"/>
    <w:rsid w:val="000C4611"/>
    <w:rsid w:val="000D1B61"/>
    <w:rsid w:val="000D2EF9"/>
    <w:rsid w:val="000D59B9"/>
    <w:rsid w:val="000D6854"/>
    <w:rsid w:val="000E0B26"/>
    <w:rsid w:val="000E3291"/>
    <w:rsid w:val="000F08FE"/>
    <w:rsid w:val="000F208B"/>
    <w:rsid w:val="000F2A48"/>
    <w:rsid w:val="000F49BE"/>
    <w:rsid w:val="000F62DE"/>
    <w:rsid w:val="000F6600"/>
    <w:rsid w:val="00100246"/>
    <w:rsid w:val="0010682D"/>
    <w:rsid w:val="00106D9A"/>
    <w:rsid w:val="001073C6"/>
    <w:rsid w:val="00107DB5"/>
    <w:rsid w:val="00113613"/>
    <w:rsid w:val="0011483D"/>
    <w:rsid w:val="00115724"/>
    <w:rsid w:val="0012058E"/>
    <w:rsid w:val="00130995"/>
    <w:rsid w:val="00131FF9"/>
    <w:rsid w:val="00132320"/>
    <w:rsid w:val="00133DD7"/>
    <w:rsid w:val="00135B6A"/>
    <w:rsid w:val="001369A7"/>
    <w:rsid w:val="001411A5"/>
    <w:rsid w:val="001427EA"/>
    <w:rsid w:val="001428C5"/>
    <w:rsid w:val="001503D8"/>
    <w:rsid w:val="00157540"/>
    <w:rsid w:val="0017111F"/>
    <w:rsid w:val="00172EAF"/>
    <w:rsid w:val="00173CF6"/>
    <w:rsid w:val="00177334"/>
    <w:rsid w:val="00180DAD"/>
    <w:rsid w:val="0018370E"/>
    <w:rsid w:val="001852E1"/>
    <w:rsid w:val="00191568"/>
    <w:rsid w:val="001963E9"/>
    <w:rsid w:val="001A22FF"/>
    <w:rsid w:val="001A4277"/>
    <w:rsid w:val="001A7D2E"/>
    <w:rsid w:val="001B1DF9"/>
    <w:rsid w:val="001B1E93"/>
    <w:rsid w:val="001B375E"/>
    <w:rsid w:val="001B4A46"/>
    <w:rsid w:val="001B5E87"/>
    <w:rsid w:val="001B5E91"/>
    <w:rsid w:val="001B69BF"/>
    <w:rsid w:val="001B7988"/>
    <w:rsid w:val="001D3B23"/>
    <w:rsid w:val="001D78D9"/>
    <w:rsid w:val="001E0556"/>
    <w:rsid w:val="001E2355"/>
    <w:rsid w:val="001E2379"/>
    <w:rsid w:val="001E29A9"/>
    <w:rsid w:val="001F13FB"/>
    <w:rsid w:val="001F5857"/>
    <w:rsid w:val="00206EC3"/>
    <w:rsid w:val="0021047C"/>
    <w:rsid w:val="00211E4E"/>
    <w:rsid w:val="00213D1C"/>
    <w:rsid w:val="00214C3A"/>
    <w:rsid w:val="00217517"/>
    <w:rsid w:val="002202DA"/>
    <w:rsid w:val="00222628"/>
    <w:rsid w:val="002253CB"/>
    <w:rsid w:val="002326DE"/>
    <w:rsid w:val="00233289"/>
    <w:rsid w:val="00234314"/>
    <w:rsid w:val="00241724"/>
    <w:rsid w:val="0024390C"/>
    <w:rsid w:val="002441F4"/>
    <w:rsid w:val="00244204"/>
    <w:rsid w:val="002448A4"/>
    <w:rsid w:val="00245A0A"/>
    <w:rsid w:val="00246C42"/>
    <w:rsid w:val="002515CC"/>
    <w:rsid w:val="00253EC4"/>
    <w:rsid w:val="00254515"/>
    <w:rsid w:val="00264510"/>
    <w:rsid w:val="0026479D"/>
    <w:rsid w:val="002673C4"/>
    <w:rsid w:val="0027112B"/>
    <w:rsid w:val="00271C3F"/>
    <w:rsid w:val="00272460"/>
    <w:rsid w:val="00273070"/>
    <w:rsid w:val="0027394A"/>
    <w:rsid w:val="00274D50"/>
    <w:rsid w:val="002760D5"/>
    <w:rsid w:val="00276289"/>
    <w:rsid w:val="002769D4"/>
    <w:rsid w:val="0028081D"/>
    <w:rsid w:val="0028458C"/>
    <w:rsid w:val="00284FB1"/>
    <w:rsid w:val="002911BD"/>
    <w:rsid w:val="00291C98"/>
    <w:rsid w:val="00292C76"/>
    <w:rsid w:val="00294DE9"/>
    <w:rsid w:val="00296B22"/>
    <w:rsid w:val="002A1488"/>
    <w:rsid w:val="002A4C2B"/>
    <w:rsid w:val="002A5548"/>
    <w:rsid w:val="002A6249"/>
    <w:rsid w:val="002B19D0"/>
    <w:rsid w:val="002B3682"/>
    <w:rsid w:val="002B5464"/>
    <w:rsid w:val="002C0443"/>
    <w:rsid w:val="002C0806"/>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B2E"/>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5478A"/>
    <w:rsid w:val="00365A24"/>
    <w:rsid w:val="003712DB"/>
    <w:rsid w:val="00373DDC"/>
    <w:rsid w:val="00382A86"/>
    <w:rsid w:val="00383BCC"/>
    <w:rsid w:val="00385243"/>
    <w:rsid w:val="003925D4"/>
    <w:rsid w:val="0039318C"/>
    <w:rsid w:val="00393366"/>
    <w:rsid w:val="003937DC"/>
    <w:rsid w:val="00393D75"/>
    <w:rsid w:val="00397D7A"/>
    <w:rsid w:val="003A2F2D"/>
    <w:rsid w:val="003A43AC"/>
    <w:rsid w:val="003A4EB6"/>
    <w:rsid w:val="003A6670"/>
    <w:rsid w:val="003A77E3"/>
    <w:rsid w:val="003A7AE9"/>
    <w:rsid w:val="003A7BC5"/>
    <w:rsid w:val="003A7FF5"/>
    <w:rsid w:val="003B0352"/>
    <w:rsid w:val="003B4437"/>
    <w:rsid w:val="003B48C4"/>
    <w:rsid w:val="003B5E20"/>
    <w:rsid w:val="003B6DAD"/>
    <w:rsid w:val="003B735F"/>
    <w:rsid w:val="003C030C"/>
    <w:rsid w:val="003C0DCD"/>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1ECD"/>
    <w:rsid w:val="0047460C"/>
    <w:rsid w:val="00474FF2"/>
    <w:rsid w:val="00480098"/>
    <w:rsid w:val="0048366A"/>
    <w:rsid w:val="00484A93"/>
    <w:rsid w:val="00485E12"/>
    <w:rsid w:val="004865DA"/>
    <w:rsid w:val="0048779C"/>
    <w:rsid w:val="00487AB7"/>
    <w:rsid w:val="00487ED0"/>
    <w:rsid w:val="00490F5A"/>
    <w:rsid w:val="00491D09"/>
    <w:rsid w:val="0049682C"/>
    <w:rsid w:val="004A168E"/>
    <w:rsid w:val="004A4EC7"/>
    <w:rsid w:val="004B0003"/>
    <w:rsid w:val="004B46E9"/>
    <w:rsid w:val="004C020A"/>
    <w:rsid w:val="004C03A3"/>
    <w:rsid w:val="004C4179"/>
    <w:rsid w:val="004C44B8"/>
    <w:rsid w:val="004C7629"/>
    <w:rsid w:val="004D0D5D"/>
    <w:rsid w:val="004E27DD"/>
    <w:rsid w:val="004E3350"/>
    <w:rsid w:val="004E5292"/>
    <w:rsid w:val="004F2C5B"/>
    <w:rsid w:val="004F641B"/>
    <w:rsid w:val="004F71F3"/>
    <w:rsid w:val="005052FA"/>
    <w:rsid w:val="005069E1"/>
    <w:rsid w:val="005071F5"/>
    <w:rsid w:val="00507E59"/>
    <w:rsid w:val="005122B5"/>
    <w:rsid w:val="0051598F"/>
    <w:rsid w:val="005174EB"/>
    <w:rsid w:val="00522FCB"/>
    <w:rsid w:val="0052381C"/>
    <w:rsid w:val="005256F8"/>
    <w:rsid w:val="005346B3"/>
    <w:rsid w:val="0054051C"/>
    <w:rsid w:val="00546A84"/>
    <w:rsid w:val="00547BE2"/>
    <w:rsid w:val="0055353D"/>
    <w:rsid w:val="0056187C"/>
    <w:rsid w:val="00576B03"/>
    <w:rsid w:val="00577475"/>
    <w:rsid w:val="00581E1A"/>
    <w:rsid w:val="00584049"/>
    <w:rsid w:val="00591655"/>
    <w:rsid w:val="00591BEC"/>
    <w:rsid w:val="005940EA"/>
    <w:rsid w:val="00594448"/>
    <w:rsid w:val="005A1D6F"/>
    <w:rsid w:val="005A4D82"/>
    <w:rsid w:val="005A52A6"/>
    <w:rsid w:val="005B0DEC"/>
    <w:rsid w:val="005B206F"/>
    <w:rsid w:val="005B368E"/>
    <w:rsid w:val="005B6E69"/>
    <w:rsid w:val="005C0015"/>
    <w:rsid w:val="005C1E82"/>
    <w:rsid w:val="005C235A"/>
    <w:rsid w:val="005C2BCE"/>
    <w:rsid w:val="005C2CA5"/>
    <w:rsid w:val="005C7062"/>
    <w:rsid w:val="005C76E3"/>
    <w:rsid w:val="005C7788"/>
    <w:rsid w:val="005D10B9"/>
    <w:rsid w:val="005D18DA"/>
    <w:rsid w:val="005D3124"/>
    <w:rsid w:val="005E00DC"/>
    <w:rsid w:val="005E21E0"/>
    <w:rsid w:val="005E3BBC"/>
    <w:rsid w:val="005E3EC6"/>
    <w:rsid w:val="005E4E07"/>
    <w:rsid w:val="005E4E46"/>
    <w:rsid w:val="005E5275"/>
    <w:rsid w:val="005E7DC8"/>
    <w:rsid w:val="005E7EC9"/>
    <w:rsid w:val="005F7087"/>
    <w:rsid w:val="006051C6"/>
    <w:rsid w:val="00611BE4"/>
    <w:rsid w:val="0061219B"/>
    <w:rsid w:val="00612B5F"/>
    <w:rsid w:val="00621419"/>
    <w:rsid w:val="006215F2"/>
    <w:rsid w:val="00622F57"/>
    <w:rsid w:val="00626446"/>
    <w:rsid w:val="00626BE8"/>
    <w:rsid w:val="00631827"/>
    <w:rsid w:val="00632804"/>
    <w:rsid w:val="00633A37"/>
    <w:rsid w:val="006376DA"/>
    <w:rsid w:val="006459DA"/>
    <w:rsid w:val="006502E8"/>
    <w:rsid w:val="00654A2B"/>
    <w:rsid w:val="0065675C"/>
    <w:rsid w:val="006575B7"/>
    <w:rsid w:val="0065793F"/>
    <w:rsid w:val="0066263B"/>
    <w:rsid w:val="006636E9"/>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B755D"/>
    <w:rsid w:val="006C0084"/>
    <w:rsid w:val="006C107D"/>
    <w:rsid w:val="006C1ACA"/>
    <w:rsid w:val="006C3600"/>
    <w:rsid w:val="006C4534"/>
    <w:rsid w:val="006C5205"/>
    <w:rsid w:val="006C75F6"/>
    <w:rsid w:val="006D3F53"/>
    <w:rsid w:val="006D60AF"/>
    <w:rsid w:val="006E4722"/>
    <w:rsid w:val="00701651"/>
    <w:rsid w:val="007049BF"/>
    <w:rsid w:val="00704E79"/>
    <w:rsid w:val="00707A26"/>
    <w:rsid w:val="00707BB1"/>
    <w:rsid w:val="0071120F"/>
    <w:rsid w:val="00716380"/>
    <w:rsid w:val="00722165"/>
    <w:rsid w:val="00724B1C"/>
    <w:rsid w:val="007428F0"/>
    <w:rsid w:val="00742A69"/>
    <w:rsid w:val="007512EF"/>
    <w:rsid w:val="007551AC"/>
    <w:rsid w:val="0076101C"/>
    <w:rsid w:val="00763D87"/>
    <w:rsid w:val="007670B2"/>
    <w:rsid w:val="00771795"/>
    <w:rsid w:val="00774925"/>
    <w:rsid w:val="00780918"/>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8E4"/>
    <w:rsid w:val="007B7B78"/>
    <w:rsid w:val="007C32B1"/>
    <w:rsid w:val="007C6DDA"/>
    <w:rsid w:val="007C7A22"/>
    <w:rsid w:val="007C7C62"/>
    <w:rsid w:val="007D1076"/>
    <w:rsid w:val="007D12B7"/>
    <w:rsid w:val="007D2A49"/>
    <w:rsid w:val="007D5E38"/>
    <w:rsid w:val="007D6746"/>
    <w:rsid w:val="007D7AC4"/>
    <w:rsid w:val="007E0340"/>
    <w:rsid w:val="007E1D4A"/>
    <w:rsid w:val="007E53C0"/>
    <w:rsid w:val="007E7703"/>
    <w:rsid w:val="007F4558"/>
    <w:rsid w:val="007F51F3"/>
    <w:rsid w:val="007F64DF"/>
    <w:rsid w:val="008050EF"/>
    <w:rsid w:val="0080652C"/>
    <w:rsid w:val="0080715F"/>
    <w:rsid w:val="008113D6"/>
    <w:rsid w:val="00812BA7"/>
    <w:rsid w:val="00813A87"/>
    <w:rsid w:val="00813F63"/>
    <w:rsid w:val="00815F57"/>
    <w:rsid w:val="0081760B"/>
    <w:rsid w:val="00817917"/>
    <w:rsid w:val="008218AC"/>
    <w:rsid w:val="00825359"/>
    <w:rsid w:val="00825E13"/>
    <w:rsid w:val="00826F07"/>
    <w:rsid w:val="008337CB"/>
    <w:rsid w:val="00834A3C"/>
    <w:rsid w:val="008360A0"/>
    <w:rsid w:val="008363C2"/>
    <w:rsid w:val="00837658"/>
    <w:rsid w:val="00837CD4"/>
    <w:rsid w:val="00837F78"/>
    <w:rsid w:val="008400EE"/>
    <w:rsid w:val="00840791"/>
    <w:rsid w:val="00845576"/>
    <w:rsid w:val="00850708"/>
    <w:rsid w:val="00851024"/>
    <w:rsid w:val="008526D7"/>
    <w:rsid w:val="00854152"/>
    <w:rsid w:val="0086238C"/>
    <w:rsid w:val="008655DC"/>
    <w:rsid w:val="0086732D"/>
    <w:rsid w:val="00870183"/>
    <w:rsid w:val="00875726"/>
    <w:rsid w:val="00877F10"/>
    <w:rsid w:val="0088225D"/>
    <w:rsid w:val="00882F8D"/>
    <w:rsid w:val="00884FB0"/>
    <w:rsid w:val="008853A5"/>
    <w:rsid w:val="008944DA"/>
    <w:rsid w:val="00894D78"/>
    <w:rsid w:val="008A3356"/>
    <w:rsid w:val="008A6A18"/>
    <w:rsid w:val="008B033F"/>
    <w:rsid w:val="008B4003"/>
    <w:rsid w:val="008B7443"/>
    <w:rsid w:val="008C179E"/>
    <w:rsid w:val="008C2379"/>
    <w:rsid w:val="008C4098"/>
    <w:rsid w:val="008C4EE1"/>
    <w:rsid w:val="008C4FF7"/>
    <w:rsid w:val="008C5C4C"/>
    <w:rsid w:val="008C7056"/>
    <w:rsid w:val="008C706D"/>
    <w:rsid w:val="008D0FBE"/>
    <w:rsid w:val="008D3145"/>
    <w:rsid w:val="008E1A54"/>
    <w:rsid w:val="008E1F95"/>
    <w:rsid w:val="008E36B6"/>
    <w:rsid w:val="008E4267"/>
    <w:rsid w:val="008E4847"/>
    <w:rsid w:val="008E5FF1"/>
    <w:rsid w:val="008E63D2"/>
    <w:rsid w:val="008E6E14"/>
    <w:rsid w:val="008F1528"/>
    <w:rsid w:val="008F1AE5"/>
    <w:rsid w:val="008F55D9"/>
    <w:rsid w:val="008F582D"/>
    <w:rsid w:val="009057DE"/>
    <w:rsid w:val="00905F97"/>
    <w:rsid w:val="00906FA3"/>
    <w:rsid w:val="00911768"/>
    <w:rsid w:val="0091239D"/>
    <w:rsid w:val="00912825"/>
    <w:rsid w:val="009129B8"/>
    <w:rsid w:val="00912B99"/>
    <w:rsid w:val="00912C78"/>
    <w:rsid w:val="00914073"/>
    <w:rsid w:val="00927892"/>
    <w:rsid w:val="009319B9"/>
    <w:rsid w:val="009351E9"/>
    <w:rsid w:val="00937862"/>
    <w:rsid w:val="0094031D"/>
    <w:rsid w:val="00942279"/>
    <w:rsid w:val="009524EB"/>
    <w:rsid w:val="00962013"/>
    <w:rsid w:val="00963942"/>
    <w:rsid w:val="0096716C"/>
    <w:rsid w:val="009672B2"/>
    <w:rsid w:val="00971C66"/>
    <w:rsid w:val="00972363"/>
    <w:rsid w:val="00981CBA"/>
    <w:rsid w:val="0098419C"/>
    <w:rsid w:val="009843EF"/>
    <w:rsid w:val="009867F2"/>
    <w:rsid w:val="00991347"/>
    <w:rsid w:val="00996018"/>
    <w:rsid w:val="0099738E"/>
    <w:rsid w:val="009A493E"/>
    <w:rsid w:val="009A5312"/>
    <w:rsid w:val="009A531F"/>
    <w:rsid w:val="009A6931"/>
    <w:rsid w:val="009B1A60"/>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172"/>
    <w:rsid w:val="00A44E87"/>
    <w:rsid w:val="00A5063C"/>
    <w:rsid w:val="00A52749"/>
    <w:rsid w:val="00A5422E"/>
    <w:rsid w:val="00A56EC1"/>
    <w:rsid w:val="00A60EB5"/>
    <w:rsid w:val="00A625A3"/>
    <w:rsid w:val="00A62B65"/>
    <w:rsid w:val="00A6350C"/>
    <w:rsid w:val="00A6370B"/>
    <w:rsid w:val="00A63A73"/>
    <w:rsid w:val="00A6655C"/>
    <w:rsid w:val="00A66CBB"/>
    <w:rsid w:val="00A6704E"/>
    <w:rsid w:val="00A67EA4"/>
    <w:rsid w:val="00A67FD2"/>
    <w:rsid w:val="00A773FF"/>
    <w:rsid w:val="00A83AA1"/>
    <w:rsid w:val="00A9343A"/>
    <w:rsid w:val="00A9706C"/>
    <w:rsid w:val="00A97B34"/>
    <w:rsid w:val="00AA1B5C"/>
    <w:rsid w:val="00AA67BF"/>
    <w:rsid w:val="00AA7A27"/>
    <w:rsid w:val="00AB3FB0"/>
    <w:rsid w:val="00AB465D"/>
    <w:rsid w:val="00AB713D"/>
    <w:rsid w:val="00AC114C"/>
    <w:rsid w:val="00AC1478"/>
    <w:rsid w:val="00AC6C2D"/>
    <w:rsid w:val="00AC6E17"/>
    <w:rsid w:val="00AD2FF3"/>
    <w:rsid w:val="00AD7764"/>
    <w:rsid w:val="00AD7FE2"/>
    <w:rsid w:val="00AE1284"/>
    <w:rsid w:val="00AE1B18"/>
    <w:rsid w:val="00AE23CF"/>
    <w:rsid w:val="00AE7339"/>
    <w:rsid w:val="00AF1B0B"/>
    <w:rsid w:val="00AF242C"/>
    <w:rsid w:val="00AF3CC4"/>
    <w:rsid w:val="00B05903"/>
    <w:rsid w:val="00B1191E"/>
    <w:rsid w:val="00B12C7A"/>
    <w:rsid w:val="00B12E10"/>
    <w:rsid w:val="00B13B37"/>
    <w:rsid w:val="00B22BC3"/>
    <w:rsid w:val="00B22CDB"/>
    <w:rsid w:val="00B23A1E"/>
    <w:rsid w:val="00B25865"/>
    <w:rsid w:val="00B272B6"/>
    <w:rsid w:val="00B2771B"/>
    <w:rsid w:val="00B324B4"/>
    <w:rsid w:val="00B336E9"/>
    <w:rsid w:val="00B33AE5"/>
    <w:rsid w:val="00B350D0"/>
    <w:rsid w:val="00B35BE5"/>
    <w:rsid w:val="00B36D71"/>
    <w:rsid w:val="00B46965"/>
    <w:rsid w:val="00B53447"/>
    <w:rsid w:val="00B54ED0"/>
    <w:rsid w:val="00B55D47"/>
    <w:rsid w:val="00B6204E"/>
    <w:rsid w:val="00B649EC"/>
    <w:rsid w:val="00B728DD"/>
    <w:rsid w:val="00B72D43"/>
    <w:rsid w:val="00B74121"/>
    <w:rsid w:val="00B859FF"/>
    <w:rsid w:val="00B85C1B"/>
    <w:rsid w:val="00B85FF0"/>
    <w:rsid w:val="00B86150"/>
    <w:rsid w:val="00B878F9"/>
    <w:rsid w:val="00B9044A"/>
    <w:rsid w:val="00B960F3"/>
    <w:rsid w:val="00B96A31"/>
    <w:rsid w:val="00BA05E6"/>
    <w:rsid w:val="00BA3BA0"/>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E7978"/>
    <w:rsid w:val="00BF116A"/>
    <w:rsid w:val="00BF45BA"/>
    <w:rsid w:val="00C03D20"/>
    <w:rsid w:val="00C0623C"/>
    <w:rsid w:val="00C06A07"/>
    <w:rsid w:val="00C07EAA"/>
    <w:rsid w:val="00C132B6"/>
    <w:rsid w:val="00C20CF5"/>
    <w:rsid w:val="00C21A6C"/>
    <w:rsid w:val="00C24A10"/>
    <w:rsid w:val="00C27003"/>
    <w:rsid w:val="00C2738B"/>
    <w:rsid w:val="00C27597"/>
    <w:rsid w:val="00C32BD4"/>
    <w:rsid w:val="00C33E48"/>
    <w:rsid w:val="00C3618B"/>
    <w:rsid w:val="00C403FB"/>
    <w:rsid w:val="00C40EAB"/>
    <w:rsid w:val="00C4316E"/>
    <w:rsid w:val="00C441A2"/>
    <w:rsid w:val="00C5076B"/>
    <w:rsid w:val="00C512D4"/>
    <w:rsid w:val="00C51CF4"/>
    <w:rsid w:val="00C531E2"/>
    <w:rsid w:val="00C53204"/>
    <w:rsid w:val="00C565DD"/>
    <w:rsid w:val="00C57E34"/>
    <w:rsid w:val="00C64659"/>
    <w:rsid w:val="00C662E9"/>
    <w:rsid w:val="00C66C2D"/>
    <w:rsid w:val="00C7190B"/>
    <w:rsid w:val="00C75C39"/>
    <w:rsid w:val="00C76852"/>
    <w:rsid w:val="00C77210"/>
    <w:rsid w:val="00C777FA"/>
    <w:rsid w:val="00C77989"/>
    <w:rsid w:val="00C811F4"/>
    <w:rsid w:val="00C81E51"/>
    <w:rsid w:val="00C87B73"/>
    <w:rsid w:val="00C92444"/>
    <w:rsid w:val="00C92FBB"/>
    <w:rsid w:val="00C93327"/>
    <w:rsid w:val="00C97B4D"/>
    <w:rsid w:val="00CA4282"/>
    <w:rsid w:val="00CA5602"/>
    <w:rsid w:val="00CA5CA9"/>
    <w:rsid w:val="00CA78E2"/>
    <w:rsid w:val="00CB082C"/>
    <w:rsid w:val="00CB1BBE"/>
    <w:rsid w:val="00CB65DB"/>
    <w:rsid w:val="00CB6BD9"/>
    <w:rsid w:val="00CC293A"/>
    <w:rsid w:val="00CC7656"/>
    <w:rsid w:val="00CE08C9"/>
    <w:rsid w:val="00CE19F6"/>
    <w:rsid w:val="00CE6B76"/>
    <w:rsid w:val="00CF366B"/>
    <w:rsid w:val="00CF3956"/>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463FA"/>
    <w:rsid w:val="00D5078A"/>
    <w:rsid w:val="00D511DD"/>
    <w:rsid w:val="00D55C2A"/>
    <w:rsid w:val="00D571C1"/>
    <w:rsid w:val="00D602F4"/>
    <w:rsid w:val="00D6457E"/>
    <w:rsid w:val="00D742E2"/>
    <w:rsid w:val="00D7580E"/>
    <w:rsid w:val="00D80B67"/>
    <w:rsid w:val="00D84FDF"/>
    <w:rsid w:val="00D87DAF"/>
    <w:rsid w:val="00D9446D"/>
    <w:rsid w:val="00DA2994"/>
    <w:rsid w:val="00DA661E"/>
    <w:rsid w:val="00DB08E8"/>
    <w:rsid w:val="00DB0C30"/>
    <w:rsid w:val="00DB0DED"/>
    <w:rsid w:val="00DB3073"/>
    <w:rsid w:val="00DB3BA9"/>
    <w:rsid w:val="00DB50FE"/>
    <w:rsid w:val="00DB5EDA"/>
    <w:rsid w:val="00DC2349"/>
    <w:rsid w:val="00DC3026"/>
    <w:rsid w:val="00DD1EDB"/>
    <w:rsid w:val="00DD57AA"/>
    <w:rsid w:val="00DE1578"/>
    <w:rsid w:val="00DE1BFD"/>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3612B"/>
    <w:rsid w:val="00E42425"/>
    <w:rsid w:val="00E43E55"/>
    <w:rsid w:val="00E4554E"/>
    <w:rsid w:val="00E46D22"/>
    <w:rsid w:val="00E4768F"/>
    <w:rsid w:val="00E53C0E"/>
    <w:rsid w:val="00E54F7E"/>
    <w:rsid w:val="00E560CE"/>
    <w:rsid w:val="00E5674E"/>
    <w:rsid w:val="00E573FF"/>
    <w:rsid w:val="00E579A6"/>
    <w:rsid w:val="00E63783"/>
    <w:rsid w:val="00E650E2"/>
    <w:rsid w:val="00E65F64"/>
    <w:rsid w:val="00E75CAD"/>
    <w:rsid w:val="00E76922"/>
    <w:rsid w:val="00E8595B"/>
    <w:rsid w:val="00E900C4"/>
    <w:rsid w:val="00E915EC"/>
    <w:rsid w:val="00E92CB3"/>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4C20"/>
    <w:rsid w:val="00EF6907"/>
    <w:rsid w:val="00EF69E6"/>
    <w:rsid w:val="00EF6D91"/>
    <w:rsid w:val="00F00813"/>
    <w:rsid w:val="00F01F54"/>
    <w:rsid w:val="00F04D4D"/>
    <w:rsid w:val="00F11DD8"/>
    <w:rsid w:val="00F12745"/>
    <w:rsid w:val="00F13766"/>
    <w:rsid w:val="00F20A1F"/>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5418E"/>
    <w:rsid w:val="00F56774"/>
    <w:rsid w:val="00F61B24"/>
    <w:rsid w:val="00F62DE5"/>
    <w:rsid w:val="00F63F8A"/>
    <w:rsid w:val="00F6514E"/>
    <w:rsid w:val="00F703DC"/>
    <w:rsid w:val="00F71D06"/>
    <w:rsid w:val="00F73B46"/>
    <w:rsid w:val="00F73D01"/>
    <w:rsid w:val="00F7642B"/>
    <w:rsid w:val="00F76A43"/>
    <w:rsid w:val="00F80334"/>
    <w:rsid w:val="00F80521"/>
    <w:rsid w:val="00F8139D"/>
    <w:rsid w:val="00F83DF9"/>
    <w:rsid w:val="00F85DA0"/>
    <w:rsid w:val="00F930AF"/>
    <w:rsid w:val="00F9352C"/>
    <w:rsid w:val="00F975B0"/>
    <w:rsid w:val="00FA15F1"/>
    <w:rsid w:val="00FA19F5"/>
    <w:rsid w:val="00FA4A69"/>
    <w:rsid w:val="00FA649A"/>
    <w:rsid w:val="00FB1248"/>
    <w:rsid w:val="00FB162E"/>
    <w:rsid w:val="00FB208D"/>
    <w:rsid w:val="00FB3CF4"/>
    <w:rsid w:val="00FB4A27"/>
    <w:rsid w:val="00FB4A49"/>
    <w:rsid w:val="00FB59B9"/>
    <w:rsid w:val="00FB69B3"/>
    <w:rsid w:val="00FC6FBE"/>
    <w:rsid w:val="00FD1162"/>
    <w:rsid w:val="00FD2232"/>
    <w:rsid w:val="00FD4AE7"/>
    <w:rsid w:val="00FD65A9"/>
    <w:rsid w:val="00FD7508"/>
    <w:rsid w:val="00FE1E51"/>
    <w:rsid w:val="00FE2496"/>
    <w:rsid w:val="00FE6A2B"/>
    <w:rsid w:val="00FF0275"/>
    <w:rsid w:val="00FF07B3"/>
    <w:rsid w:val="00FF1E37"/>
    <w:rsid w:val="00FF561F"/>
    <w:rsid w:val="1AEC0734"/>
    <w:rsid w:val="2EFFE297"/>
    <w:rsid w:val="4BF72BEF"/>
    <w:rsid w:val="5DFF1610"/>
    <w:rsid w:val="637F4CE2"/>
    <w:rsid w:val="6FF51681"/>
    <w:rsid w:val="73F15C45"/>
    <w:rsid w:val="77B8FDBC"/>
    <w:rsid w:val="783B1010"/>
    <w:rsid w:val="7A7F1C49"/>
    <w:rsid w:val="7B5B7AE6"/>
    <w:rsid w:val="7BA7071E"/>
    <w:rsid w:val="7BDF6DA8"/>
    <w:rsid w:val="7C7EDC1A"/>
    <w:rsid w:val="7D08410F"/>
    <w:rsid w:val="7DB96DED"/>
    <w:rsid w:val="7DFFED0C"/>
    <w:rsid w:val="7F7FE70F"/>
    <w:rsid w:val="7FFF3156"/>
    <w:rsid w:val="7FFF772F"/>
    <w:rsid w:val="95F35EF6"/>
    <w:rsid w:val="9BFFD860"/>
    <w:rsid w:val="9CF78F96"/>
    <w:rsid w:val="AC5F73DE"/>
    <w:rsid w:val="B5DDD2C8"/>
    <w:rsid w:val="B7FFDDA2"/>
    <w:rsid w:val="B9DFABD9"/>
    <w:rsid w:val="BC0D83FC"/>
    <w:rsid w:val="BDEF24AE"/>
    <w:rsid w:val="BE5E8BE6"/>
    <w:rsid w:val="BF3BDEFB"/>
    <w:rsid w:val="BF3D430A"/>
    <w:rsid w:val="C67FFC33"/>
    <w:rsid w:val="C7F7ED2D"/>
    <w:rsid w:val="CDE70B39"/>
    <w:rsid w:val="D67FA707"/>
    <w:rsid w:val="D8D7928E"/>
    <w:rsid w:val="D8FE3136"/>
    <w:rsid w:val="DDBFD195"/>
    <w:rsid w:val="DDDE60B7"/>
    <w:rsid w:val="DDFF1AC6"/>
    <w:rsid w:val="DF4FCE6A"/>
    <w:rsid w:val="E7EA955D"/>
    <w:rsid w:val="E863BC1B"/>
    <w:rsid w:val="EDAA365C"/>
    <w:rsid w:val="EDADFC12"/>
    <w:rsid w:val="EECD469B"/>
    <w:rsid w:val="F62ECB92"/>
    <w:rsid w:val="F63E0EE6"/>
    <w:rsid w:val="F7F709E9"/>
    <w:rsid w:val="F7FF3690"/>
    <w:rsid w:val="F9BD3900"/>
    <w:rsid w:val="F9FFF919"/>
    <w:rsid w:val="FAAC51FA"/>
    <w:rsid w:val="FC8B9876"/>
    <w:rsid w:val="FE7188BB"/>
    <w:rsid w:val="FEDFFFFF"/>
    <w:rsid w:val="FFDC76B1"/>
    <w:rsid w:val="FFF64A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Indent"/>
    <w:basedOn w:val="1"/>
    <w:uiPriority w:val="0"/>
    <w:pPr>
      <w:ind w:firstLine="645"/>
    </w:pPr>
    <w:rPr>
      <w:rFonts w:ascii="仿宋_GB2312" w:hAnsi="Calibri" w:eastAsia="仿宋_GB2312"/>
      <w:sz w:val="32"/>
      <w:szCs w:val="32"/>
    </w:rPr>
  </w:style>
  <w:style w:type="paragraph" w:styleId="5">
    <w:name w:val="Date"/>
    <w:basedOn w:val="1"/>
    <w:next w:val="1"/>
    <w:uiPriority w:val="0"/>
    <w:pPr>
      <w:ind w:left="100" w:leftChars="2500"/>
    </w:pPr>
  </w:style>
  <w:style w:type="paragraph" w:styleId="6">
    <w:name w:val="Balloon Text"/>
    <w:basedOn w:val="1"/>
    <w:semiHidden/>
    <w:uiPriority w:val="0"/>
    <w:rPr>
      <w:sz w:val="18"/>
      <w:szCs w:val="18"/>
    </w:rPr>
  </w:style>
  <w:style w:type="paragraph" w:styleId="7">
    <w:name w:val="footer"/>
    <w:basedOn w:val="1"/>
    <w:link w:val="14"/>
    <w:uiPriority w:val="0"/>
    <w:pPr>
      <w:tabs>
        <w:tab w:val="center" w:pos="4153"/>
        <w:tab w:val="right" w:pos="8306"/>
      </w:tabs>
      <w:snapToGrid w:val="0"/>
      <w:jc w:val="left"/>
    </w:pPr>
    <w:rPr>
      <w:sz w:val="18"/>
      <w:szCs w:val="18"/>
    </w:rPr>
  </w:style>
  <w:style w:type="paragraph" w:styleId="8">
    <w:name w:val="header"/>
    <w:basedOn w:val="1"/>
    <w:link w:val="15"/>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uiPriority w:val="0"/>
  </w:style>
  <w:style w:type="character" w:customStyle="1" w:styleId="14">
    <w:name w:val="页脚 Char"/>
    <w:link w:val="7"/>
    <w:uiPriority w:val="0"/>
    <w:rPr>
      <w:rFonts w:eastAsia="宋体"/>
      <w:kern w:val="2"/>
      <w:sz w:val="18"/>
      <w:szCs w:val="18"/>
      <w:lang w:val="en-US" w:eastAsia="zh-CN" w:bidi="ar-SA"/>
    </w:rPr>
  </w:style>
  <w:style w:type="character" w:customStyle="1" w:styleId="15">
    <w:name w:val="页眉 Char"/>
    <w:link w:val="8"/>
    <w:uiPriority w:val="0"/>
    <w:rPr>
      <w:rFonts w:ascii="Calibri" w:hAnsi="Calibri" w:eastAsia="宋体"/>
      <w:kern w:val="2"/>
      <w:sz w:val="18"/>
      <w:szCs w:val="18"/>
      <w:lang w:val="en-US" w:eastAsia="zh-CN" w:bidi="ar-SA"/>
    </w:rPr>
  </w:style>
  <w:style w:type="paragraph" w:customStyle="1" w:styleId="16">
    <w:name w:val=" Char Char Char Char Char Char Char"/>
    <w:basedOn w:val="1"/>
    <w:uiPriority w:val="0"/>
    <w:rPr>
      <w:rFonts w:ascii="Tahoma" w:hAnsi="Tahoma"/>
      <w:sz w:val="24"/>
      <w:szCs w:val="20"/>
    </w:rPr>
  </w:style>
  <w:style w:type="paragraph" w:customStyle="1" w:styleId="17">
    <w:name w:val="Char1 Char Char Char"/>
    <w:basedOn w:val="1"/>
    <w:uiPriority w:val="0"/>
    <w:pPr>
      <w:widowControl/>
      <w:spacing w:after="160" w:line="240" w:lineRule="exact"/>
      <w:jc w:val="left"/>
    </w:pPr>
    <w:rPr>
      <w:szCs w:val="20"/>
    </w:rPr>
  </w:style>
  <w:style w:type="paragraph" w:customStyle="1" w:styleId="18">
    <w:name w:val="Char"/>
    <w:basedOn w:val="1"/>
    <w:uiPriority w:val="0"/>
    <w:rPr>
      <w:rFonts w:ascii="Tahoma" w:hAnsi="Tahoma"/>
      <w:sz w:val="24"/>
      <w:szCs w:val="20"/>
    </w:rPr>
  </w:style>
  <w:style w:type="paragraph" w:customStyle="1" w:styleId="19">
    <w:name w:val="Char Char3 Char Char"/>
    <w:basedOn w:val="1"/>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2009</Words>
  <Characters>11452</Characters>
  <Lines>95</Lines>
  <Paragraphs>26</Paragraphs>
  <TotalTime>0</TotalTime>
  <ScaleCrop>false</ScaleCrop>
  <LinksUpToDate>false</LinksUpToDate>
  <CharactersWithSpaces>13435</CharactersWithSpaces>
  <Application>WPS Office_6.0.0.8068_F1E327BC-269C-435d-A152-05C5408002CA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2023-08-23T16:55:00Z</dcterms:created>
  <dc:creator>常程</dc:creator>
  <cp:lastModifiedBy>：</cp:lastModifiedBy>
  <cp:lastPrinted>2020-08-09T19:39:00Z</cp:lastPrinted>
  <dcterms:modified xsi:type="dcterms:W3CDTF">2023-08-23T17:17:32Z</dcterms:modified>
  <dc:title>北京市财政局关于做好向市人大常委会报送2015年度市级部门决算（草案）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8F43955F976E2CF0ACCEE5648B6418E2_42</vt:lpwstr>
  </property>
</Properties>
</file>