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ascii="仿宋" w:hAnsi="仿宋" w:eastAsia="仿宋" w:cs="黑体"/>
          <w:color w:val="auto"/>
        </w:rPr>
      </w:pPr>
      <w:bookmarkStart w:id="47" w:name="_GoBack"/>
      <w:r>
        <w:rPr>
          <w:rFonts w:hint="eastAsia" w:ascii="仿宋" w:hAnsi="仿宋" w:eastAsia="仿宋" w:cs="黑体"/>
          <w:color w:val="auto"/>
        </w:rPr>
        <w:t xml:space="preserve"> </w:t>
      </w:r>
    </w:p>
    <w:p>
      <w:pPr>
        <w:adjustRightInd w:val="0"/>
        <w:snapToGrid w:val="0"/>
        <w:spacing w:line="1000" w:lineRule="exact"/>
        <w:jc w:val="center"/>
        <w:outlineLvl w:val="0"/>
        <w:rPr>
          <w:rFonts w:ascii="黑体" w:eastAsia="黑体"/>
          <w:color w:val="auto"/>
          <w:sz w:val="72"/>
          <w:szCs w:val="72"/>
        </w:rPr>
      </w:pPr>
      <w:bookmarkStart w:id="0" w:name="_Toc15377425"/>
      <w:bookmarkEnd w:id="0"/>
      <w:bookmarkStart w:id="1" w:name="_Toc15378441"/>
      <w:bookmarkEnd w:id="1"/>
      <w:bookmarkStart w:id="2" w:name="_Toc15396475"/>
      <w:bookmarkEnd w:id="2"/>
      <w:bookmarkStart w:id="3" w:name="_Toc15377193"/>
      <w:bookmarkEnd w:id="3"/>
      <w:bookmarkStart w:id="4" w:name="_Toc15396597"/>
    </w:p>
    <w:bookmarkEnd w:id="4"/>
    <w:p>
      <w:pPr>
        <w:adjustRightInd w:val="0"/>
        <w:snapToGrid w:val="0"/>
        <w:spacing w:line="1000" w:lineRule="exact"/>
        <w:jc w:val="center"/>
        <w:outlineLvl w:val="0"/>
        <w:rPr>
          <w:rFonts w:ascii="方正小标宋简体" w:hAnsi="宋体" w:eastAsia="方正小标宋简体"/>
          <w:color w:val="auto"/>
          <w:sz w:val="72"/>
          <w:szCs w:val="72"/>
        </w:rPr>
      </w:pPr>
      <w:r>
        <w:rPr>
          <w:rFonts w:hint="eastAsia" w:ascii="黑体" w:eastAsia="黑体"/>
          <w:color w:val="auto"/>
          <w:sz w:val="72"/>
          <w:szCs w:val="72"/>
          <w:lang w:eastAsia="zh-CN"/>
        </w:rPr>
        <w:t>2022</w:t>
      </w:r>
      <w:r>
        <w:rPr>
          <w:rFonts w:hint="eastAsia" w:ascii="方正小标宋简体" w:hAnsi="宋体" w:eastAsia="方正小标宋简体"/>
          <w:color w:val="auto"/>
          <w:sz w:val="72"/>
          <w:szCs w:val="72"/>
        </w:rPr>
        <w:t>年度</w:t>
      </w:r>
    </w:p>
    <w:p>
      <w:pPr>
        <w:adjustRightInd w:val="0"/>
        <w:snapToGrid w:val="0"/>
        <w:spacing w:line="1000" w:lineRule="exact"/>
        <w:jc w:val="center"/>
        <w:outlineLvl w:val="0"/>
        <w:rPr>
          <w:rFonts w:ascii="方正小标宋简体" w:hAnsi="宋体" w:eastAsia="方正小标宋简体"/>
          <w:color w:val="auto"/>
          <w:sz w:val="72"/>
          <w:szCs w:val="72"/>
        </w:rPr>
      </w:pPr>
      <w:bookmarkStart w:id="5" w:name="_Toc15378442"/>
      <w:bookmarkEnd w:id="5"/>
      <w:bookmarkStart w:id="6" w:name="_Toc15377194"/>
      <w:bookmarkEnd w:id="6"/>
      <w:bookmarkStart w:id="7" w:name="_Toc15377426"/>
      <w:bookmarkEnd w:id="7"/>
      <w:bookmarkStart w:id="8" w:name="_Toc15396476"/>
      <w:bookmarkEnd w:id="8"/>
      <w:bookmarkStart w:id="9" w:name="_Toc15396598"/>
      <w:r>
        <w:rPr>
          <w:rFonts w:hint="eastAsia" w:ascii="方正小标宋简体" w:hAnsi="宋体" w:eastAsia="方正小标宋简体"/>
          <w:color w:val="auto"/>
          <w:sz w:val="72"/>
          <w:szCs w:val="72"/>
        </w:rPr>
        <w:t>四川省</w:t>
      </w:r>
      <w:bookmarkEnd w:id="9"/>
      <w:bookmarkStart w:id="10" w:name="_Toc15306268"/>
      <w:bookmarkEnd w:id="10"/>
      <w:r>
        <w:rPr>
          <w:rFonts w:hint="eastAsia" w:ascii="方正小标宋简体" w:hAnsi="宋体" w:eastAsia="方正小标宋简体"/>
          <w:color w:val="auto"/>
          <w:sz w:val="72"/>
          <w:szCs w:val="72"/>
        </w:rPr>
        <w:t>蓬溪县人民法院</w:t>
      </w:r>
    </w:p>
    <w:p>
      <w:pPr>
        <w:adjustRightInd w:val="0"/>
        <w:snapToGrid w:val="0"/>
        <w:spacing w:line="1000" w:lineRule="exact"/>
        <w:jc w:val="center"/>
        <w:outlineLvl w:val="0"/>
        <w:rPr>
          <w:rFonts w:ascii="方正小标宋简体" w:hAnsi="宋体" w:eastAsia="方正小标宋简体"/>
          <w:color w:val="auto"/>
          <w:sz w:val="72"/>
          <w:szCs w:val="72"/>
        </w:rPr>
      </w:pPr>
      <w:r>
        <w:rPr>
          <w:rFonts w:hint="eastAsia" w:ascii="方正小标宋简体" w:hAnsi="宋体" w:eastAsia="方正小标宋简体"/>
          <w:color w:val="auto"/>
          <w:sz w:val="72"/>
          <w:szCs w:val="72"/>
        </w:rPr>
        <w:t>部门决算</w:t>
      </w:r>
    </w:p>
    <w:p>
      <w:pPr>
        <w:widowControl/>
        <w:spacing w:line="576" w:lineRule="exact"/>
        <w:jc w:val="center"/>
        <w:rPr>
          <w:rFonts w:ascii="方正小标宋简体" w:eastAsia="方正小标宋简体"/>
          <w:color w:val="auto"/>
          <w:sz w:val="44"/>
          <w:szCs w:val="44"/>
        </w:rPr>
      </w:pPr>
      <w:r>
        <w:rPr>
          <w:rFonts w:hint="eastAsia" w:ascii="方正小标宋简体" w:hAnsi="宋体" w:eastAsia="方正小标宋简体"/>
          <w:color w:val="auto"/>
          <w:sz w:val="36"/>
          <w:szCs w:val="36"/>
        </w:rPr>
        <w:br w:type="page"/>
      </w:r>
      <w:r>
        <w:rPr>
          <w:rFonts w:hint="eastAsia" w:ascii="方正小标宋简体" w:eastAsia="方正小标宋简体"/>
          <w:color w:val="auto"/>
          <w:sz w:val="44"/>
          <w:szCs w:val="44"/>
        </w:rPr>
        <w:t>目录</w:t>
      </w:r>
    </w:p>
    <w:p>
      <w:pPr>
        <w:pStyle w:val="9"/>
        <w:tabs>
          <w:tab w:val="right" w:leader="dot" w:pos="8296"/>
        </w:tabs>
        <w:adjustRightInd w:val="0"/>
        <w:snapToGrid w:val="0"/>
        <w:spacing w:before="0" w:line="440" w:lineRule="exact"/>
        <w:jc w:val="both"/>
        <w:rPr>
          <w:rFonts w:hint="eastAsia" w:cs="Times New Roman"/>
          <w:color w:val="auto"/>
          <w:sz w:val="30"/>
          <w:szCs w:val="30"/>
          <w:highlight w:val="none"/>
        </w:rPr>
      </w:pPr>
    </w:p>
    <w:p>
      <w:pPr>
        <w:pStyle w:val="9"/>
        <w:tabs>
          <w:tab w:val="right" w:leader="dot" w:pos="8296"/>
        </w:tabs>
        <w:adjustRightInd w:val="0"/>
        <w:snapToGrid w:val="0"/>
        <w:spacing w:before="0" w:line="440" w:lineRule="exact"/>
        <w:jc w:val="center"/>
        <w:rPr>
          <w:rFonts w:hint="eastAsia" w:cs="Times New Roman"/>
          <w:color w:val="auto"/>
          <w:sz w:val="30"/>
          <w:szCs w:val="30"/>
          <w:highlight w:val="none"/>
        </w:rPr>
      </w:pPr>
      <w:r>
        <w:rPr>
          <w:rFonts w:hint="eastAsia" w:cs="Times New Roman"/>
          <w:color w:val="auto"/>
          <w:sz w:val="30"/>
          <w:szCs w:val="30"/>
          <w:highlight w:val="none"/>
        </w:rPr>
        <w:t>公开时间：20</w:t>
      </w:r>
      <w:r>
        <w:rPr>
          <w:rFonts w:hint="eastAsia" w:cs="Times New Roman"/>
          <w:color w:val="auto"/>
          <w:sz w:val="30"/>
          <w:szCs w:val="30"/>
          <w:highlight w:val="none"/>
          <w:lang w:val="en-US" w:eastAsia="zh-CN"/>
        </w:rPr>
        <w:t>23</w:t>
      </w:r>
      <w:r>
        <w:rPr>
          <w:rFonts w:hint="eastAsia" w:cs="Times New Roman"/>
          <w:color w:val="auto"/>
          <w:sz w:val="30"/>
          <w:szCs w:val="30"/>
          <w:highlight w:val="none"/>
        </w:rPr>
        <w:t>年</w:t>
      </w:r>
      <w:r>
        <w:rPr>
          <w:rFonts w:hint="eastAsia" w:cs="Times New Roman"/>
          <w:color w:val="auto"/>
          <w:sz w:val="30"/>
          <w:szCs w:val="30"/>
          <w:highlight w:val="none"/>
          <w:lang w:val="en-US" w:eastAsia="zh-CN"/>
        </w:rPr>
        <w:t>8</w:t>
      </w:r>
      <w:r>
        <w:rPr>
          <w:rFonts w:hint="eastAsia" w:cs="Times New Roman"/>
          <w:color w:val="auto"/>
          <w:sz w:val="30"/>
          <w:szCs w:val="30"/>
          <w:highlight w:val="none"/>
        </w:rPr>
        <w:t>月</w:t>
      </w:r>
      <w:r>
        <w:rPr>
          <w:rFonts w:hint="eastAsia" w:cs="Times New Roman"/>
          <w:color w:val="auto"/>
          <w:sz w:val="30"/>
          <w:szCs w:val="30"/>
          <w:highlight w:val="none"/>
          <w:lang w:val="en-US" w:eastAsia="zh-CN"/>
        </w:rPr>
        <w:t>15</w:t>
      </w:r>
      <w:r>
        <w:rPr>
          <w:rFonts w:hint="eastAsia" w:cs="Times New Roman"/>
          <w:color w:val="auto"/>
          <w:sz w:val="30"/>
          <w:szCs w:val="30"/>
          <w:highlight w:val="none"/>
        </w:rPr>
        <w:t>日</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第一部分 部门概况</w:t>
      </w:r>
    </w:p>
    <w:p>
      <w:pPr>
        <w:pStyle w:val="9"/>
        <w:tabs>
          <w:tab w:val="right" w:leader="dot" w:pos="8296"/>
        </w:tabs>
        <w:adjustRightInd w:val="0"/>
        <w:snapToGrid w:val="0"/>
        <w:spacing w:before="0" w:line="440" w:lineRule="exact"/>
        <w:jc w:val="left"/>
        <w:rPr>
          <w:rFonts w:hint="eastAsia" w:eastAsia="仿宋" w:cs="Times New Roman"/>
          <w:color w:val="auto"/>
          <w:sz w:val="30"/>
          <w:szCs w:val="30"/>
          <w:highlight w:val="none"/>
          <w:lang w:val="en-US" w:eastAsia="zh-CN"/>
        </w:rPr>
      </w:pPr>
      <w:r>
        <w:rPr>
          <w:rFonts w:hint="eastAsia" w:cs="Times New Roman"/>
          <w:color w:val="auto"/>
          <w:sz w:val="30"/>
          <w:szCs w:val="30"/>
          <w:highlight w:val="none"/>
        </w:rPr>
        <w:t>一、</w:t>
      </w:r>
      <w:r>
        <w:rPr>
          <w:rFonts w:hint="eastAsia" w:cs="Times New Roman"/>
          <w:color w:val="auto"/>
          <w:sz w:val="30"/>
          <w:szCs w:val="30"/>
          <w:highlight w:val="none"/>
          <w:lang w:eastAsia="zh-CN"/>
        </w:rPr>
        <w:t>部门职责</w:t>
      </w:r>
      <w:r>
        <w:rPr>
          <w:rFonts w:hint="eastAsia" w:cs="Times New Roman"/>
          <w:color w:val="auto"/>
          <w:sz w:val="30"/>
          <w:szCs w:val="30"/>
          <w:highlight w:val="none"/>
        </w:rPr>
        <w:tab/>
      </w:r>
      <w:r>
        <w:rPr>
          <w:rFonts w:hint="eastAsia" w:cs="Times New Roman"/>
          <w:color w:val="auto"/>
          <w:sz w:val="30"/>
          <w:szCs w:val="30"/>
          <w:highlight w:val="none"/>
          <w:lang w:val="en-US" w:eastAsia="zh-CN"/>
        </w:rPr>
        <w:t>4</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二、机构设置</w:t>
      </w:r>
      <w:r>
        <w:rPr>
          <w:rFonts w:hint="eastAsia" w:cs="Times New Roman"/>
          <w:color w:val="auto"/>
          <w:sz w:val="30"/>
          <w:szCs w:val="30"/>
          <w:highlight w:val="none"/>
        </w:rPr>
        <w:tab/>
      </w:r>
      <w:r>
        <w:rPr>
          <w:rFonts w:hint="eastAsia" w:cs="Times New Roman"/>
          <w:color w:val="auto"/>
          <w:sz w:val="30"/>
          <w:szCs w:val="30"/>
          <w:highlight w:val="none"/>
          <w:lang w:val="en-US" w:eastAsia="zh-CN"/>
        </w:rPr>
        <w:t>5</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第二部分</w:t>
      </w:r>
      <w:r>
        <w:rPr>
          <w:rFonts w:hint="eastAsia" w:cs="Times New Roman"/>
          <w:color w:val="auto"/>
          <w:sz w:val="30"/>
          <w:szCs w:val="30"/>
          <w:highlight w:val="none"/>
          <w:lang w:val="en-US" w:eastAsia="zh-CN"/>
        </w:rPr>
        <w:t xml:space="preserve"> 2022年度</w:t>
      </w:r>
      <w:r>
        <w:rPr>
          <w:rFonts w:hint="eastAsia" w:cs="Times New Roman"/>
          <w:color w:val="auto"/>
          <w:sz w:val="30"/>
          <w:szCs w:val="30"/>
          <w:highlight w:val="none"/>
        </w:rPr>
        <w:t>部门决算情况说明</w:t>
      </w:r>
      <w:r>
        <w:rPr>
          <w:rFonts w:hint="eastAsia" w:cs="Times New Roman"/>
          <w:color w:val="auto"/>
          <w:sz w:val="30"/>
          <w:szCs w:val="30"/>
          <w:highlight w:val="none"/>
        </w:rPr>
        <w:tab/>
      </w:r>
      <w:r>
        <w:rPr>
          <w:rFonts w:hint="eastAsia" w:cs="Times New Roman"/>
          <w:color w:val="auto"/>
          <w:sz w:val="30"/>
          <w:szCs w:val="30"/>
          <w:highlight w:val="none"/>
          <w:lang w:val="en-US" w:eastAsia="zh-CN"/>
        </w:rPr>
        <w:t>6</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一、收入支出决算总体情况说明</w:t>
      </w:r>
      <w:r>
        <w:rPr>
          <w:rFonts w:hint="eastAsia" w:cs="Times New Roman"/>
          <w:color w:val="auto"/>
          <w:sz w:val="30"/>
          <w:szCs w:val="30"/>
          <w:highlight w:val="none"/>
        </w:rPr>
        <w:tab/>
      </w:r>
      <w:r>
        <w:rPr>
          <w:rFonts w:hint="eastAsia" w:cs="Times New Roman"/>
          <w:color w:val="auto"/>
          <w:sz w:val="30"/>
          <w:szCs w:val="30"/>
          <w:highlight w:val="none"/>
          <w:lang w:val="en-US" w:eastAsia="zh-CN"/>
        </w:rPr>
        <w:t>6</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二、收入决算情况说明</w:t>
      </w:r>
      <w:r>
        <w:rPr>
          <w:rFonts w:hint="eastAsia" w:cs="Times New Roman"/>
          <w:color w:val="auto"/>
          <w:sz w:val="30"/>
          <w:szCs w:val="30"/>
          <w:highlight w:val="none"/>
        </w:rPr>
        <w:tab/>
      </w:r>
      <w:r>
        <w:rPr>
          <w:rFonts w:hint="eastAsia" w:cs="Times New Roman"/>
          <w:color w:val="auto"/>
          <w:sz w:val="30"/>
          <w:szCs w:val="30"/>
          <w:highlight w:val="none"/>
          <w:lang w:val="en-US" w:eastAsia="zh-CN"/>
        </w:rPr>
        <w:t>6</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三、支出决算情况说明</w:t>
      </w:r>
      <w:r>
        <w:rPr>
          <w:rFonts w:hint="eastAsia" w:cs="Times New Roman"/>
          <w:color w:val="auto"/>
          <w:sz w:val="30"/>
          <w:szCs w:val="30"/>
          <w:highlight w:val="none"/>
        </w:rPr>
        <w:tab/>
      </w:r>
      <w:r>
        <w:rPr>
          <w:rFonts w:hint="eastAsia" w:cs="Times New Roman"/>
          <w:color w:val="auto"/>
          <w:sz w:val="30"/>
          <w:szCs w:val="30"/>
          <w:highlight w:val="none"/>
          <w:lang w:val="en-US" w:eastAsia="zh-CN"/>
        </w:rPr>
        <w:t>7</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四、财政拨款收入支出决算总体情况说明</w:t>
      </w:r>
      <w:r>
        <w:rPr>
          <w:rFonts w:hint="eastAsia" w:cs="Times New Roman"/>
          <w:color w:val="auto"/>
          <w:sz w:val="30"/>
          <w:szCs w:val="30"/>
          <w:highlight w:val="none"/>
        </w:rPr>
        <w:tab/>
      </w:r>
      <w:r>
        <w:rPr>
          <w:rFonts w:hint="eastAsia" w:cs="Times New Roman"/>
          <w:color w:val="auto"/>
          <w:sz w:val="30"/>
          <w:szCs w:val="30"/>
          <w:highlight w:val="none"/>
          <w:lang w:val="en-US" w:eastAsia="zh-CN"/>
        </w:rPr>
        <w:t>8</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五、一般公共预算财政拨款支出决算情况说明</w:t>
      </w:r>
      <w:r>
        <w:rPr>
          <w:rFonts w:hint="eastAsia" w:cs="Times New Roman"/>
          <w:color w:val="auto"/>
          <w:sz w:val="30"/>
          <w:szCs w:val="30"/>
          <w:highlight w:val="none"/>
        </w:rPr>
        <w:tab/>
      </w:r>
      <w:r>
        <w:rPr>
          <w:rFonts w:hint="eastAsia" w:cs="Times New Roman"/>
          <w:color w:val="auto"/>
          <w:sz w:val="30"/>
          <w:szCs w:val="30"/>
          <w:highlight w:val="none"/>
          <w:lang w:val="en-US" w:eastAsia="zh-CN"/>
        </w:rPr>
        <w:t>8</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六、一般公共预算财政拨款基本支出决算情况说明</w:t>
      </w:r>
      <w:r>
        <w:rPr>
          <w:rFonts w:hint="eastAsia" w:cs="Times New Roman"/>
          <w:color w:val="auto"/>
          <w:sz w:val="30"/>
          <w:szCs w:val="30"/>
          <w:highlight w:val="none"/>
        </w:rPr>
        <w:tab/>
      </w:r>
      <w:r>
        <w:rPr>
          <w:rFonts w:hint="eastAsia" w:cs="Times New Roman"/>
          <w:color w:val="auto"/>
          <w:sz w:val="30"/>
          <w:szCs w:val="30"/>
          <w:highlight w:val="none"/>
          <w:lang w:val="en-US" w:eastAsia="zh-CN"/>
        </w:rPr>
        <w:t>11</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七、财政拨款</w:t>
      </w:r>
      <w:r>
        <w:rPr>
          <w:rFonts w:hint="eastAsia" w:cs="Times New Roman"/>
          <w:color w:val="auto"/>
          <w:sz w:val="30"/>
          <w:szCs w:val="30"/>
          <w:highlight w:val="none"/>
          <w:lang w:eastAsia="zh-CN"/>
        </w:rPr>
        <w:t>“</w:t>
      </w:r>
      <w:r>
        <w:rPr>
          <w:rFonts w:hint="eastAsia" w:cs="Times New Roman"/>
          <w:color w:val="auto"/>
          <w:sz w:val="30"/>
          <w:szCs w:val="30"/>
          <w:highlight w:val="none"/>
        </w:rPr>
        <w:t>三公”经费支出决算情况说明</w:t>
      </w:r>
      <w:r>
        <w:rPr>
          <w:rFonts w:hint="eastAsia" w:cs="Times New Roman"/>
          <w:color w:val="auto"/>
          <w:sz w:val="30"/>
          <w:szCs w:val="30"/>
          <w:highlight w:val="none"/>
        </w:rPr>
        <w:tab/>
      </w:r>
      <w:r>
        <w:rPr>
          <w:rFonts w:hint="eastAsia" w:cs="Times New Roman"/>
          <w:color w:val="auto"/>
          <w:sz w:val="30"/>
          <w:szCs w:val="30"/>
          <w:highlight w:val="none"/>
          <w:lang w:val="en-US" w:eastAsia="zh-CN"/>
        </w:rPr>
        <w:t>11</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八、政府性基金预算支出决算情况说明</w:t>
      </w:r>
      <w:r>
        <w:rPr>
          <w:rFonts w:hint="eastAsia" w:cs="Times New Roman"/>
          <w:color w:val="auto"/>
          <w:sz w:val="30"/>
          <w:szCs w:val="30"/>
          <w:highlight w:val="none"/>
        </w:rPr>
        <w:tab/>
      </w:r>
      <w:r>
        <w:rPr>
          <w:rFonts w:hint="eastAsia" w:cs="Times New Roman"/>
          <w:color w:val="auto"/>
          <w:sz w:val="30"/>
          <w:szCs w:val="30"/>
          <w:highlight w:val="none"/>
          <w:lang w:val="en-US" w:eastAsia="zh-CN"/>
        </w:rPr>
        <w:t>13</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九、</w:t>
      </w:r>
      <w:r>
        <w:rPr>
          <w:rFonts w:hint="eastAsia" w:cs="Times New Roman"/>
          <w:color w:val="auto"/>
          <w:sz w:val="30"/>
          <w:szCs w:val="30"/>
          <w:highlight w:val="none"/>
          <w:lang w:eastAsia="zh-CN"/>
        </w:rPr>
        <w:t>国</w:t>
      </w:r>
      <w:r>
        <w:rPr>
          <w:rFonts w:hint="eastAsia" w:cs="Times New Roman"/>
          <w:color w:val="auto"/>
          <w:sz w:val="30"/>
          <w:szCs w:val="30"/>
          <w:highlight w:val="none"/>
        </w:rPr>
        <w:t>有资本经营预算支出决算情况说明</w:t>
      </w:r>
      <w:r>
        <w:rPr>
          <w:rFonts w:hint="eastAsia" w:cs="Times New Roman"/>
          <w:color w:val="auto"/>
          <w:sz w:val="30"/>
          <w:szCs w:val="30"/>
          <w:highlight w:val="none"/>
        </w:rPr>
        <w:tab/>
      </w:r>
      <w:r>
        <w:rPr>
          <w:rFonts w:hint="eastAsia" w:cs="Times New Roman"/>
          <w:color w:val="auto"/>
          <w:sz w:val="30"/>
          <w:szCs w:val="30"/>
          <w:highlight w:val="none"/>
          <w:lang w:val="en-US" w:eastAsia="zh-CN"/>
        </w:rPr>
        <w:t>13</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lang w:eastAsia="zh-CN"/>
        </w:rPr>
        <w:t>十</w:t>
      </w:r>
      <w:r>
        <w:rPr>
          <w:rFonts w:hint="eastAsia" w:cs="Times New Roman"/>
          <w:color w:val="auto"/>
          <w:sz w:val="30"/>
          <w:szCs w:val="30"/>
          <w:highlight w:val="none"/>
        </w:rPr>
        <w:t>、其他重要事项的情况说明</w:t>
      </w:r>
      <w:r>
        <w:rPr>
          <w:rFonts w:hint="eastAsia" w:cs="Times New Roman"/>
          <w:color w:val="auto"/>
          <w:sz w:val="30"/>
          <w:szCs w:val="30"/>
          <w:highlight w:val="none"/>
        </w:rPr>
        <w:tab/>
      </w:r>
      <w:r>
        <w:rPr>
          <w:rFonts w:hint="eastAsia" w:cs="Times New Roman"/>
          <w:color w:val="auto"/>
          <w:sz w:val="30"/>
          <w:szCs w:val="30"/>
          <w:highlight w:val="none"/>
          <w:lang w:val="en-US" w:eastAsia="zh-CN"/>
        </w:rPr>
        <w:t>13</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第三部分 名词解释</w:t>
      </w:r>
      <w:r>
        <w:rPr>
          <w:rFonts w:hint="eastAsia" w:cs="Times New Roman"/>
          <w:color w:val="auto"/>
          <w:sz w:val="30"/>
          <w:szCs w:val="30"/>
          <w:highlight w:val="none"/>
        </w:rPr>
        <w:tab/>
      </w:r>
      <w:r>
        <w:rPr>
          <w:rFonts w:hint="eastAsia" w:cs="Times New Roman"/>
          <w:color w:val="auto"/>
          <w:sz w:val="30"/>
          <w:szCs w:val="30"/>
          <w:highlight w:val="none"/>
          <w:lang w:val="en-US" w:eastAsia="zh-CN"/>
        </w:rPr>
        <w:t>15</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第四部分 附件</w:t>
      </w:r>
      <w:r>
        <w:rPr>
          <w:rFonts w:hint="eastAsia" w:cs="Times New Roman"/>
          <w:color w:val="auto"/>
          <w:sz w:val="30"/>
          <w:szCs w:val="30"/>
          <w:highlight w:val="none"/>
        </w:rPr>
        <w:tab/>
      </w:r>
      <w:r>
        <w:rPr>
          <w:rFonts w:hint="eastAsia" w:cs="Times New Roman"/>
          <w:color w:val="auto"/>
          <w:sz w:val="30"/>
          <w:szCs w:val="30"/>
          <w:highlight w:val="none"/>
          <w:lang w:val="en-US" w:eastAsia="zh-CN"/>
        </w:rPr>
        <w:t>16</w:t>
      </w:r>
    </w:p>
    <w:p>
      <w:pPr>
        <w:pStyle w:val="9"/>
        <w:tabs>
          <w:tab w:val="right" w:leader="dot" w:pos="8296"/>
        </w:tabs>
        <w:adjustRightInd w:val="0"/>
        <w:snapToGrid w:val="0"/>
        <w:spacing w:before="0" w:line="440" w:lineRule="exact"/>
        <w:jc w:val="left"/>
        <w:rPr>
          <w:rFonts w:hint="default" w:eastAsia="仿宋" w:cs="Times New Roman"/>
          <w:color w:val="auto"/>
          <w:sz w:val="30"/>
          <w:szCs w:val="30"/>
          <w:highlight w:val="none"/>
          <w:lang w:val="en-US" w:eastAsia="zh-CN"/>
        </w:rPr>
      </w:pPr>
      <w:r>
        <w:rPr>
          <w:rFonts w:hint="eastAsia" w:cs="Times New Roman"/>
          <w:color w:val="auto"/>
          <w:sz w:val="30"/>
          <w:szCs w:val="30"/>
          <w:highlight w:val="none"/>
        </w:rPr>
        <w:t>第五部分 附表</w:t>
      </w:r>
      <w:r>
        <w:rPr>
          <w:rFonts w:hint="eastAsia" w:cs="Times New Roman"/>
          <w:color w:val="auto"/>
          <w:sz w:val="30"/>
          <w:szCs w:val="30"/>
          <w:highlight w:val="none"/>
        </w:rPr>
        <w:tab/>
      </w:r>
      <w:r>
        <w:rPr>
          <w:rFonts w:hint="eastAsia" w:cs="Times New Roman"/>
          <w:color w:val="auto"/>
          <w:sz w:val="30"/>
          <w:szCs w:val="30"/>
          <w:highlight w:val="none"/>
          <w:lang w:val="en-US" w:eastAsia="zh-CN"/>
        </w:rPr>
        <w:t>29</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一、收入支出决算总表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二、收入决算表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三、支出决算表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四、财政拨款收入支出决算总表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五、财政拨款支出决算明细表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六、一般公共预算财政拨款支出决算表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七、一般公共预算财政拨款支出决算明细表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八、一般公共预算财政拨款基本支出决算</w:t>
      </w:r>
      <w:r>
        <w:rPr>
          <w:rFonts w:hint="eastAsia" w:cs="Times New Roman"/>
          <w:color w:val="auto"/>
          <w:sz w:val="30"/>
          <w:szCs w:val="30"/>
          <w:highlight w:val="none"/>
          <w:lang w:eastAsia="zh-CN"/>
        </w:rPr>
        <w:t>明细</w:t>
      </w:r>
      <w:r>
        <w:rPr>
          <w:rFonts w:hint="eastAsia" w:cs="Times New Roman"/>
          <w:color w:val="auto"/>
          <w:sz w:val="30"/>
          <w:szCs w:val="30"/>
          <w:highlight w:val="none"/>
        </w:rPr>
        <w:t>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九、一般公共预算财政拨款项目支出决算表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十、政府性基金预算财政拨款收入支出决算表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十一、国有资本经营预算财政拨款收入支出决算表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十二、</w:t>
      </w:r>
      <w:r>
        <w:rPr>
          <w:rFonts w:hint="eastAsia" w:cs="Times New Roman"/>
          <w:color w:val="auto"/>
          <w:sz w:val="30"/>
          <w:szCs w:val="30"/>
          <w:highlight w:val="none"/>
          <w:lang w:val="en-US" w:eastAsia="zh-CN"/>
        </w:rPr>
        <w:t>国有资本经营预算财政拨款支出决算表</w:t>
      </w:r>
    </w:p>
    <w:p>
      <w:pPr>
        <w:pStyle w:val="9"/>
        <w:tabs>
          <w:tab w:val="right" w:leader="dot" w:pos="8296"/>
        </w:tabs>
        <w:adjustRightInd w:val="0"/>
        <w:snapToGrid w:val="0"/>
        <w:spacing w:before="0" w:line="440" w:lineRule="exact"/>
        <w:jc w:val="left"/>
        <w:rPr>
          <w:rFonts w:hint="eastAsia" w:cs="Times New Roman"/>
          <w:color w:val="auto"/>
          <w:sz w:val="30"/>
          <w:szCs w:val="30"/>
          <w:highlight w:val="none"/>
        </w:rPr>
      </w:pPr>
      <w:r>
        <w:rPr>
          <w:rFonts w:hint="eastAsia" w:cs="Times New Roman"/>
          <w:color w:val="auto"/>
          <w:sz w:val="30"/>
          <w:szCs w:val="30"/>
          <w:highlight w:val="none"/>
        </w:rPr>
        <w:t>十三、财政拨款“三公”经费支出决算表</w:t>
      </w:r>
    </w:p>
    <w:p>
      <w:pPr>
        <w:widowControl/>
        <w:spacing w:line="576" w:lineRule="exact"/>
        <w:jc w:val="center"/>
        <w:rPr>
          <w:rFonts w:hint="eastAsia" w:ascii="方正小标宋简体" w:hAnsi="黑体" w:eastAsia="方正小标宋简体"/>
          <w:bCs/>
          <w:color w:val="auto"/>
          <w:sz w:val="44"/>
          <w:szCs w:val="44"/>
        </w:rPr>
      </w:pPr>
    </w:p>
    <w:p>
      <w:pPr>
        <w:widowControl/>
        <w:spacing w:line="576" w:lineRule="exact"/>
        <w:jc w:val="center"/>
        <w:rPr>
          <w:rFonts w:hint="eastAsia" w:ascii="方正小标宋简体" w:hAnsi="黑体" w:eastAsia="方正小标宋简体"/>
          <w:bCs/>
          <w:color w:val="auto"/>
          <w:sz w:val="44"/>
          <w:szCs w:val="44"/>
        </w:rPr>
      </w:pPr>
    </w:p>
    <w:p>
      <w:pPr>
        <w:widowControl/>
        <w:spacing w:line="576" w:lineRule="exact"/>
        <w:jc w:val="center"/>
        <w:rPr>
          <w:rFonts w:hint="eastAsia" w:ascii="方正小标宋简体" w:hAnsi="黑体" w:eastAsia="方正小标宋简体"/>
          <w:bCs/>
          <w:color w:val="auto"/>
          <w:sz w:val="44"/>
          <w:szCs w:val="44"/>
        </w:rPr>
      </w:pPr>
    </w:p>
    <w:p>
      <w:pPr>
        <w:widowControl/>
        <w:spacing w:line="576" w:lineRule="exact"/>
        <w:jc w:val="center"/>
        <w:rPr>
          <w:rStyle w:val="22"/>
          <w:rFonts w:ascii="方正小标宋简体" w:hAnsi="黑体" w:eastAsia="方正小标宋简体"/>
          <w:b w:val="0"/>
          <w:color w:val="auto"/>
        </w:rPr>
      </w:pPr>
      <w:r>
        <w:rPr>
          <w:rFonts w:hint="eastAsia" w:ascii="方正小标宋简体" w:hAnsi="黑体" w:eastAsia="方正小标宋简体"/>
          <w:bCs/>
          <w:color w:val="auto"/>
          <w:sz w:val="44"/>
          <w:szCs w:val="44"/>
        </w:rPr>
        <w:t xml:space="preserve">第一部分 </w:t>
      </w:r>
      <w:r>
        <w:rPr>
          <w:rStyle w:val="22"/>
          <w:rFonts w:hint="eastAsia" w:ascii="方正小标宋简体" w:hAnsi="黑体" w:eastAsia="方正小标宋简体"/>
          <w:color w:val="auto"/>
        </w:rPr>
        <w:t>部门概况</w:t>
      </w:r>
    </w:p>
    <w:p>
      <w:pPr>
        <w:widowControl/>
        <w:spacing w:line="576" w:lineRule="exact"/>
        <w:jc w:val="left"/>
        <w:rPr>
          <w:color w:val="auto"/>
        </w:rPr>
      </w:pPr>
      <w:r>
        <w:rPr>
          <w:rFonts w:hint="eastAsia" w:ascii="黑体" w:eastAsia="黑体"/>
          <w:color w:val="auto"/>
        </w:rPr>
        <w:t xml:space="preserve"> </w:t>
      </w:r>
    </w:p>
    <w:p>
      <w:pPr>
        <w:pStyle w:val="3"/>
        <w:spacing w:line="576" w:lineRule="exact"/>
        <w:rPr>
          <w:rStyle w:val="24"/>
          <w:rFonts w:ascii="仿宋" w:hAnsi="仿宋" w:eastAsia="仿宋"/>
          <w:b w:val="0"/>
          <w:color w:val="auto"/>
        </w:rPr>
      </w:pPr>
      <w:bookmarkStart w:id="11" w:name="_Toc15377197"/>
      <w:bookmarkEnd w:id="11"/>
      <w:bookmarkStart w:id="12" w:name="_Toc15396600"/>
      <w:r>
        <w:rPr>
          <w:rFonts w:hint="eastAsia" w:ascii="黑体" w:eastAsia="黑体"/>
          <w:b w:val="0"/>
          <w:bCs/>
          <w:color w:val="auto"/>
        </w:rPr>
        <w:t>一、基</w:t>
      </w:r>
      <w:bookmarkEnd w:id="12"/>
      <w:r>
        <w:rPr>
          <w:rStyle w:val="24"/>
          <w:rFonts w:hint="eastAsia" w:ascii="黑体" w:eastAsia="黑体"/>
          <w:b w:val="0"/>
          <w:color w:val="auto"/>
        </w:rPr>
        <w:t>本职能及主要工作</w:t>
      </w:r>
    </w:p>
    <w:p>
      <w:pPr>
        <w:pStyle w:val="5"/>
        <w:adjustRightInd w:val="0"/>
        <w:snapToGrid w:val="0"/>
        <w:spacing w:before="173" w:line="576" w:lineRule="exact"/>
        <w:ind w:firstLine="664" w:firstLineChars="210"/>
        <w:outlineLvl w:val="2"/>
        <w:rPr>
          <w:rFonts w:hAnsi="仿宋"/>
          <w:color w:val="auto"/>
          <w:sz w:val="32"/>
          <w:szCs w:val="32"/>
        </w:rPr>
      </w:pPr>
      <w:bookmarkStart w:id="13" w:name="_Toc15377198"/>
      <w:bookmarkEnd w:id="13"/>
      <w:bookmarkStart w:id="14" w:name="_Toc15378445"/>
      <w:r>
        <w:rPr>
          <w:rFonts w:hint="eastAsia" w:hAnsi="仿宋"/>
          <w:color w:val="auto"/>
          <w:sz w:val="32"/>
          <w:szCs w:val="32"/>
        </w:rPr>
        <w:t>（一）主要职能。</w:t>
      </w:r>
      <w:bookmarkEnd w:id="14"/>
    </w:p>
    <w:p>
      <w:pPr>
        <w:snapToGrid w:val="0"/>
        <w:spacing w:line="576" w:lineRule="exact"/>
        <w:ind w:firstLine="632" w:firstLineChars="200"/>
        <w:rPr>
          <w:rFonts w:ascii="仿宋" w:hAnsi="仿宋" w:eastAsia="仿宋"/>
          <w:color w:val="auto"/>
        </w:rPr>
      </w:pPr>
      <w:r>
        <w:rPr>
          <w:rFonts w:hint="eastAsia" w:ascii="仿宋" w:hAnsi="仿宋" w:eastAsia="仿宋"/>
          <w:color w:val="auto"/>
        </w:rPr>
        <w:t>（1）立足中心，加强调研，找准县域中心工作的着力点，以司法建议、审判白皮书、开展专项服务活动等形式积极向党委政府建言献策。参与社会治理工作，主动提供司法服务，争取继续保持县上目标考核一等奖名次。</w:t>
      </w:r>
    </w:p>
    <w:p>
      <w:pPr>
        <w:snapToGrid w:val="0"/>
        <w:spacing w:line="576" w:lineRule="exact"/>
        <w:ind w:firstLine="632" w:firstLineChars="200"/>
        <w:rPr>
          <w:rFonts w:ascii="仿宋" w:hAnsi="仿宋" w:eastAsia="仿宋"/>
          <w:color w:val="auto"/>
        </w:rPr>
      </w:pPr>
      <w:r>
        <w:rPr>
          <w:rFonts w:hint="eastAsia" w:ascii="仿宋" w:hAnsi="仿宋" w:eastAsia="仿宋"/>
          <w:color w:val="auto"/>
        </w:rPr>
        <w:t>（2）审理执行好各类案件，特别是社会各界关注、有影响的重大案件。提升管理效能，注重掌控案件审执中各时间节点，合理安排各案件送达、阅卷、证据交换、评估鉴定、开庭审理、研究裁判等全过程，努力做到各流程“无缝”衔接。</w:t>
      </w:r>
    </w:p>
    <w:p>
      <w:pPr>
        <w:snapToGrid w:val="0"/>
        <w:spacing w:line="576" w:lineRule="exact"/>
        <w:ind w:firstLine="632" w:firstLineChars="200"/>
        <w:rPr>
          <w:rFonts w:ascii="仿宋" w:hAnsi="仿宋" w:eastAsia="仿宋"/>
          <w:color w:val="auto"/>
        </w:rPr>
      </w:pPr>
      <w:r>
        <w:rPr>
          <w:rFonts w:hint="eastAsia" w:ascii="仿宋" w:hAnsi="仿宋" w:eastAsia="仿宋"/>
          <w:color w:val="auto"/>
        </w:rPr>
        <w:t>（3）全力推动基本解决执行难。积极争取党委领导和各方面关心支持，形成工作合力，优化综合治理执行难工作格局。在解决“被执行人难找、财产难寻”问题上下功夫，以提升执结率、到位率为抓手，着力提升质效。针对人民法院基本解决执行难第三方评估指标体系，严格规范执行程序，依法大胆适用强制执行措施。确保圆满完成两年内基本解决执行难工作目标。</w:t>
      </w:r>
    </w:p>
    <w:p>
      <w:pPr>
        <w:snapToGrid w:val="0"/>
        <w:spacing w:line="520" w:lineRule="exact"/>
        <w:ind w:firstLine="632" w:firstLineChars="200"/>
        <w:rPr>
          <w:rFonts w:ascii="仿宋" w:hAnsi="仿宋" w:eastAsia="仿宋"/>
          <w:color w:val="auto"/>
          <w:kern w:val="0"/>
        </w:rPr>
      </w:pPr>
      <w:r>
        <w:rPr>
          <w:rFonts w:hint="eastAsia" w:ascii="仿宋" w:hAnsi="仿宋" w:eastAsia="仿宋"/>
          <w:color w:val="auto"/>
        </w:rPr>
        <w:t>（4）注重破产重整、破产清算案件的受理和审理，加强对“执转破”工作的研究，运用法治方法化解产能过剩，清理“僵尸企业”，优化资源配置，推动破产成为解决执行难的途径之一。</w:t>
      </w:r>
    </w:p>
    <w:p>
      <w:pPr>
        <w:pStyle w:val="5"/>
        <w:adjustRightInd w:val="0"/>
        <w:snapToGrid w:val="0"/>
        <w:spacing w:before="173" w:line="576" w:lineRule="exact"/>
        <w:ind w:firstLine="664" w:firstLineChars="210"/>
        <w:outlineLvl w:val="2"/>
        <w:rPr>
          <w:rFonts w:ascii="仿宋" w:hAnsi="仿宋" w:eastAsia="仿宋"/>
          <w:color w:val="auto"/>
          <w:sz w:val="32"/>
          <w:szCs w:val="32"/>
        </w:rPr>
      </w:pPr>
      <w:bookmarkStart w:id="15" w:name="_Toc15377199"/>
      <w:bookmarkEnd w:id="15"/>
      <w:bookmarkStart w:id="16" w:name="_Toc15378446"/>
      <w:r>
        <w:rPr>
          <w:rFonts w:hint="eastAsia" w:ascii="仿宋" w:hAnsi="仿宋" w:eastAsia="仿宋"/>
          <w:color w:val="auto"/>
          <w:sz w:val="32"/>
          <w:szCs w:val="32"/>
        </w:rPr>
        <w:t>（二）</w:t>
      </w:r>
      <w:bookmarkEnd w:id="16"/>
      <w:r>
        <w:rPr>
          <w:rFonts w:hint="eastAsia" w:ascii="仿宋" w:hAnsi="仿宋" w:eastAsia="仿宋"/>
          <w:color w:val="auto"/>
          <w:sz w:val="32"/>
          <w:szCs w:val="32"/>
          <w:lang w:eastAsia="zh-CN"/>
        </w:rPr>
        <w:t>2022</w:t>
      </w:r>
      <w:r>
        <w:rPr>
          <w:rFonts w:hint="eastAsia" w:ascii="仿宋" w:hAnsi="仿宋" w:eastAsia="仿宋"/>
          <w:color w:val="auto"/>
          <w:sz w:val="32"/>
          <w:szCs w:val="32"/>
        </w:rPr>
        <w:t>年重点工作完成情况。</w:t>
      </w:r>
    </w:p>
    <w:p>
      <w:pPr>
        <w:pStyle w:val="7"/>
        <w:keepNext w:val="0"/>
        <w:keepLines w:val="0"/>
        <w:pageBreakBefore w:val="0"/>
        <w:numPr>
          <w:ilvl w:val="0"/>
          <w:numId w:val="0"/>
        </w:numPr>
        <w:kinsoku/>
        <w:wordWrap/>
        <w:overflowPunct/>
        <w:topLinePunct w:val="0"/>
        <w:autoSpaceDE/>
        <w:autoSpaceDN/>
        <w:bidi w:val="0"/>
        <w:spacing w:line="576" w:lineRule="exact"/>
        <w:ind w:left="0" w:leftChars="0" w:right="0" w:rightChars="0" w:firstLine="632" w:firstLineChars="200"/>
        <w:textAlignment w:val="auto"/>
        <w:outlineLvl w:val="9"/>
        <w:rPr>
          <w:rFonts w:hint="eastAsia" w:ascii="仿宋_GB2312" w:hAnsi="仿宋_GB2312" w:eastAsia="仿宋_GB2312" w:cs="Times New Roman"/>
          <w:color w:val="auto"/>
          <w:kern w:val="0"/>
          <w:sz w:val="32"/>
          <w:szCs w:val="20"/>
          <w:lang w:val="en-US" w:eastAsia="zh-CN" w:bidi="ar-SA"/>
        </w:rPr>
      </w:pPr>
      <w:bookmarkStart w:id="17" w:name="_Toc15377200"/>
      <w:bookmarkEnd w:id="17"/>
      <w:bookmarkStart w:id="18" w:name="_Toc15396601"/>
      <w:r>
        <w:rPr>
          <w:rFonts w:hint="eastAsia" w:ascii="仿宋_GB2312" w:hAnsi="仿宋_GB2312" w:eastAsia="仿宋_GB2312" w:cs="Times New Roman"/>
          <w:color w:val="auto"/>
          <w:kern w:val="0"/>
          <w:sz w:val="32"/>
          <w:szCs w:val="20"/>
          <w:lang w:val="en-US" w:eastAsia="zh-CN" w:bidi="ar-SA"/>
        </w:rPr>
        <w:t>2022年，在县委的坚强领导，县人大及其常委会的有力监督，上级法院的正确指导，县政府、县政协和社会各界的关心支持下，县法院深入学习贯彻习近平新时代中国特色社会主义思想和党的二十大精神，坚持司法为民、公正司法工作主线，全面加强审判执行工作和自身建设，各项工作取得新发展。2022年，共受理各类案件5760件，结案5729件，结案率99.46%，在全省190个基层法院中名列第11名。一年来，获得县级以上集体表彰18次、个人表彰69人次，县法院被表彰为全省法院涉诉信访工作先进集体、鸣凤法庭被评为“全省法院人民法庭工作先进集体”“全省法院妇女儿童权益保护先进集体”、一篇裁判文书入选全省十佳裁判文书评选。</w:t>
      </w:r>
    </w:p>
    <w:p>
      <w:pPr>
        <w:pStyle w:val="3"/>
        <w:spacing w:line="576" w:lineRule="exact"/>
        <w:rPr>
          <w:rStyle w:val="24"/>
          <w:rFonts w:ascii="仿宋" w:hAnsi="仿宋" w:eastAsia="仿宋"/>
          <w:b w:val="0"/>
          <w:color w:val="auto"/>
        </w:rPr>
      </w:pPr>
      <w:r>
        <w:rPr>
          <w:rFonts w:hint="eastAsia" w:ascii="仿宋" w:hAnsi="仿宋" w:eastAsia="仿宋"/>
          <w:b w:val="0"/>
          <w:bCs/>
          <w:color w:val="auto"/>
        </w:rPr>
        <w:t>二、</w:t>
      </w:r>
      <w:bookmarkEnd w:id="18"/>
      <w:r>
        <w:rPr>
          <w:rFonts w:hint="eastAsia" w:ascii="仿宋" w:hAnsi="仿宋" w:eastAsia="仿宋"/>
          <w:b w:val="0"/>
          <w:bCs/>
          <w:color w:val="auto"/>
        </w:rPr>
        <w:t>机</w:t>
      </w:r>
      <w:r>
        <w:rPr>
          <w:rStyle w:val="24"/>
          <w:rFonts w:hint="eastAsia" w:ascii="仿宋" w:hAnsi="仿宋" w:eastAsia="仿宋"/>
          <w:b w:val="0"/>
          <w:color w:val="auto"/>
        </w:rPr>
        <w:t>构设置</w:t>
      </w:r>
    </w:p>
    <w:p>
      <w:pPr>
        <w:spacing w:line="576" w:lineRule="exact"/>
        <w:ind w:firstLine="790" w:firstLineChars="250"/>
        <w:rPr>
          <w:rFonts w:hint="default" w:ascii="仿宋" w:hAnsi="仿宋" w:eastAsia="仿宋"/>
          <w:color w:val="auto"/>
          <w:lang w:val="en-US" w:eastAsia="zh-CN"/>
        </w:rPr>
      </w:pPr>
      <w:r>
        <w:rPr>
          <w:rFonts w:hint="eastAsia" w:ascii="仿宋" w:hAnsi="仿宋" w:eastAsia="仿宋"/>
          <w:color w:val="auto"/>
        </w:rPr>
        <w:t>我院无下属二级单位</w:t>
      </w:r>
      <w:r>
        <w:rPr>
          <w:rFonts w:hint="eastAsia" w:ascii="仿宋" w:hAnsi="仿宋" w:eastAsia="仿宋"/>
          <w:color w:val="auto"/>
          <w:lang w:eastAsia="zh-CN"/>
        </w:rPr>
        <w:t>，目前有内设机构</w:t>
      </w:r>
      <w:r>
        <w:rPr>
          <w:rFonts w:hint="eastAsia" w:ascii="仿宋" w:hAnsi="仿宋" w:eastAsia="仿宋"/>
          <w:color w:val="auto"/>
          <w:lang w:val="en-US" w:eastAsia="zh-CN"/>
        </w:rPr>
        <w:t>9个，包含立案庭（诉讼服务中心）、刑事审判庭（未成年人案件审判庭）、民事审判庭、行政审判庭、执行局、审判管理办公室（研究室）、司法警察大队、政治部（督查室）以及综合办公室。</w:t>
      </w:r>
    </w:p>
    <w:p>
      <w:pPr>
        <w:widowControl/>
        <w:spacing w:line="576" w:lineRule="exact"/>
        <w:jc w:val="center"/>
        <w:rPr>
          <w:rStyle w:val="22"/>
          <w:rFonts w:ascii="方正小标宋简体" w:hAnsi="黑体" w:eastAsia="方正小标宋简体"/>
          <w:color w:val="auto"/>
        </w:rPr>
      </w:pPr>
      <w:r>
        <w:rPr>
          <w:rFonts w:hint="eastAsia" w:ascii="仿宋" w:hAnsi="仿宋" w:eastAsia="仿宋"/>
          <w:color w:val="auto"/>
        </w:rPr>
        <w:br w:type="page"/>
      </w:r>
      <w:bookmarkStart w:id="19" w:name="_Toc15377204"/>
      <w:bookmarkEnd w:id="19"/>
      <w:bookmarkStart w:id="20" w:name="_Toc15396602"/>
      <w:r>
        <w:rPr>
          <w:rFonts w:hint="eastAsia" w:ascii="方正小标宋简体" w:hAnsi="黑体" w:eastAsia="方正小标宋简体"/>
          <w:bCs/>
          <w:color w:val="auto"/>
          <w:sz w:val="44"/>
          <w:szCs w:val="44"/>
        </w:rPr>
        <w:t>第二部分</w:t>
      </w:r>
      <w:bookmarkEnd w:id="20"/>
      <w:r>
        <w:rPr>
          <w:rFonts w:hint="eastAsia" w:ascii="方正小标宋简体" w:hAnsi="黑体" w:eastAsia="方正小标宋简体"/>
          <w:color w:val="auto"/>
          <w:sz w:val="44"/>
          <w:szCs w:val="44"/>
        </w:rPr>
        <w:t xml:space="preserve"> </w:t>
      </w:r>
      <w:r>
        <w:rPr>
          <w:rStyle w:val="22"/>
          <w:rFonts w:hint="eastAsia" w:ascii="方正小标宋简体" w:hAnsi="黑体" w:eastAsia="方正小标宋简体"/>
          <w:color w:val="auto"/>
          <w:lang w:eastAsia="zh-CN"/>
        </w:rPr>
        <w:t>2022</w:t>
      </w:r>
      <w:r>
        <w:rPr>
          <w:rStyle w:val="22"/>
          <w:rFonts w:hint="eastAsia" w:ascii="方正小标宋简体" w:hAnsi="黑体" w:eastAsia="方正小标宋简体"/>
          <w:color w:val="auto"/>
        </w:rPr>
        <w:t>年度部门决算情况说明</w:t>
      </w:r>
    </w:p>
    <w:p>
      <w:pPr>
        <w:spacing w:line="576" w:lineRule="exact"/>
        <w:rPr>
          <w:rFonts w:eastAsia="宋体"/>
          <w:color w:val="auto"/>
          <w:sz w:val="21"/>
          <w:szCs w:val="21"/>
        </w:rPr>
      </w:pPr>
      <w:r>
        <w:rPr>
          <w:color w:val="auto"/>
        </w:rPr>
        <w:t xml:space="preserve"> </w:t>
      </w:r>
    </w:p>
    <w:p>
      <w:pPr>
        <w:pStyle w:val="29"/>
        <w:numPr>
          <w:ilvl w:val="0"/>
          <w:numId w:val="4"/>
        </w:numPr>
        <w:spacing w:line="576" w:lineRule="exact"/>
        <w:ind w:firstLineChars="0"/>
        <w:outlineLvl w:val="1"/>
        <w:rPr>
          <w:rStyle w:val="24"/>
          <w:rFonts w:ascii="黑体" w:eastAsia="黑体"/>
          <w:b w:val="0"/>
          <w:bCs w:val="0"/>
          <w:color w:val="auto"/>
        </w:rPr>
      </w:pPr>
      <w:bookmarkStart w:id="21" w:name="_Toc15377205"/>
      <w:bookmarkEnd w:id="21"/>
      <w:bookmarkStart w:id="22" w:name="_Toc15396603"/>
      <w:r>
        <w:rPr>
          <w:rFonts w:hint="eastAsia" w:ascii="黑体" w:eastAsia="黑体"/>
          <w:color w:val="auto"/>
          <w:sz w:val="32"/>
          <w:szCs w:val="32"/>
        </w:rPr>
        <w:t>收</w:t>
      </w:r>
      <w:bookmarkEnd w:id="22"/>
      <w:r>
        <w:rPr>
          <w:rStyle w:val="24"/>
          <w:rFonts w:hint="eastAsia" w:ascii="黑体" w:eastAsia="黑体"/>
          <w:b w:val="0"/>
          <w:bCs w:val="0"/>
          <w:color w:val="auto"/>
        </w:rPr>
        <w:t>入支出决算总体情况说明</w:t>
      </w:r>
    </w:p>
    <w:p>
      <w:pPr>
        <w:spacing w:line="576" w:lineRule="exact"/>
        <w:ind w:firstLine="632" w:firstLineChars="200"/>
        <w:rPr>
          <w:rFonts w:hint="eastAsia" w:ascii="仿宋_GB2312" w:hAnsi="仿宋"/>
          <w:color w:val="auto"/>
          <w:lang w:val="en-US" w:eastAsia="zh-CN"/>
        </w:rPr>
      </w:pPr>
      <w:r>
        <w:rPr>
          <w:rFonts w:hint="eastAsia" w:ascii="仿宋_GB2312" w:hAnsi="仿宋"/>
          <w:color w:val="auto"/>
          <w:lang w:eastAsia="zh-CN"/>
        </w:rPr>
        <w:t>2022</w:t>
      </w:r>
      <w:r>
        <w:rPr>
          <w:rFonts w:hint="eastAsia" w:ascii="仿宋_GB2312" w:hAnsi="仿宋"/>
          <w:color w:val="auto"/>
        </w:rPr>
        <w:t>年度收、支总计</w:t>
      </w:r>
      <w:r>
        <w:rPr>
          <w:rFonts w:hint="eastAsia" w:ascii="仿宋_GB2312" w:hAnsi="仿宋"/>
          <w:color w:val="auto"/>
          <w:lang w:val="en-US" w:eastAsia="zh-CN"/>
        </w:rPr>
        <w:t>2529.15</w:t>
      </w:r>
      <w:r>
        <w:rPr>
          <w:rFonts w:hint="eastAsia" w:ascii="仿宋_GB2312" w:hAnsi="仿宋"/>
          <w:color w:val="auto"/>
        </w:rPr>
        <w:t>万元。与</w:t>
      </w:r>
      <w:r>
        <w:rPr>
          <w:rFonts w:hint="eastAsia" w:ascii="仿宋_GB2312" w:hAnsi="仿宋"/>
          <w:color w:val="auto"/>
          <w:lang w:eastAsia="zh-CN"/>
        </w:rPr>
        <w:t>2021</w:t>
      </w:r>
      <w:r>
        <w:rPr>
          <w:rFonts w:hint="eastAsia" w:ascii="仿宋_GB2312" w:hAnsi="仿宋"/>
          <w:color w:val="auto"/>
        </w:rPr>
        <w:t>年相比，收、入</w:t>
      </w:r>
      <w:r>
        <w:rPr>
          <w:rFonts w:hint="eastAsia" w:ascii="仿宋_GB2312" w:hAnsi="仿宋"/>
          <w:color w:val="auto"/>
          <w:lang w:eastAsia="zh-CN"/>
        </w:rPr>
        <w:t>减少</w:t>
      </w:r>
      <w:r>
        <w:rPr>
          <w:rFonts w:hint="eastAsia" w:ascii="仿宋_GB2312" w:hAnsi="仿宋"/>
          <w:color w:val="auto"/>
          <w:lang w:val="en-US" w:eastAsia="zh-CN"/>
        </w:rPr>
        <w:t>912.97</w:t>
      </w:r>
      <w:r>
        <w:rPr>
          <w:rFonts w:hint="eastAsia" w:ascii="仿宋_GB2312" w:hAnsi="仿宋"/>
          <w:color w:val="auto"/>
        </w:rPr>
        <w:t>万元，</w:t>
      </w:r>
      <w:r>
        <w:rPr>
          <w:rFonts w:hint="eastAsia" w:ascii="仿宋_GB2312" w:hAnsi="仿宋"/>
          <w:color w:val="auto"/>
          <w:lang w:val="en-US" w:eastAsia="zh-CN"/>
        </w:rPr>
        <w:t>下降26.52</w:t>
      </w:r>
      <w:r>
        <w:rPr>
          <w:rFonts w:hint="eastAsia" w:ascii="仿宋_GB2312" w:hAnsi="仿宋"/>
          <w:color w:val="auto"/>
        </w:rPr>
        <w:t>%。</w:t>
      </w:r>
      <w:r>
        <w:rPr>
          <w:rFonts w:hint="eastAsia" w:ascii="仿宋_GB2312" w:hAnsi="仿宋"/>
          <w:color w:val="auto"/>
        </w:rPr>
        <w:t>主要变动原因是本年</w:t>
      </w:r>
      <w:r>
        <w:rPr>
          <w:rFonts w:hint="eastAsia" w:ascii="仿宋_GB2312" w:hAnsi="仿宋"/>
          <w:color w:val="auto"/>
          <w:lang w:eastAsia="zh-CN"/>
        </w:rPr>
        <w:t>度减少了部分大额一次性项目，例如上年度维稳资金</w:t>
      </w:r>
      <w:r>
        <w:rPr>
          <w:rFonts w:hint="eastAsia" w:ascii="仿宋_GB2312" w:hAnsi="仿宋"/>
          <w:color w:val="auto"/>
          <w:lang w:val="en-US" w:eastAsia="zh-CN"/>
        </w:rPr>
        <w:t>960万元本年未予安排。</w:t>
      </w:r>
    </w:p>
    <w:p>
      <w:pPr>
        <w:spacing w:line="576" w:lineRule="exact"/>
        <w:ind w:firstLine="948" w:firstLineChars="300"/>
        <w:rPr>
          <w:rFonts w:ascii="仿宋_GB2312" w:hAnsi="仿宋"/>
          <w:color w:val="auto"/>
        </w:rPr>
      </w:pPr>
      <w:r>
        <w:rPr>
          <w:rFonts w:hint="eastAsia" w:ascii="仿宋_GB2312" w:hAnsi="仿宋"/>
          <w:color w:val="auto"/>
        </w:rPr>
        <w:t>（图1：收、支决算总计变动情况图）（柱状图）</w:t>
      </w:r>
    </w:p>
    <w:p>
      <w:pPr>
        <w:spacing w:line="576" w:lineRule="exact"/>
        <w:ind w:firstLine="632" w:firstLineChars="200"/>
        <w:jc w:val="left"/>
        <w:rPr>
          <w:rFonts w:ascii="仿宋_GB2312"/>
          <w:color w:val="auto"/>
        </w:rPr>
      </w:pPr>
      <w:r>
        <w:rPr>
          <w:color w:val="auto"/>
        </w:rPr>
        <w:drawing>
          <wp:anchor distT="0" distB="0" distL="114300" distR="114300" simplePos="0" relativeHeight="251659264" behindDoc="0" locked="0" layoutInCell="1" allowOverlap="1">
            <wp:simplePos x="0" y="0"/>
            <wp:positionH relativeFrom="column">
              <wp:posOffset>485140</wp:posOffset>
            </wp:positionH>
            <wp:positionV relativeFrom="paragraph">
              <wp:posOffset>51435</wp:posOffset>
            </wp:positionV>
            <wp:extent cx="4568825" cy="2743200"/>
            <wp:effectExtent l="4445" t="4445" r="11430" b="8255"/>
            <wp:wrapSquare wrapText="bothSides"/>
            <wp:docPr id="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hint="eastAsia" w:ascii="仿宋_GB2312"/>
          <w:color w:val="auto"/>
        </w:rPr>
        <w:t xml:space="preserve"> </w:t>
      </w:r>
    </w:p>
    <w:p>
      <w:pPr>
        <w:pStyle w:val="18"/>
        <w:ind w:firstLine="632"/>
        <w:rPr>
          <w:color w:val="auto"/>
        </w:rPr>
      </w:pPr>
    </w:p>
    <w:p>
      <w:pPr>
        <w:pStyle w:val="18"/>
        <w:ind w:firstLine="632"/>
        <w:rPr>
          <w:color w:val="auto"/>
        </w:rPr>
      </w:pPr>
    </w:p>
    <w:p>
      <w:pPr>
        <w:pStyle w:val="18"/>
        <w:ind w:firstLine="632"/>
        <w:rPr>
          <w:color w:val="auto"/>
        </w:rPr>
      </w:pPr>
    </w:p>
    <w:p>
      <w:pPr>
        <w:pStyle w:val="18"/>
        <w:ind w:firstLine="632"/>
        <w:rPr>
          <w:color w:val="auto"/>
        </w:rPr>
      </w:pPr>
    </w:p>
    <w:p>
      <w:pPr>
        <w:pStyle w:val="18"/>
        <w:ind w:firstLine="632"/>
        <w:rPr>
          <w:color w:val="auto"/>
        </w:rPr>
      </w:pPr>
    </w:p>
    <w:p>
      <w:pPr>
        <w:pStyle w:val="18"/>
        <w:ind w:firstLine="632"/>
        <w:rPr>
          <w:color w:val="auto"/>
        </w:rPr>
      </w:pPr>
    </w:p>
    <w:p>
      <w:pPr>
        <w:pStyle w:val="18"/>
        <w:ind w:firstLine="632"/>
        <w:rPr>
          <w:color w:val="auto"/>
        </w:rPr>
      </w:pPr>
    </w:p>
    <w:p>
      <w:pPr>
        <w:pStyle w:val="29"/>
        <w:numPr>
          <w:ilvl w:val="0"/>
          <w:numId w:val="4"/>
        </w:numPr>
        <w:spacing w:line="576" w:lineRule="exact"/>
        <w:ind w:firstLineChars="0"/>
        <w:outlineLvl w:val="1"/>
        <w:rPr>
          <w:rStyle w:val="24"/>
          <w:rFonts w:ascii="黑体" w:eastAsia="黑体"/>
          <w:b w:val="0"/>
          <w:bCs w:val="0"/>
          <w:color w:val="auto"/>
        </w:rPr>
      </w:pPr>
      <w:bookmarkStart w:id="23" w:name="_Toc15377206"/>
      <w:bookmarkEnd w:id="23"/>
      <w:bookmarkStart w:id="24" w:name="_Toc15396604"/>
      <w:r>
        <w:rPr>
          <w:rFonts w:hint="eastAsia" w:ascii="黑体" w:eastAsia="黑体"/>
          <w:color w:val="auto"/>
          <w:sz w:val="32"/>
          <w:szCs w:val="32"/>
        </w:rPr>
        <w:t>收</w:t>
      </w:r>
      <w:bookmarkEnd w:id="24"/>
      <w:r>
        <w:rPr>
          <w:rStyle w:val="24"/>
          <w:rFonts w:hint="eastAsia" w:ascii="黑体" w:eastAsia="黑体"/>
          <w:b w:val="0"/>
          <w:bCs w:val="0"/>
          <w:color w:val="auto"/>
        </w:rPr>
        <w:t>入决算情况说明</w:t>
      </w:r>
    </w:p>
    <w:p>
      <w:pPr>
        <w:spacing w:line="576" w:lineRule="exact"/>
        <w:ind w:firstLine="632" w:firstLineChars="200"/>
        <w:outlineLvl w:val="1"/>
        <w:rPr>
          <w:rFonts w:ascii="仿宋_GB2312" w:hAnsi="仿宋"/>
          <w:color w:val="auto"/>
        </w:rPr>
      </w:pPr>
      <w:r>
        <w:rPr>
          <w:rFonts w:hint="eastAsia" w:ascii="仿宋_GB2312" w:hAnsi="仿宋"/>
          <w:color w:val="auto"/>
          <w:lang w:eastAsia="zh-CN"/>
        </w:rPr>
        <w:t>2022</w:t>
      </w:r>
      <w:r>
        <w:rPr>
          <w:rFonts w:hint="eastAsia" w:ascii="仿宋_GB2312" w:hAnsi="仿宋"/>
          <w:color w:val="auto"/>
        </w:rPr>
        <w:t>年本年收入合计</w:t>
      </w:r>
      <w:r>
        <w:rPr>
          <w:rFonts w:hint="eastAsia" w:ascii="仿宋_GB2312" w:hAnsi="仿宋"/>
          <w:color w:val="auto"/>
          <w:lang w:val="en-US" w:eastAsia="zh-CN"/>
        </w:rPr>
        <w:t>2529.15</w:t>
      </w:r>
      <w:r>
        <w:rPr>
          <w:rFonts w:hint="eastAsia" w:ascii="仿宋_GB2312" w:hAnsi="仿宋"/>
          <w:color w:val="auto"/>
        </w:rPr>
        <w:t>万元，其中：一般公共预算财政拨款收入</w:t>
      </w:r>
      <w:r>
        <w:rPr>
          <w:rFonts w:hint="eastAsia" w:ascii="仿宋_GB2312" w:hAnsi="仿宋"/>
          <w:color w:val="auto"/>
          <w:lang w:val="en-US" w:eastAsia="zh-CN"/>
        </w:rPr>
        <w:t>1936.86</w:t>
      </w:r>
      <w:r>
        <w:rPr>
          <w:rFonts w:hint="eastAsia" w:ascii="仿宋_GB2312" w:hAnsi="仿宋"/>
          <w:color w:val="auto"/>
        </w:rPr>
        <w:t>万元，占7</w:t>
      </w:r>
      <w:r>
        <w:rPr>
          <w:rFonts w:hint="eastAsia" w:ascii="仿宋_GB2312" w:hAnsi="仿宋"/>
          <w:color w:val="auto"/>
          <w:lang w:val="en-US" w:eastAsia="zh-CN"/>
        </w:rPr>
        <w:t>6.58</w:t>
      </w:r>
      <w:r>
        <w:rPr>
          <w:rFonts w:hint="eastAsia" w:ascii="仿宋_GB2312" w:hAnsi="仿宋"/>
          <w:color w:val="auto"/>
        </w:rPr>
        <w:t>%；政府性基金预算财政拨款收入</w:t>
      </w:r>
      <w:r>
        <w:rPr>
          <w:rFonts w:hint="eastAsia" w:ascii="仿宋_GB2312" w:hAnsi="仿宋"/>
          <w:color w:val="auto"/>
          <w:lang w:val="en-US" w:eastAsia="zh-CN"/>
        </w:rPr>
        <w:t>0</w:t>
      </w:r>
      <w:r>
        <w:rPr>
          <w:rFonts w:hint="eastAsia" w:ascii="仿宋_GB2312" w:hAnsi="仿宋"/>
          <w:color w:val="auto"/>
        </w:rPr>
        <w:t>万元，占</w:t>
      </w:r>
      <w:r>
        <w:rPr>
          <w:rFonts w:hint="eastAsia" w:ascii="仿宋_GB2312" w:hAnsi="仿宋"/>
          <w:color w:val="auto"/>
          <w:lang w:val="en-US" w:eastAsia="zh-CN"/>
        </w:rPr>
        <w:t>0</w:t>
      </w:r>
      <w:r>
        <w:rPr>
          <w:rFonts w:hint="eastAsia" w:ascii="仿宋_GB2312" w:hAnsi="仿宋"/>
          <w:color w:val="auto"/>
        </w:rPr>
        <w:t>%；国有资本经营预算财政拨款收入0万元，占0%；事业收入0万元，占0%；经营收入0万元，占0%；附属单位上缴收入0万元，占0%；其他收入</w:t>
      </w:r>
      <w:r>
        <w:rPr>
          <w:rFonts w:hint="eastAsia" w:ascii="仿宋_GB2312" w:hAnsi="仿宋"/>
          <w:color w:val="auto"/>
          <w:lang w:val="en-US" w:eastAsia="zh-CN"/>
        </w:rPr>
        <w:t>592.29</w:t>
      </w:r>
      <w:r>
        <w:rPr>
          <w:rFonts w:hint="eastAsia" w:ascii="仿宋_GB2312" w:hAnsi="仿宋"/>
          <w:color w:val="auto"/>
        </w:rPr>
        <w:t>万元，占</w:t>
      </w:r>
      <w:r>
        <w:rPr>
          <w:rFonts w:hint="eastAsia" w:ascii="仿宋_GB2312" w:hAnsi="仿宋"/>
          <w:color w:val="auto"/>
          <w:lang w:val="en-US" w:eastAsia="zh-CN"/>
        </w:rPr>
        <w:t>23.42</w:t>
      </w:r>
      <w:r>
        <w:rPr>
          <w:rFonts w:hint="eastAsia" w:ascii="仿宋_GB2312" w:hAnsi="仿宋"/>
          <w:color w:val="auto"/>
        </w:rPr>
        <w:t>%。</w:t>
      </w:r>
    </w:p>
    <w:p>
      <w:pPr>
        <w:spacing w:line="576" w:lineRule="exact"/>
        <w:ind w:firstLine="632" w:firstLineChars="200"/>
        <w:jc w:val="center"/>
        <w:rPr>
          <w:rFonts w:ascii="仿宋_GB2312"/>
          <w:color w:val="auto"/>
        </w:rPr>
      </w:pPr>
      <w:r>
        <w:rPr>
          <w:rFonts w:hint="eastAsia" w:ascii="仿宋_GB2312" w:hAnsi="仿宋"/>
          <w:color w:val="auto"/>
        </w:rPr>
        <w:t>（图2：收入决算结构图）</w:t>
      </w:r>
    </w:p>
    <w:p>
      <w:pPr>
        <w:spacing w:line="576" w:lineRule="exact"/>
        <w:ind w:firstLine="632" w:firstLineChars="200"/>
        <w:rPr>
          <w:rFonts w:ascii="仿宋_GB2312"/>
          <w:color w:val="auto"/>
        </w:rPr>
      </w:pPr>
    </w:p>
    <w:p>
      <w:pPr>
        <w:pStyle w:val="18"/>
        <w:ind w:firstLine="632"/>
        <w:rPr>
          <w:color w:val="auto"/>
        </w:rPr>
      </w:pPr>
    </w:p>
    <w:p>
      <w:pPr>
        <w:spacing w:line="576" w:lineRule="exact"/>
        <w:ind w:firstLine="632" w:firstLineChars="200"/>
        <w:rPr>
          <w:rFonts w:ascii="仿宋_GB2312"/>
          <w:color w:val="auto"/>
        </w:rPr>
      </w:pPr>
    </w:p>
    <w:p>
      <w:pPr>
        <w:spacing w:line="576" w:lineRule="exact"/>
        <w:ind w:firstLine="632" w:firstLineChars="200"/>
        <w:rPr>
          <w:rFonts w:ascii="仿宋_GB2312"/>
          <w:color w:val="auto"/>
        </w:rPr>
      </w:pPr>
    </w:p>
    <w:p>
      <w:pPr>
        <w:spacing w:line="576" w:lineRule="exact"/>
        <w:ind w:firstLine="632" w:firstLineChars="200"/>
        <w:rPr>
          <w:rFonts w:ascii="仿宋_GB2312"/>
          <w:color w:val="auto"/>
        </w:rPr>
      </w:pPr>
    </w:p>
    <w:p>
      <w:pPr>
        <w:spacing w:line="576" w:lineRule="exact"/>
        <w:ind w:firstLine="632" w:firstLineChars="200"/>
        <w:rPr>
          <w:rFonts w:ascii="仿宋_GB2312"/>
          <w:color w:val="auto"/>
        </w:rPr>
      </w:pPr>
    </w:p>
    <w:p>
      <w:pPr>
        <w:spacing w:line="576" w:lineRule="exact"/>
        <w:ind w:firstLine="632" w:firstLineChars="200"/>
        <w:rPr>
          <w:rFonts w:ascii="仿宋_GB2312"/>
          <w:color w:val="auto"/>
        </w:rPr>
      </w:pPr>
    </w:p>
    <w:p>
      <w:pPr>
        <w:spacing w:line="576" w:lineRule="exact"/>
        <w:ind w:firstLine="632" w:firstLineChars="200"/>
        <w:rPr>
          <w:rFonts w:ascii="仿宋_GB2312"/>
          <w:color w:val="auto"/>
        </w:rPr>
      </w:pPr>
      <w:r>
        <w:rPr>
          <w:color w:val="auto"/>
        </w:rPr>
        <w:drawing>
          <wp:anchor distT="0" distB="0" distL="114300" distR="114300" simplePos="0" relativeHeight="251660288" behindDoc="0" locked="0" layoutInCell="1" allowOverlap="1">
            <wp:simplePos x="0" y="0"/>
            <wp:positionH relativeFrom="column">
              <wp:posOffset>405765</wp:posOffset>
            </wp:positionH>
            <wp:positionV relativeFrom="paragraph">
              <wp:posOffset>-2458720</wp:posOffset>
            </wp:positionV>
            <wp:extent cx="4562475" cy="2743200"/>
            <wp:effectExtent l="4445" t="4445" r="5080" b="8255"/>
            <wp:wrapSquare wrapText="bothSides"/>
            <wp:docPr id="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pStyle w:val="29"/>
        <w:numPr>
          <w:ilvl w:val="0"/>
          <w:numId w:val="4"/>
        </w:numPr>
        <w:spacing w:line="576" w:lineRule="exact"/>
        <w:ind w:firstLineChars="0"/>
        <w:outlineLvl w:val="1"/>
        <w:rPr>
          <w:rStyle w:val="24"/>
          <w:rFonts w:ascii="黑体" w:eastAsia="黑体"/>
          <w:b w:val="0"/>
          <w:bCs w:val="0"/>
          <w:color w:val="auto"/>
        </w:rPr>
      </w:pPr>
      <w:bookmarkStart w:id="25" w:name="_Toc15377207"/>
      <w:bookmarkEnd w:id="25"/>
      <w:bookmarkStart w:id="26" w:name="_Toc15396605"/>
      <w:r>
        <w:rPr>
          <w:rFonts w:hint="eastAsia" w:ascii="黑体" w:eastAsia="黑体"/>
          <w:color w:val="auto"/>
          <w:sz w:val="32"/>
          <w:szCs w:val="32"/>
        </w:rPr>
        <w:t>支</w:t>
      </w:r>
      <w:bookmarkEnd w:id="26"/>
      <w:r>
        <w:rPr>
          <w:rStyle w:val="24"/>
          <w:rFonts w:hint="eastAsia" w:ascii="黑体" w:eastAsia="黑体"/>
          <w:b w:val="0"/>
          <w:bCs w:val="0"/>
          <w:color w:val="auto"/>
        </w:rPr>
        <w:t>出决算情况说明</w:t>
      </w:r>
    </w:p>
    <w:p>
      <w:pPr>
        <w:spacing w:line="576" w:lineRule="exact"/>
        <w:ind w:firstLine="640"/>
        <w:rPr>
          <w:rFonts w:ascii="仿宋_GB2312" w:hAnsi="仿宋"/>
          <w:color w:val="auto"/>
          <w:shd w:val="clear" w:color="auto" w:fill="7F7F7F"/>
        </w:rPr>
      </w:pPr>
      <w:r>
        <w:rPr>
          <w:rFonts w:hint="eastAsia" w:ascii="仿宋_GB2312" w:hAnsi="仿宋"/>
          <w:color w:val="auto"/>
          <w:lang w:eastAsia="zh-CN"/>
        </w:rPr>
        <w:t>2022</w:t>
      </w:r>
      <w:r>
        <w:rPr>
          <w:rFonts w:hint="eastAsia" w:ascii="仿宋_GB2312" w:hAnsi="仿宋"/>
          <w:color w:val="auto"/>
        </w:rPr>
        <w:t>年本年支出合计</w:t>
      </w:r>
      <w:r>
        <w:rPr>
          <w:rFonts w:hint="eastAsia" w:ascii="仿宋_GB2312" w:hAnsi="仿宋"/>
          <w:color w:val="auto"/>
          <w:lang w:val="en-US" w:eastAsia="zh-CN"/>
        </w:rPr>
        <w:t>2529.15</w:t>
      </w:r>
      <w:r>
        <w:rPr>
          <w:rFonts w:hint="eastAsia" w:ascii="仿宋_GB2312" w:hAnsi="仿宋"/>
          <w:color w:val="auto"/>
        </w:rPr>
        <w:t>万元，其中：基本支出</w:t>
      </w:r>
      <w:r>
        <w:rPr>
          <w:rFonts w:hint="eastAsia" w:ascii="仿宋_GB2312" w:hAnsi="仿宋"/>
          <w:color w:val="auto"/>
          <w:lang w:val="en-US" w:eastAsia="zh-CN"/>
        </w:rPr>
        <w:t>2095.68</w:t>
      </w:r>
      <w:r>
        <w:rPr>
          <w:rFonts w:hint="eastAsia" w:ascii="仿宋_GB2312" w:hAnsi="仿宋"/>
          <w:color w:val="auto"/>
        </w:rPr>
        <w:t>万元，占</w:t>
      </w:r>
      <w:r>
        <w:rPr>
          <w:rFonts w:hint="eastAsia" w:ascii="仿宋_GB2312" w:hAnsi="仿宋"/>
          <w:color w:val="auto"/>
          <w:lang w:val="en-US" w:eastAsia="zh-CN"/>
        </w:rPr>
        <w:t>82.86</w:t>
      </w:r>
      <w:r>
        <w:rPr>
          <w:rFonts w:hint="eastAsia" w:ascii="仿宋_GB2312" w:hAnsi="仿宋"/>
          <w:color w:val="auto"/>
        </w:rPr>
        <w:t>%；项目支出</w:t>
      </w:r>
      <w:r>
        <w:rPr>
          <w:rFonts w:hint="eastAsia" w:ascii="仿宋_GB2312" w:hAnsi="仿宋"/>
          <w:color w:val="auto"/>
          <w:lang w:val="en-US" w:eastAsia="zh-CN"/>
        </w:rPr>
        <w:t>433.47</w:t>
      </w:r>
      <w:r>
        <w:rPr>
          <w:rFonts w:hint="eastAsia" w:ascii="仿宋_GB2312" w:hAnsi="仿宋"/>
          <w:color w:val="auto"/>
        </w:rPr>
        <w:t>万元，占</w:t>
      </w:r>
      <w:r>
        <w:rPr>
          <w:rFonts w:hint="eastAsia" w:ascii="仿宋_GB2312" w:hAnsi="仿宋"/>
          <w:color w:val="auto"/>
          <w:lang w:val="en-US" w:eastAsia="zh-CN"/>
        </w:rPr>
        <w:t>17.14</w:t>
      </w:r>
      <w:r>
        <w:rPr>
          <w:rFonts w:hint="eastAsia" w:ascii="仿宋_GB2312" w:hAnsi="仿宋"/>
          <w:color w:val="auto"/>
        </w:rPr>
        <w:t>%；上缴上级支出0万元，占0%；经营支出0万元，占0%；对附属单位补助支出0万元，占0%。</w:t>
      </w:r>
    </w:p>
    <w:p>
      <w:pPr>
        <w:spacing w:line="576" w:lineRule="exact"/>
        <w:ind w:firstLine="632" w:firstLineChars="200"/>
        <w:rPr>
          <w:rFonts w:ascii="仿宋_GB2312" w:hAnsi="仿宋"/>
          <w:color w:val="auto"/>
        </w:rPr>
      </w:pPr>
      <w:r>
        <w:rPr>
          <w:rFonts w:hint="eastAsia" w:ascii="仿宋_GB2312" w:hAnsi="仿宋"/>
          <w:color w:val="auto"/>
        </w:rPr>
        <w:t>（图3：支出决算结构图）（饼状图）</w:t>
      </w:r>
    </w:p>
    <w:p>
      <w:pPr>
        <w:spacing w:line="576" w:lineRule="exact"/>
        <w:ind w:firstLine="632" w:firstLineChars="200"/>
        <w:rPr>
          <w:rFonts w:ascii="仿宋_GB2312"/>
          <w:color w:val="auto"/>
        </w:rPr>
      </w:pPr>
      <w:r>
        <w:rPr>
          <w:color w:val="auto"/>
        </w:rPr>
        <w:drawing>
          <wp:anchor distT="0" distB="0" distL="114300" distR="114300" simplePos="0" relativeHeight="251661312" behindDoc="0" locked="0" layoutInCell="1" allowOverlap="1">
            <wp:simplePos x="0" y="0"/>
            <wp:positionH relativeFrom="column">
              <wp:posOffset>403225</wp:posOffset>
            </wp:positionH>
            <wp:positionV relativeFrom="paragraph">
              <wp:posOffset>179705</wp:posOffset>
            </wp:positionV>
            <wp:extent cx="4562475" cy="2564765"/>
            <wp:effectExtent l="4445" t="4445" r="5080" b="8890"/>
            <wp:wrapSquare wrapText="bothSides"/>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ascii="仿宋_GB2312"/>
          <w:color w:val="auto"/>
        </w:rPr>
        <w:t xml:space="preserve"> </w:t>
      </w:r>
    </w:p>
    <w:p>
      <w:pPr>
        <w:spacing w:line="576" w:lineRule="exact"/>
        <w:ind w:firstLine="632" w:firstLineChars="200"/>
        <w:outlineLvl w:val="1"/>
        <w:rPr>
          <w:rFonts w:ascii="黑体" w:eastAsia="黑体"/>
          <w:color w:val="auto"/>
        </w:rPr>
      </w:pPr>
      <w:bookmarkStart w:id="27" w:name="_Toc15377208"/>
      <w:bookmarkEnd w:id="27"/>
      <w:bookmarkStart w:id="28" w:name="_Toc15396606"/>
    </w:p>
    <w:p>
      <w:pPr>
        <w:spacing w:line="576" w:lineRule="exact"/>
        <w:ind w:firstLine="632" w:firstLineChars="200"/>
        <w:outlineLvl w:val="1"/>
        <w:rPr>
          <w:rFonts w:ascii="黑体" w:eastAsia="黑体"/>
          <w:color w:val="auto"/>
        </w:rPr>
      </w:pPr>
    </w:p>
    <w:p>
      <w:pPr>
        <w:spacing w:line="576" w:lineRule="exact"/>
        <w:ind w:firstLine="632" w:firstLineChars="200"/>
        <w:outlineLvl w:val="1"/>
        <w:rPr>
          <w:rFonts w:ascii="黑体" w:eastAsia="黑体"/>
          <w:color w:val="auto"/>
        </w:rPr>
      </w:pPr>
    </w:p>
    <w:p>
      <w:pPr>
        <w:spacing w:line="576" w:lineRule="exact"/>
        <w:ind w:firstLine="632" w:firstLineChars="200"/>
        <w:outlineLvl w:val="1"/>
        <w:rPr>
          <w:rFonts w:ascii="黑体" w:eastAsia="黑体"/>
          <w:color w:val="auto"/>
        </w:rPr>
      </w:pPr>
    </w:p>
    <w:p>
      <w:pPr>
        <w:spacing w:line="576" w:lineRule="exact"/>
        <w:ind w:firstLine="632" w:firstLineChars="200"/>
        <w:outlineLvl w:val="1"/>
        <w:rPr>
          <w:rFonts w:ascii="黑体" w:eastAsia="黑体"/>
          <w:color w:val="auto"/>
        </w:rPr>
      </w:pPr>
    </w:p>
    <w:p>
      <w:pPr>
        <w:spacing w:line="576" w:lineRule="exact"/>
        <w:ind w:firstLine="632" w:firstLineChars="200"/>
        <w:outlineLvl w:val="1"/>
        <w:rPr>
          <w:rStyle w:val="24"/>
          <w:rFonts w:ascii="黑体" w:eastAsia="黑体"/>
          <w:b w:val="0"/>
          <w:bCs w:val="0"/>
          <w:color w:val="auto"/>
        </w:rPr>
      </w:pPr>
      <w:r>
        <w:rPr>
          <w:rFonts w:hint="eastAsia" w:ascii="黑体" w:eastAsia="黑体"/>
          <w:color w:val="auto"/>
        </w:rPr>
        <w:t>四、财</w:t>
      </w:r>
      <w:bookmarkEnd w:id="28"/>
      <w:r>
        <w:rPr>
          <w:rStyle w:val="24"/>
          <w:rFonts w:hint="eastAsia" w:ascii="黑体" w:eastAsia="黑体"/>
          <w:b w:val="0"/>
          <w:bCs w:val="0"/>
          <w:color w:val="auto"/>
        </w:rPr>
        <w:t>政拨款收入支出决算总体情况说明</w:t>
      </w:r>
    </w:p>
    <w:p>
      <w:pPr>
        <w:spacing w:line="576" w:lineRule="exact"/>
        <w:ind w:firstLine="632" w:firstLineChars="200"/>
        <w:rPr>
          <w:rFonts w:hint="eastAsia" w:ascii="仿宋_GB2312" w:hAnsi="仿宋" w:eastAsia="仿宋_GB2312"/>
          <w:color w:val="auto"/>
          <w:lang w:eastAsia="zh-CN"/>
        </w:rPr>
      </w:pPr>
      <w:r>
        <w:rPr>
          <w:rFonts w:hint="eastAsia" w:ascii="仿宋_GB2312" w:hAnsi="仿宋"/>
          <w:color w:val="auto"/>
          <w:lang w:eastAsia="zh-CN"/>
        </w:rPr>
        <w:t>2022</w:t>
      </w:r>
      <w:r>
        <w:rPr>
          <w:rFonts w:hint="eastAsia" w:ascii="仿宋_GB2312" w:hAnsi="仿宋"/>
          <w:color w:val="auto"/>
        </w:rPr>
        <w:t>年财政拨款收、支总计</w:t>
      </w:r>
      <w:r>
        <w:rPr>
          <w:rFonts w:hint="eastAsia" w:ascii="仿宋_GB2312" w:hAnsi="仿宋"/>
          <w:color w:val="auto"/>
          <w:lang w:val="en-US" w:eastAsia="zh-CN"/>
        </w:rPr>
        <w:t>1936.86</w:t>
      </w:r>
      <w:r>
        <w:rPr>
          <w:rFonts w:hint="eastAsia" w:ascii="仿宋_GB2312" w:hAnsi="仿宋"/>
          <w:color w:val="auto"/>
        </w:rPr>
        <w:t>万元。与</w:t>
      </w:r>
      <w:r>
        <w:rPr>
          <w:rFonts w:hint="eastAsia" w:ascii="仿宋_GB2312" w:hAnsi="仿宋"/>
          <w:color w:val="auto"/>
          <w:lang w:eastAsia="zh-CN"/>
        </w:rPr>
        <w:t>2021</w:t>
      </w:r>
      <w:r>
        <w:rPr>
          <w:rFonts w:hint="eastAsia" w:ascii="仿宋_GB2312" w:hAnsi="仿宋"/>
          <w:color w:val="auto"/>
        </w:rPr>
        <w:t>年相比，财政拨款收、支总计</w:t>
      </w:r>
      <w:r>
        <w:rPr>
          <w:rFonts w:hint="eastAsia" w:ascii="仿宋_GB2312" w:hAnsi="仿宋"/>
          <w:color w:val="auto"/>
          <w:lang w:val="en-US" w:eastAsia="zh-CN"/>
        </w:rPr>
        <w:t>减少1479.03</w:t>
      </w:r>
      <w:r>
        <w:rPr>
          <w:rFonts w:hint="eastAsia" w:ascii="仿宋_GB2312" w:hAnsi="仿宋"/>
          <w:color w:val="auto"/>
        </w:rPr>
        <w:t>万元，</w:t>
      </w:r>
      <w:r>
        <w:rPr>
          <w:rFonts w:hint="eastAsia" w:ascii="仿宋_GB2312" w:hAnsi="仿宋"/>
          <w:color w:val="auto"/>
          <w:lang w:val="en-US" w:eastAsia="zh-CN"/>
        </w:rPr>
        <w:t>减少43.29</w:t>
      </w:r>
      <w:r>
        <w:rPr>
          <w:rFonts w:hint="eastAsia" w:ascii="仿宋_GB2312" w:hAnsi="仿宋"/>
          <w:color w:val="auto"/>
        </w:rPr>
        <w:t>%。</w:t>
      </w:r>
      <w:r>
        <w:rPr>
          <w:rFonts w:hint="eastAsia" w:ascii="仿宋_GB2312" w:hAnsi="仿宋"/>
          <w:color w:val="auto"/>
        </w:rPr>
        <w:t>主要变动原因</w:t>
      </w:r>
      <w:r>
        <w:rPr>
          <w:rFonts w:hint="eastAsia" w:ascii="仿宋_GB2312" w:hAnsi="仿宋"/>
          <w:color w:val="auto"/>
          <w:lang w:eastAsia="zh-CN"/>
        </w:rPr>
        <w:t>是本年我院完成了省以下地方法院、检察院财物统管改革，上划至市财政保障后，原来仍由县财政保障的经费未纳入财政拨款收支，而是填列在了其他收支，再加上上年度很多大额一次性项目本年未予安排，故财政拨款收支较上年变动较大。</w:t>
      </w:r>
    </w:p>
    <w:p>
      <w:pPr>
        <w:spacing w:line="576" w:lineRule="exact"/>
        <w:ind w:firstLine="632" w:firstLineChars="200"/>
        <w:rPr>
          <w:rFonts w:ascii="仿宋_GB2312" w:hAnsi="仿宋"/>
          <w:color w:val="auto"/>
        </w:rPr>
      </w:pPr>
      <w:r>
        <w:rPr>
          <w:rFonts w:hint="eastAsia" w:ascii="仿宋_GB2312" w:hAnsi="仿宋"/>
          <w:color w:val="auto"/>
        </w:rPr>
        <w:t>（图4：财政拨款收、支决算总计变动情况）（柱状图）</w:t>
      </w:r>
    </w:p>
    <w:p>
      <w:pPr>
        <w:pStyle w:val="18"/>
        <w:ind w:firstLine="632"/>
        <w:rPr>
          <w:color w:val="auto"/>
        </w:rPr>
      </w:pPr>
      <w:r>
        <w:rPr>
          <w:color w:val="auto"/>
        </w:rPr>
        <w:drawing>
          <wp:anchor distT="0" distB="0" distL="114300" distR="114300" simplePos="0" relativeHeight="251662336" behindDoc="0" locked="0" layoutInCell="1" allowOverlap="1">
            <wp:simplePos x="0" y="0"/>
            <wp:positionH relativeFrom="column">
              <wp:posOffset>386080</wp:posOffset>
            </wp:positionH>
            <wp:positionV relativeFrom="paragraph">
              <wp:posOffset>83820</wp:posOffset>
            </wp:positionV>
            <wp:extent cx="4565650" cy="2743200"/>
            <wp:effectExtent l="4445" t="4445" r="14605" b="8255"/>
            <wp:wrapSquare wrapText="bothSides"/>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pStyle w:val="18"/>
        <w:ind w:firstLine="632"/>
        <w:rPr>
          <w:color w:val="auto"/>
        </w:rPr>
      </w:pPr>
    </w:p>
    <w:p>
      <w:pPr>
        <w:pStyle w:val="18"/>
        <w:ind w:firstLine="632"/>
        <w:rPr>
          <w:color w:val="auto"/>
        </w:rPr>
      </w:pPr>
    </w:p>
    <w:p>
      <w:pPr>
        <w:pStyle w:val="18"/>
        <w:ind w:firstLine="632"/>
        <w:rPr>
          <w:color w:val="auto"/>
        </w:rPr>
      </w:pPr>
    </w:p>
    <w:p>
      <w:pPr>
        <w:pStyle w:val="18"/>
        <w:ind w:firstLine="632"/>
        <w:rPr>
          <w:color w:val="auto"/>
        </w:rPr>
      </w:pPr>
    </w:p>
    <w:p>
      <w:pPr>
        <w:pStyle w:val="18"/>
        <w:ind w:firstLine="632"/>
        <w:rPr>
          <w:color w:val="auto"/>
        </w:rPr>
      </w:pPr>
    </w:p>
    <w:p>
      <w:pPr>
        <w:spacing w:line="576" w:lineRule="exact"/>
        <w:ind w:firstLine="640"/>
        <w:rPr>
          <w:rFonts w:ascii="仿宋" w:hAnsi="仿宋" w:eastAsia="仿宋"/>
          <w:b/>
          <w:bCs/>
          <w:color w:val="auto"/>
        </w:rPr>
      </w:pPr>
    </w:p>
    <w:p>
      <w:pPr>
        <w:spacing w:line="576" w:lineRule="exact"/>
        <w:ind w:firstLine="640"/>
        <w:rPr>
          <w:rFonts w:ascii="仿宋" w:hAnsi="仿宋" w:eastAsia="仿宋"/>
          <w:b/>
          <w:bCs/>
          <w:color w:val="auto"/>
        </w:rPr>
      </w:pPr>
    </w:p>
    <w:p>
      <w:pPr>
        <w:spacing w:line="576" w:lineRule="exact"/>
        <w:rPr>
          <w:rFonts w:hint="eastAsia" w:ascii="仿宋" w:hAnsi="仿宋" w:eastAsia="仿宋"/>
          <w:b/>
          <w:bCs/>
          <w:color w:val="auto"/>
        </w:rPr>
      </w:pPr>
    </w:p>
    <w:p>
      <w:pPr>
        <w:spacing w:line="576" w:lineRule="exact"/>
        <w:ind w:firstLine="632" w:firstLineChars="200"/>
        <w:rPr>
          <w:rStyle w:val="24"/>
          <w:rFonts w:ascii="黑体" w:eastAsia="黑体"/>
          <w:color w:val="auto"/>
        </w:rPr>
      </w:pPr>
      <w:r>
        <w:rPr>
          <w:rFonts w:hint="eastAsia" w:ascii="仿宋" w:hAnsi="仿宋" w:eastAsia="仿宋"/>
          <w:b/>
          <w:bCs/>
          <w:color w:val="auto"/>
        </w:rPr>
        <w:t xml:space="preserve"> </w:t>
      </w:r>
      <w:bookmarkStart w:id="29" w:name="_Toc15377209"/>
      <w:bookmarkEnd w:id="29"/>
      <w:bookmarkStart w:id="30" w:name="_Toc15396607"/>
      <w:r>
        <w:rPr>
          <w:rFonts w:hint="eastAsia" w:ascii="黑体" w:eastAsia="黑体"/>
          <w:color w:val="auto"/>
        </w:rPr>
        <w:t>五、</w:t>
      </w:r>
      <w:bookmarkEnd w:id="30"/>
      <w:r>
        <w:rPr>
          <w:rFonts w:hint="eastAsia" w:ascii="黑体" w:eastAsia="黑体"/>
          <w:b/>
          <w:bCs/>
          <w:color w:val="auto"/>
        </w:rPr>
        <w:t>一</w:t>
      </w:r>
      <w:r>
        <w:rPr>
          <w:rStyle w:val="24"/>
          <w:rFonts w:hint="eastAsia" w:ascii="黑体" w:eastAsia="黑体"/>
          <w:b w:val="0"/>
          <w:bCs w:val="0"/>
          <w:color w:val="auto"/>
        </w:rPr>
        <w:t>般公共预算财政拨款支出决算情况说明</w:t>
      </w:r>
    </w:p>
    <w:p>
      <w:pPr>
        <w:spacing w:line="576" w:lineRule="exact"/>
        <w:ind w:firstLine="632" w:firstLineChars="200"/>
        <w:outlineLvl w:val="2"/>
        <w:rPr>
          <w:rFonts w:ascii="仿宋" w:hAnsi="仿宋" w:eastAsia="仿宋"/>
          <w:b/>
          <w:bCs/>
          <w:color w:val="auto"/>
        </w:rPr>
      </w:pPr>
      <w:bookmarkStart w:id="31" w:name="_Toc15377210"/>
      <w:bookmarkEnd w:id="31"/>
      <w:r>
        <w:rPr>
          <w:rFonts w:hint="eastAsia" w:ascii="仿宋" w:hAnsi="仿宋" w:eastAsia="仿宋"/>
          <w:b/>
          <w:bCs/>
          <w:color w:val="auto"/>
        </w:rPr>
        <w:t>（一）一般公共预算财政拨款支出决算总体情况</w:t>
      </w:r>
    </w:p>
    <w:p>
      <w:pPr>
        <w:spacing w:line="576" w:lineRule="exact"/>
        <w:ind w:firstLine="632" w:firstLineChars="200"/>
        <w:rPr>
          <w:rFonts w:hint="eastAsia" w:ascii="仿宋_GB2312" w:hAnsi="仿宋" w:eastAsia="仿宋_GB2312"/>
          <w:color w:val="auto"/>
          <w:lang w:eastAsia="zh-CN"/>
        </w:rPr>
      </w:pPr>
      <w:r>
        <w:rPr>
          <w:rFonts w:hint="eastAsia" w:ascii="仿宋_GB2312" w:hAnsi="仿宋"/>
          <w:color w:val="auto"/>
          <w:lang w:eastAsia="zh-CN"/>
        </w:rPr>
        <w:t>2022</w:t>
      </w:r>
      <w:r>
        <w:rPr>
          <w:rFonts w:hint="eastAsia" w:ascii="仿宋_GB2312" w:hAnsi="仿宋"/>
          <w:color w:val="auto"/>
        </w:rPr>
        <w:t>年一般公共预算财政拨款支出</w:t>
      </w:r>
      <w:r>
        <w:rPr>
          <w:rFonts w:hint="eastAsia" w:ascii="仿宋_GB2312" w:hAnsi="仿宋"/>
          <w:color w:val="auto"/>
          <w:lang w:val="en-US" w:eastAsia="zh-CN"/>
        </w:rPr>
        <w:t>1936.86</w:t>
      </w:r>
      <w:r>
        <w:rPr>
          <w:rFonts w:hint="eastAsia" w:ascii="仿宋_GB2312" w:hAnsi="仿宋"/>
          <w:color w:val="auto"/>
        </w:rPr>
        <w:t>万元，占本年支出合计的7</w:t>
      </w:r>
      <w:r>
        <w:rPr>
          <w:rFonts w:hint="eastAsia" w:ascii="仿宋_GB2312" w:hAnsi="仿宋"/>
          <w:color w:val="auto"/>
          <w:lang w:val="en-US" w:eastAsia="zh-CN"/>
        </w:rPr>
        <w:t>6.58</w:t>
      </w:r>
      <w:r>
        <w:rPr>
          <w:rFonts w:hint="eastAsia" w:ascii="仿宋_GB2312" w:hAnsi="仿宋"/>
          <w:color w:val="auto"/>
        </w:rPr>
        <w:t>%。与</w:t>
      </w:r>
      <w:r>
        <w:rPr>
          <w:rFonts w:hint="eastAsia" w:ascii="仿宋_GB2312" w:hAnsi="仿宋"/>
          <w:color w:val="auto"/>
          <w:lang w:eastAsia="zh-CN"/>
        </w:rPr>
        <w:t>2021</w:t>
      </w:r>
      <w:r>
        <w:rPr>
          <w:rFonts w:hint="eastAsia" w:ascii="仿宋_GB2312" w:hAnsi="仿宋"/>
          <w:color w:val="auto"/>
        </w:rPr>
        <w:t>年相比，一般公共预算财政拨款</w:t>
      </w:r>
      <w:r>
        <w:rPr>
          <w:rFonts w:hint="eastAsia" w:ascii="仿宋_GB2312" w:hAnsi="仿宋"/>
          <w:color w:val="auto"/>
          <w:lang w:val="en-US" w:eastAsia="zh-CN"/>
        </w:rPr>
        <w:t>减少1470.03</w:t>
      </w:r>
      <w:r>
        <w:rPr>
          <w:rFonts w:hint="eastAsia" w:ascii="仿宋_GB2312" w:hAnsi="仿宋"/>
          <w:color w:val="auto"/>
        </w:rPr>
        <w:t>万元，</w:t>
      </w:r>
      <w:r>
        <w:rPr>
          <w:rFonts w:hint="eastAsia" w:ascii="仿宋_GB2312" w:hAnsi="仿宋"/>
          <w:color w:val="auto"/>
          <w:lang w:val="en-US" w:eastAsia="zh-CN"/>
        </w:rPr>
        <w:t>加好43.29</w:t>
      </w:r>
      <w:r>
        <w:rPr>
          <w:rFonts w:hint="eastAsia" w:ascii="仿宋_GB2312" w:hAnsi="仿宋"/>
          <w:color w:val="auto"/>
        </w:rPr>
        <w:t>%。</w:t>
      </w:r>
      <w:r>
        <w:rPr>
          <w:rFonts w:hint="eastAsia" w:ascii="仿宋_GB2312" w:hAnsi="仿宋"/>
          <w:color w:val="auto"/>
        </w:rPr>
        <w:t>主要变动原因是</w:t>
      </w:r>
      <w:r>
        <w:rPr>
          <w:rFonts w:hint="eastAsia" w:ascii="仿宋_GB2312" w:hAnsi="仿宋"/>
          <w:color w:val="auto"/>
          <w:lang w:eastAsia="zh-CN"/>
        </w:rPr>
        <w:t>：本年我院完成了省以下地方法院、检察院财物统管改革，上划至市财政保障后，原来仍由县财政保障的经费未纳入财政拨款收支，而是填列在了其他收支，再加上上年度很多大额一次性项目本年未予安排，故财政拨款收支较上年变动较大。</w:t>
      </w:r>
    </w:p>
    <w:p>
      <w:pPr>
        <w:spacing w:line="576" w:lineRule="exact"/>
        <w:ind w:firstLine="632" w:firstLineChars="200"/>
        <w:rPr>
          <w:rFonts w:hint="eastAsia" w:ascii="仿宋_GB2312" w:hAnsi="仿宋" w:eastAsia="仿宋_GB2312"/>
          <w:color w:val="auto"/>
          <w:lang w:eastAsia="zh-CN"/>
        </w:rPr>
      </w:pPr>
    </w:p>
    <w:p>
      <w:pPr>
        <w:spacing w:line="576" w:lineRule="exact"/>
        <w:ind w:firstLine="632" w:firstLineChars="200"/>
        <w:rPr>
          <w:rFonts w:ascii="仿宋_GB2312" w:hAnsi="仿宋"/>
          <w:color w:val="auto"/>
        </w:rPr>
      </w:pPr>
      <w:r>
        <w:rPr>
          <w:rFonts w:hint="eastAsia" w:ascii="仿宋_GB2312" w:hAnsi="仿宋"/>
          <w:color w:val="auto"/>
        </w:rPr>
        <w:t>（图5：一般公共预算财政拨款支出决算变动情况）（柱状图）</w:t>
      </w:r>
    </w:p>
    <w:p>
      <w:pPr>
        <w:pStyle w:val="18"/>
        <w:ind w:firstLine="632"/>
        <w:rPr>
          <w:color w:val="auto"/>
        </w:rPr>
      </w:pPr>
    </w:p>
    <w:p>
      <w:pPr>
        <w:spacing w:line="576" w:lineRule="exact"/>
        <w:ind w:firstLine="632" w:firstLineChars="200"/>
        <w:outlineLvl w:val="2"/>
        <w:rPr>
          <w:rFonts w:ascii="仿宋" w:hAnsi="仿宋" w:eastAsia="仿宋"/>
          <w:b/>
          <w:bCs/>
          <w:color w:val="auto"/>
        </w:rPr>
      </w:pPr>
      <w:bookmarkStart w:id="32" w:name="_Toc15377211"/>
      <w:bookmarkEnd w:id="32"/>
    </w:p>
    <w:p>
      <w:pPr>
        <w:spacing w:line="576" w:lineRule="exact"/>
        <w:ind w:firstLine="632" w:firstLineChars="200"/>
        <w:outlineLvl w:val="2"/>
        <w:rPr>
          <w:rFonts w:ascii="仿宋" w:hAnsi="仿宋" w:eastAsia="仿宋"/>
          <w:b/>
          <w:bCs/>
          <w:color w:val="auto"/>
        </w:rPr>
      </w:pPr>
      <w:r>
        <w:rPr>
          <w:color w:val="auto"/>
        </w:rPr>
        <w:drawing>
          <wp:anchor distT="0" distB="0" distL="114300" distR="114300" simplePos="0" relativeHeight="251663360" behindDoc="0" locked="0" layoutInCell="1" allowOverlap="1">
            <wp:simplePos x="0" y="0"/>
            <wp:positionH relativeFrom="column">
              <wp:posOffset>603885</wp:posOffset>
            </wp:positionH>
            <wp:positionV relativeFrom="paragraph">
              <wp:posOffset>-484505</wp:posOffset>
            </wp:positionV>
            <wp:extent cx="4565650" cy="2743200"/>
            <wp:effectExtent l="4445" t="4445" r="14605" b="8255"/>
            <wp:wrapSquare wrapText="bothSides"/>
            <wp:docPr id="1"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pPr>
        <w:spacing w:line="576" w:lineRule="exact"/>
        <w:ind w:firstLine="632" w:firstLineChars="200"/>
        <w:outlineLvl w:val="2"/>
        <w:rPr>
          <w:rFonts w:ascii="仿宋" w:hAnsi="仿宋" w:eastAsia="仿宋"/>
          <w:b/>
          <w:bCs/>
          <w:color w:val="auto"/>
        </w:rPr>
      </w:pPr>
    </w:p>
    <w:p>
      <w:pPr>
        <w:spacing w:line="576" w:lineRule="exact"/>
        <w:ind w:firstLine="632" w:firstLineChars="200"/>
        <w:outlineLvl w:val="2"/>
        <w:rPr>
          <w:rFonts w:ascii="仿宋" w:hAnsi="仿宋" w:eastAsia="仿宋"/>
          <w:b/>
          <w:bCs/>
          <w:color w:val="auto"/>
        </w:rPr>
      </w:pPr>
    </w:p>
    <w:p>
      <w:pPr>
        <w:spacing w:line="576" w:lineRule="exact"/>
        <w:ind w:firstLine="632" w:firstLineChars="200"/>
        <w:outlineLvl w:val="2"/>
        <w:rPr>
          <w:rFonts w:ascii="仿宋" w:hAnsi="仿宋" w:eastAsia="仿宋"/>
          <w:b/>
          <w:bCs/>
          <w:color w:val="auto"/>
        </w:rPr>
      </w:pPr>
    </w:p>
    <w:p>
      <w:pPr>
        <w:spacing w:line="576" w:lineRule="exact"/>
        <w:ind w:firstLine="632" w:firstLineChars="200"/>
        <w:outlineLvl w:val="2"/>
        <w:rPr>
          <w:rFonts w:ascii="仿宋" w:hAnsi="仿宋" w:eastAsia="仿宋"/>
          <w:b/>
          <w:bCs/>
          <w:color w:val="auto"/>
        </w:rPr>
      </w:pPr>
    </w:p>
    <w:p>
      <w:pPr>
        <w:spacing w:line="576" w:lineRule="exact"/>
        <w:ind w:firstLine="632" w:firstLineChars="200"/>
        <w:outlineLvl w:val="2"/>
        <w:rPr>
          <w:rFonts w:ascii="仿宋" w:hAnsi="仿宋" w:eastAsia="仿宋"/>
          <w:b/>
          <w:bCs/>
          <w:color w:val="auto"/>
        </w:rPr>
      </w:pPr>
    </w:p>
    <w:p>
      <w:pPr>
        <w:spacing w:line="576" w:lineRule="exact"/>
        <w:ind w:firstLine="632" w:firstLineChars="200"/>
        <w:outlineLvl w:val="2"/>
        <w:rPr>
          <w:rFonts w:ascii="仿宋" w:hAnsi="仿宋" w:eastAsia="仿宋"/>
          <w:b/>
          <w:bCs/>
          <w:color w:val="auto"/>
        </w:rPr>
      </w:pPr>
    </w:p>
    <w:p>
      <w:pPr>
        <w:spacing w:line="576" w:lineRule="exact"/>
        <w:ind w:firstLine="632" w:firstLineChars="200"/>
        <w:outlineLvl w:val="2"/>
        <w:rPr>
          <w:rFonts w:ascii="仿宋" w:hAnsi="仿宋" w:eastAsia="仿宋"/>
          <w:b/>
          <w:bCs/>
          <w:color w:val="auto"/>
        </w:rPr>
      </w:pPr>
      <w:r>
        <w:rPr>
          <w:rFonts w:hint="eastAsia" w:ascii="仿宋" w:hAnsi="仿宋" w:eastAsia="仿宋"/>
          <w:b/>
          <w:bCs/>
          <w:color w:val="auto"/>
        </w:rPr>
        <w:t>（二）一般公共预算财政拨款支出决算结构情况</w:t>
      </w:r>
    </w:p>
    <w:p>
      <w:pPr>
        <w:spacing w:line="576" w:lineRule="exact"/>
        <w:ind w:firstLine="640"/>
        <w:rPr>
          <w:rFonts w:ascii="仿宋_GB2312" w:hAnsi="仿宋"/>
          <w:color w:val="auto"/>
        </w:rPr>
      </w:pPr>
      <w:r>
        <w:rPr>
          <w:rFonts w:hint="eastAsia" w:ascii="仿宋_GB2312" w:hAnsi="仿宋"/>
          <w:color w:val="auto"/>
          <w:lang w:eastAsia="zh-CN"/>
        </w:rPr>
        <w:t>2022</w:t>
      </w:r>
      <w:r>
        <w:rPr>
          <w:rFonts w:hint="eastAsia" w:ascii="仿宋_GB2312" w:hAnsi="仿宋"/>
          <w:color w:val="auto"/>
        </w:rPr>
        <w:t>年一般公共预算财政拨款支出</w:t>
      </w:r>
      <w:r>
        <w:rPr>
          <w:rFonts w:hint="eastAsia" w:ascii="仿宋_GB2312" w:hAnsi="仿宋"/>
          <w:color w:val="auto"/>
          <w:lang w:val="en-US" w:eastAsia="zh-CN"/>
        </w:rPr>
        <w:t>1936.86</w:t>
      </w:r>
      <w:r>
        <w:rPr>
          <w:rFonts w:hint="eastAsia" w:ascii="仿宋_GB2312" w:hAnsi="仿宋"/>
          <w:color w:val="auto"/>
        </w:rPr>
        <w:t>万元，主要用于以下方面:</w:t>
      </w:r>
      <w:r>
        <w:rPr>
          <w:rFonts w:hint="eastAsia" w:ascii="仿宋_GB2312" w:hAnsi="仿宋"/>
          <w:b/>
          <w:bCs/>
          <w:color w:val="auto"/>
        </w:rPr>
        <w:t>公共安全支出（类）</w:t>
      </w:r>
      <w:r>
        <w:rPr>
          <w:rFonts w:hint="eastAsia" w:ascii="仿宋_GB2312" w:hAnsi="仿宋"/>
          <w:color w:val="auto"/>
        </w:rPr>
        <w:t>支出</w:t>
      </w:r>
      <w:r>
        <w:rPr>
          <w:rFonts w:hint="eastAsia" w:ascii="仿宋_GB2312" w:hAnsi="仿宋"/>
          <w:color w:val="auto"/>
          <w:lang w:val="en-US" w:eastAsia="zh-CN"/>
        </w:rPr>
        <w:t>1712.44</w:t>
      </w:r>
      <w:r>
        <w:rPr>
          <w:rFonts w:hint="eastAsia" w:ascii="仿宋_GB2312" w:hAnsi="仿宋"/>
          <w:color w:val="auto"/>
        </w:rPr>
        <w:t>万元，占</w:t>
      </w:r>
      <w:r>
        <w:rPr>
          <w:rFonts w:hint="eastAsia" w:ascii="仿宋_GB2312" w:hAnsi="仿宋"/>
          <w:color w:val="auto"/>
          <w:lang w:val="en-US" w:eastAsia="zh-CN"/>
        </w:rPr>
        <w:t>88.41</w:t>
      </w:r>
      <w:r>
        <w:rPr>
          <w:rFonts w:hint="eastAsia" w:ascii="仿宋_GB2312" w:hAnsi="仿宋"/>
          <w:color w:val="auto"/>
        </w:rPr>
        <w:t>%；</w:t>
      </w:r>
      <w:r>
        <w:rPr>
          <w:rFonts w:hint="eastAsia" w:ascii="仿宋_GB2312" w:hAnsi="仿宋"/>
          <w:b/>
          <w:bCs/>
          <w:color w:val="auto"/>
        </w:rPr>
        <w:t>社会保障和就业（类）</w:t>
      </w:r>
      <w:r>
        <w:rPr>
          <w:rFonts w:hint="eastAsia" w:ascii="仿宋_GB2312" w:hAnsi="仿宋"/>
          <w:color w:val="auto"/>
        </w:rPr>
        <w:t>支出</w:t>
      </w:r>
      <w:r>
        <w:rPr>
          <w:rFonts w:hint="eastAsia" w:ascii="仿宋_GB2312" w:hAnsi="仿宋"/>
          <w:color w:val="auto"/>
          <w:lang w:val="en-US" w:eastAsia="zh-CN"/>
        </w:rPr>
        <w:t>85.76</w:t>
      </w:r>
      <w:r>
        <w:rPr>
          <w:rFonts w:hint="eastAsia" w:ascii="仿宋_GB2312" w:hAnsi="仿宋"/>
          <w:color w:val="auto"/>
        </w:rPr>
        <w:t>万元，占</w:t>
      </w:r>
      <w:r>
        <w:rPr>
          <w:rFonts w:hint="eastAsia" w:ascii="仿宋_GB2312" w:hAnsi="仿宋"/>
          <w:color w:val="auto"/>
          <w:lang w:val="en-US" w:eastAsia="zh-CN"/>
        </w:rPr>
        <w:t>4.42</w:t>
      </w:r>
      <w:r>
        <w:rPr>
          <w:rFonts w:hint="eastAsia" w:ascii="仿宋_GB2312" w:hAnsi="仿宋"/>
          <w:color w:val="auto"/>
        </w:rPr>
        <w:t>%；卫生健康支出</w:t>
      </w:r>
      <w:r>
        <w:rPr>
          <w:rFonts w:hint="eastAsia" w:ascii="仿宋_GB2312" w:hAnsi="仿宋"/>
          <w:color w:val="auto"/>
          <w:lang w:val="en-US" w:eastAsia="zh-CN"/>
        </w:rPr>
        <w:t>45.85</w:t>
      </w:r>
      <w:r>
        <w:rPr>
          <w:rFonts w:hint="eastAsia" w:ascii="仿宋_GB2312" w:hAnsi="仿宋"/>
          <w:color w:val="auto"/>
        </w:rPr>
        <w:t>万元，占</w:t>
      </w:r>
      <w:r>
        <w:rPr>
          <w:rFonts w:hint="eastAsia" w:ascii="仿宋_GB2312" w:hAnsi="仿宋"/>
          <w:color w:val="auto"/>
          <w:lang w:val="en-US" w:eastAsia="zh-CN"/>
        </w:rPr>
        <w:t>2.36</w:t>
      </w:r>
      <w:r>
        <w:rPr>
          <w:rFonts w:hint="eastAsia" w:ascii="仿宋_GB2312" w:hAnsi="仿宋"/>
          <w:color w:val="auto"/>
        </w:rPr>
        <w:t>%；住房保障支出</w:t>
      </w:r>
      <w:r>
        <w:rPr>
          <w:rFonts w:hint="eastAsia" w:ascii="仿宋_GB2312" w:hAnsi="仿宋"/>
          <w:color w:val="auto"/>
          <w:lang w:val="en-US" w:eastAsia="zh-CN"/>
        </w:rPr>
        <w:t>92.82</w:t>
      </w:r>
      <w:r>
        <w:rPr>
          <w:rFonts w:hint="eastAsia" w:ascii="仿宋_GB2312" w:hAnsi="仿宋"/>
          <w:color w:val="auto"/>
        </w:rPr>
        <w:t>万元，占</w:t>
      </w:r>
      <w:r>
        <w:rPr>
          <w:rFonts w:hint="eastAsia" w:ascii="仿宋_GB2312" w:hAnsi="仿宋"/>
          <w:color w:val="auto"/>
          <w:lang w:val="en-US" w:eastAsia="zh-CN"/>
        </w:rPr>
        <w:t>4.81</w:t>
      </w:r>
      <w:r>
        <w:rPr>
          <w:rFonts w:hint="eastAsia" w:ascii="仿宋_GB2312" w:hAnsi="仿宋"/>
          <w:color w:val="auto"/>
        </w:rPr>
        <w:t>%。</w:t>
      </w:r>
    </w:p>
    <w:p>
      <w:pPr>
        <w:spacing w:line="576" w:lineRule="exact"/>
        <w:ind w:firstLine="632" w:firstLineChars="200"/>
        <w:rPr>
          <w:rFonts w:hint="eastAsia" w:ascii="仿宋_GB2312" w:hAnsi="仿宋"/>
          <w:color w:val="auto"/>
        </w:rPr>
      </w:pPr>
    </w:p>
    <w:p>
      <w:pPr>
        <w:spacing w:line="576" w:lineRule="exact"/>
        <w:ind w:firstLine="632" w:firstLineChars="200"/>
        <w:rPr>
          <w:rFonts w:hint="eastAsia" w:ascii="仿宋_GB2312" w:hAnsi="仿宋"/>
          <w:color w:val="auto"/>
        </w:rPr>
      </w:pPr>
    </w:p>
    <w:p>
      <w:pPr>
        <w:spacing w:line="576" w:lineRule="exact"/>
        <w:ind w:firstLine="632" w:firstLineChars="200"/>
        <w:rPr>
          <w:rFonts w:ascii="仿宋_GB2312" w:hAnsi="仿宋"/>
          <w:color w:val="auto"/>
        </w:rPr>
      </w:pPr>
      <w:r>
        <w:rPr>
          <w:rFonts w:hint="eastAsia" w:ascii="仿宋_GB2312" w:hAnsi="仿宋"/>
          <w:color w:val="auto"/>
        </w:rPr>
        <w:t>（图6：一般公共预算财政拨款支出决算结构）（饼状图）</w:t>
      </w:r>
    </w:p>
    <w:p>
      <w:pPr>
        <w:pStyle w:val="18"/>
        <w:ind w:firstLine="632"/>
        <w:rPr>
          <w:color w:val="auto"/>
        </w:rPr>
      </w:pPr>
      <w:r>
        <w:rPr>
          <w:color w:val="auto"/>
        </w:rPr>
        <w:drawing>
          <wp:anchor distT="0" distB="0" distL="114300" distR="114300" simplePos="0" relativeHeight="251664384" behindDoc="0" locked="0" layoutInCell="1" allowOverlap="1">
            <wp:simplePos x="0" y="0"/>
            <wp:positionH relativeFrom="column">
              <wp:posOffset>594360</wp:posOffset>
            </wp:positionH>
            <wp:positionV relativeFrom="paragraph">
              <wp:posOffset>246380</wp:posOffset>
            </wp:positionV>
            <wp:extent cx="4565650" cy="2743200"/>
            <wp:effectExtent l="4445" t="4445" r="14605" b="8255"/>
            <wp:wrapSquare wrapText="bothSides"/>
            <wp:docPr id="6"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pPr>
        <w:spacing w:line="576" w:lineRule="exact"/>
        <w:ind w:firstLine="632" w:firstLineChars="200"/>
        <w:rPr>
          <w:rFonts w:ascii="仿宋" w:hAnsi="仿宋" w:eastAsia="仿宋"/>
          <w:color w:val="auto"/>
        </w:rPr>
      </w:pPr>
      <w:r>
        <w:rPr>
          <w:rFonts w:hint="eastAsia" w:ascii="仿宋" w:hAnsi="仿宋" w:eastAsia="仿宋"/>
          <w:color w:val="auto"/>
        </w:rPr>
        <w:t xml:space="preserve"> </w:t>
      </w:r>
    </w:p>
    <w:p>
      <w:pPr>
        <w:spacing w:line="576" w:lineRule="exact"/>
        <w:ind w:firstLine="632" w:firstLineChars="200"/>
        <w:outlineLvl w:val="2"/>
        <w:rPr>
          <w:rFonts w:ascii="仿宋" w:hAnsi="仿宋" w:eastAsia="仿宋"/>
          <w:b/>
          <w:bCs/>
          <w:color w:val="auto"/>
        </w:rPr>
      </w:pPr>
      <w:bookmarkStart w:id="33" w:name="_Toc15377212"/>
      <w:bookmarkEnd w:id="33"/>
    </w:p>
    <w:p>
      <w:pPr>
        <w:spacing w:line="576" w:lineRule="exact"/>
        <w:ind w:firstLine="632" w:firstLineChars="200"/>
        <w:outlineLvl w:val="2"/>
        <w:rPr>
          <w:rFonts w:ascii="仿宋" w:hAnsi="仿宋" w:eastAsia="仿宋"/>
          <w:b/>
          <w:bCs/>
          <w:color w:val="auto"/>
        </w:rPr>
      </w:pPr>
    </w:p>
    <w:p>
      <w:pPr>
        <w:spacing w:line="576" w:lineRule="exact"/>
        <w:ind w:firstLine="632" w:firstLineChars="200"/>
        <w:outlineLvl w:val="2"/>
        <w:rPr>
          <w:rFonts w:ascii="仿宋" w:hAnsi="仿宋" w:eastAsia="仿宋"/>
          <w:b/>
          <w:bCs/>
          <w:color w:val="auto"/>
        </w:rPr>
      </w:pPr>
    </w:p>
    <w:p>
      <w:pPr>
        <w:spacing w:line="576" w:lineRule="exact"/>
        <w:ind w:firstLine="632" w:firstLineChars="200"/>
        <w:outlineLvl w:val="2"/>
        <w:rPr>
          <w:rFonts w:ascii="仿宋" w:hAnsi="仿宋" w:eastAsia="仿宋"/>
          <w:b/>
          <w:bCs/>
          <w:color w:val="auto"/>
        </w:rPr>
      </w:pPr>
    </w:p>
    <w:p>
      <w:pPr>
        <w:spacing w:line="576" w:lineRule="exact"/>
        <w:outlineLvl w:val="2"/>
        <w:rPr>
          <w:rFonts w:hint="eastAsia" w:ascii="仿宋" w:hAnsi="仿宋" w:eastAsia="仿宋"/>
          <w:b/>
          <w:bCs/>
          <w:color w:val="auto"/>
        </w:rPr>
      </w:pPr>
    </w:p>
    <w:p>
      <w:pPr>
        <w:spacing w:line="576" w:lineRule="exact"/>
        <w:outlineLvl w:val="2"/>
        <w:rPr>
          <w:rFonts w:hint="eastAsia" w:ascii="仿宋" w:hAnsi="仿宋" w:eastAsia="仿宋"/>
          <w:b/>
          <w:bCs/>
          <w:color w:val="auto"/>
        </w:rPr>
      </w:pPr>
    </w:p>
    <w:p>
      <w:pPr>
        <w:spacing w:line="576" w:lineRule="exact"/>
        <w:outlineLvl w:val="2"/>
        <w:rPr>
          <w:rFonts w:hint="eastAsia" w:ascii="仿宋" w:hAnsi="仿宋" w:eastAsia="仿宋"/>
          <w:b/>
          <w:bCs/>
          <w:color w:val="auto"/>
        </w:rPr>
      </w:pPr>
    </w:p>
    <w:p>
      <w:pPr>
        <w:spacing w:line="576" w:lineRule="exact"/>
        <w:ind w:firstLine="316" w:firstLineChars="100"/>
        <w:outlineLvl w:val="2"/>
        <w:rPr>
          <w:rFonts w:ascii="仿宋_GB2312" w:hAnsi="仿宋"/>
          <w:b/>
          <w:bCs/>
          <w:color w:val="auto"/>
        </w:rPr>
      </w:pPr>
      <w:r>
        <w:rPr>
          <w:rFonts w:hint="eastAsia" w:ascii="仿宋" w:hAnsi="仿宋" w:eastAsia="仿宋"/>
          <w:b/>
          <w:bCs/>
          <w:color w:val="auto"/>
        </w:rPr>
        <w:t>（</w:t>
      </w:r>
      <w:r>
        <w:rPr>
          <w:rFonts w:hint="eastAsia" w:ascii="仿宋_GB2312" w:hAnsi="仿宋"/>
          <w:b/>
          <w:bCs/>
          <w:color w:val="auto"/>
        </w:rPr>
        <w:t>三）一般公共预算财政拨款支出决算具体情况</w:t>
      </w:r>
    </w:p>
    <w:p>
      <w:pPr>
        <w:spacing w:line="576" w:lineRule="exact"/>
        <w:ind w:firstLine="632" w:firstLineChars="200"/>
        <w:outlineLvl w:val="2"/>
        <w:rPr>
          <w:rFonts w:ascii="仿宋_GB2312" w:hAnsi="仿宋"/>
          <w:color w:val="auto"/>
        </w:rPr>
      </w:pPr>
      <w:bookmarkStart w:id="34" w:name="_Toc15377444"/>
      <w:bookmarkEnd w:id="34"/>
      <w:bookmarkStart w:id="35" w:name="_Toc15377213"/>
      <w:bookmarkEnd w:id="35"/>
      <w:bookmarkStart w:id="36" w:name="_Toc15378460"/>
      <w:r>
        <w:rPr>
          <w:rFonts w:hint="eastAsia" w:ascii="仿宋_GB2312" w:hAnsi="仿宋"/>
          <w:b/>
          <w:bCs/>
          <w:color w:val="auto"/>
          <w:lang w:eastAsia="zh-CN"/>
        </w:rPr>
        <w:t>2022</w:t>
      </w:r>
      <w:r>
        <w:rPr>
          <w:rFonts w:hint="eastAsia" w:ascii="仿宋_GB2312" w:hAnsi="仿宋"/>
          <w:b/>
          <w:bCs/>
          <w:color w:val="auto"/>
        </w:rPr>
        <w:t>年一般公共预算支出决算数为</w:t>
      </w:r>
      <w:bookmarkEnd w:id="36"/>
      <w:r>
        <w:rPr>
          <w:rFonts w:hint="eastAsia" w:ascii="仿宋_GB2312" w:hAnsi="仿宋"/>
          <w:color w:val="auto"/>
          <w:lang w:val="en-US" w:eastAsia="zh-CN"/>
        </w:rPr>
        <w:t>1936.86</w:t>
      </w:r>
      <w:r>
        <w:rPr>
          <w:rFonts w:hint="eastAsia" w:ascii="仿宋_GB2312" w:hAnsi="仿宋"/>
          <w:b/>
          <w:bCs/>
          <w:color w:val="auto"/>
        </w:rPr>
        <w:t>万元</w:t>
      </w:r>
      <w:r>
        <w:rPr>
          <w:rFonts w:hint="eastAsia" w:ascii="仿宋_GB2312" w:hAnsi="仿宋"/>
          <w:color w:val="auto"/>
        </w:rPr>
        <w:t>，</w:t>
      </w:r>
      <w:r>
        <w:rPr>
          <w:rStyle w:val="23"/>
          <w:rFonts w:hint="eastAsia" w:ascii="仿宋_GB2312" w:hAnsi="仿宋"/>
          <w:color w:val="auto"/>
        </w:rPr>
        <w:t>完成预算100%。其中：</w:t>
      </w:r>
    </w:p>
    <w:p>
      <w:pPr>
        <w:spacing w:line="600" w:lineRule="exact"/>
        <w:ind w:firstLine="632" w:firstLineChars="200"/>
        <w:rPr>
          <w:rStyle w:val="23"/>
          <w:rFonts w:ascii="仿宋" w:hAnsi="仿宋" w:eastAsia="仿宋"/>
          <w:b w:val="0"/>
          <w:color w:val="auto"/>
        </w:rPr>
      </w:pPr>
      <w:r>
        <w:rPr>
          <w:rStyle w:val="23"/>
          <w:rFonts w:hint="eastAsia" w:ascii="仿宋" w:hAnsi="仿宋" w:eastAsia="仿宋"/>
          <w:b w:val="0"/>
          <w:color w:val="auto"/>
        </w:rPr>
        <w:t>1、公共安全支出（类）法院（款）行政运行（项）: 支出决算为</w:t>
      </w:r>
      <w:r>
        <w:rPr>
          <w:rStyle w:val="23"/>
          <w:rFonts w:hint="eastAsia" w:ascii="仿宋" w:hAnsi="仿宋" w:eastAsia="仿宋"/>
          <w:b w:val="0"/>
          <w:color w:val="auto"/>
          <w:lang w:val="en-US" w:eastAsia="zh-CN"/>
        </w:rPr>
        <w:t>1251.98</w:t>
      </w:r>
      <w:r>
        <w:rPr>
          <w:rStyle w:val="23"/>
          <w:rFonts w:hint="eastAsia" w:ascii="仿宋" w:hAnsi="仿宋" w:eastAsia="仿宋"/>
          <w:b w:val="0"/>
          <w:color w:val="auto"/>
        </w:rPr>
        <w:t>万元，完成预算 100 %，与预算持平。</w:t>
      </w:r>
    </w:p>
    <w:p>
      <w:pPr>
        <w:spacing w:line="600" w:lineRule="exact"/>
        <w:ind w:firstLine="632" w:firstLineChars="200"/>
        <w:rPr>
          <w:color w:val="auto"/>
        </w:rPr>
      </w:pPr>
      <w:r>
        <w:rPr>
          <w:rFonts w:hint="eastAsia" w:ascii="仿宋" w:hAnsi="仿宋" w:eastAsia="仿宋"/>
          <w:bCs/>
          <w:color w:val="auto"/>
        </w:rPr>
        <w:t>2.公共安全支出（类）法院（款）一般行政管理事务（项）：</w:t>
      </w:r>
      <w:r>
        <w:rPr>
          <w:rStyle w:val="23"/>
          <w:rFonts w:hint="eastAsia" w:ascii="仿宋" w:hAnsi="仿宋" w:eastAsia="仿宋"/>
          <w:b w:val="0"/>
          <w:color w:val="auto"/>
        </w:rPr>
        <w:t>支出决算为</w:t>
      </w:r>
      <w:r>
        <w:rPr>
          <w:rStyle w:val="23"/>
          <w:rFonts w:hint="eastAsia" w:ascii="仿宋" w:hAnsi="仿宋" w:eastAsia="仿宋"/>
          <w:b w:val="0"/>
          <w:color w:val="auto"/>
          <w:lang w:val="en-US" w:eastAsia="zh-CN"/>
        </w:rPr>
        <w:t>401.97</w:t>
      </w:r>
      <w:r>
        <w:rPr>
          <w:rStyle w:val="23"/>
          <w:rFonts w:hint="eastAsia" w:ascii="仿宋" w:hAnsi="仿宋" w:eastAsia="仿宋"/>
          <w:b w:val="0"/>
          <w:color w:val="auto"/>
        </w:rPr>
        <w:t>万元，完成预算100%，与预算持平。</w:t>
      </w:r>
    </w:p>
    <w:p>
      <w:pPr>
        <w:spacing w:line="600" w:lineRule="exact"/>
        <w:ind w:firstLine="632" w:firstLineChars="200"/>
        <w:rPr>
          <w:rFonts w:ascii="仿宋" w:hAnsi="仿宋" w:eastAsia="仿宋"/>
          <w:bCs/>
          <w:color w:val="auto"/>
        </w:rPr>
      </w:pPr>
      <w:r>
        <w:rPr>
          <w:rFonts w:hint="eastAsia" w:ascii="仿宋" w:hAnsi="仿宋" w:eastAsia="仿宋"/>
          <w:bCs/>
          <w:color w:val="auto"/>
        </w:rPr>
        <w:t>3.公共安全支出（类）法院（款）案件执行（项）：支出决算为</w:t>
      </w:r>
      <w:r>
        <w:rPr>
          <w:rFonts w:hint="eastAsia" w:ascii="仿宋" w:hAnsi="仿宋" w:eastAsia="仿宋"/>
          <w:bCs/>
          <w:color w:val="auto"/>
          <w:lang w:val="en-US" w:eastAsia="zh-CN"/>
        </w:rPr>
        <w:t>30</w:t>
      </w:r>
      <w:r>
        <w:rPr>
          <w:rFonts w:hint="eastAsia" w:ascii="仿宋" w:hAnsi="仿宋" w:eastAsia="仿宋"/>
          <w:bCs/>
          <w:color w:val="auto"/>
        </w:rPr>
        <w:t>万元，完成预算100%，与预算数持平。</w:t>
      </w:r>
    </w:p>
    <w:p>
      <w:pPr>
        <w:spacing w:line="600" w:lineRule="exact"/>
        <w:ind w:firstLine="632" w:firstLineChars="200"/>
        <w:rPr>
          <w:rFonts w:ascii="仿宋" w:hAnsi="仿宋" w:eastAsia="仿宋"/>
          <w:bCs/>
          <w:color w:val="auto"/>
        </w:rPr>
      </w:pPr>
      <w:r>
        <w:rPr>
          <w:rFonts w:hint="eastAsia" w:ascii="仿宋" w:hAnsi="仿宋" w:eastAsia="仿宋"/>
          <w:bCs/>
          <w:color w:val="auto"/>
        </w:rPr>
        <w:t>4.公共安全支出（类）</w:t>
      </w:r>
      <w:r>
        <w:rPr>
          <w:rFonts w:hint="eastAsia" w:ascii="仿宋" w:hAnsi="仿宋" w:eastAsia="仿宋"/>
          <w:bCs/>
          <w:color w:val="auto"/>
          <w:lang w:val="en-US" w:eastAsia="zh-CN"/>
        </w:rPr>
        <w:t>法院</w:t>
      </w:r>
      <w:r>
        <w:rPr>
          <w:rFonts w:hint="eastAsia" w:ascii="仿宋" w:hAnsi="仿宋" w:eastAsia="仿宋"/>
          <w:bCs/>
          <w:color w:val="auto"/>
        </w:rPr>
        <w:t>（款）</w:t>
      </w:r>
      <w:r>
        <w:rPr>
          <w:rFonts w:hint="eastAsia" w:ascii="仿宋" w:hAnsi="仿宋" w:eastAsia="仿宋"/>
          <w:bCs/>
          <w:color w:val="auto"/>
          <w:lang w:val="en-US" w:eastAsia="zh-CN"/>
        </w:rPr>
        <w:t>事业运行</w:t>
      </w:r>
      <w:r>
        <w:rPr>
          <w:rFonts w:hint="eastAsia" w:ascii="仿宋" w:hAnsi="仿宋" w:eastAsia="仿宋"/>
          <w:bCs/>
          <w:color w:val="auto"/>
        </w:rPr>
        <w:t>（项）：支出决算为</w:t>
      </w:r>
      <w:r>
        <w:rPr>
          <w:rFonts w:hint="eastAsia" w:ascii="仿宋" w:hAnsi="仿宋" w:eastAsia="仿宋"/>
          <w:bCs/>
          <w:color w:val="auto"/>
          <w:lang w:val="en-US" w:eastAsia="zh-CN"/>
        </w:rPr>
        <w:t>28.48</w:t>
      </w:r>
      <w:r>
        <w:rPr>
          <w:rFonts w:hint="eastAsia" w:ascii="仿宋" w:hAnsi="仿宋" w:eastAsia="仿宋"/>
          <w:bCs/>
          <w:color w:val="auto"/>
        </w:rPr>
        <w:t>万元，完成预算100%，与预算数持平。</w:t>
      </w:r>
    </w:p>
    <w:p>
      <w:pPr>
        <w:spacing w:line="600" w:lineRule="exact"/>
        <w:ind w:firstLine="632" w:firstLineChars="200"/>
        <w:rPr>
          <w:rStyle w:val="23"/>
          <w:rFonts w:ascii="仿宋" w:hAnsi="仿宋" w:eastAsia="仿宋"/>
          <w:b w:val="0"/>
          <w:color w:val="auto"/>
        </w:rPr>
      </w:pPr>
      <w:r>
        <w:rPr>
          <w:rStyle w:val="23"/>
          <w:rFonts w:hint="eastAsia" w:ascii="仿宋" w:hAnsi="仿宋" w:eastAsia="仿宋"/>
          <w:b w:val="0"/>
          <w:color w:val="auto"/>
        </w:rPr>
        <w:t>5、社会保障和就业支出（类）行政事业单位养老支出（款）机关事业单位基本养老保险缴费支出（项）：支出决算为</w:t>
      </w:r>
      <w:r>
        <w:rPr>
          <w:rStyle w:val="23"/>
          <w:rFonts w:hint="eastAsia" w:ascii="仿宋" w:hAnsi="仿宋" w:eastAsia="仿宋"/>
          <w:b w:val="0"/>
          <w:color w:val="auto"/>
          <w:lang w:val="en-US" w:eastAsia="zh-CN"/>
        </w:rPr>
        <w:t>85,76</w:t>
      </w:r>
      <w:r>
        <w:rPr>
          <w:rStyle w:val="23"/>
          <w:rFonts w:hint="eastAsia" w:ascii="仿宋" w:hAnsi="仿宋" w:eastAsia="仿宋"/>
          <w:b w:val="0"/>
          <w:color w:val="auto"/>
        </w:rPr>
        <w:t>万元，完成预算100%，与预算数持平。</w:t>
      </w:r>
    </w:p>
    <w:p>
      <w:pPr>
        <w:widowControl/>
        <w:spacing w:line="576" w:lineRule="exact"/>
        <w:ind w:firstLine="632"/>
        <w:jc w:val="left"/>
        <w:rPr>
          <w:rStyle w:val="14"/>
          <w:rFonts w:ascii="仿宋" w:hAnsi="仿宋" w:eastAsia="仿宋"/>
          <w:b w:val="0"/>
          <w:color w:val="auto"/>
        </w:rPr>
      </w:pPr>
      <w:r>
        <w:rPr>
          <w:rStyle w:val="14"/>
          <w:rFonts w:hint="eastAsia" w:ascii="仿宋" w:hAnsi="仿宋" w:eastAsia="仿宋"/>
          <w:b w:val="0"/>
          <w:color w:val="auto"/>
          <w:lang w:val="en-US" w:eastAsia="zh-CN"/>
        </w:rPr>
        <w:t>6</w:t>
      </w:r>
      <w:r>
        <w:rPr>
          <w:rStyle w:val="14"/>
          <w:rFonts w:hint="eastAsia" w:ascii="仿宋" w:hAnsi="仿宋" w:eastAsia="仿宋"/>
          <w:b w:val="0"/>
          <w:color w:val="auto"/>
        </w:rPr>
        <w:t>.卫生健康支出（类）行政事业单位医疗（款）行政单位医疗（项）支出决算为44.</w:t>
      </w:r>
      <w:r>
        <w:rPr>
          <w:rStyle w:val="14"/>
          <w:rFonts w:hint="eastAsia" w:ascii="仿宋" w:hAnsi="仿宋" w:eastAsia="仿宋"/>
          <w:b w:val="0"/>
          <w:color w:val="auto"/>
          <w:lang w:val="en-US" w:eastAsia="zh-CN"/>
        </w:rPr>
        <w:t>39</w:t>
      </w:r>
      <w:r>
        <w:rPr>
          <w:rStyle w:val="14"/>
          <w:rFonts w:hint="eastAsia" w:ascii="仿宋" w:hAnsi="仿宋" w:eastAsia="仿宋"/>
          <w:b w:val="0"/>
          <w:color w:val="auto"/>
        </w:rPr>
        <w:t xml:space="preserve">万元，完成预算100% </w:t>
      </w:r>
    </w:p>
    <w:p>
      <w:pPr>
        <w:spacing w:line="600" w:lineRule="exact"/>
        <w:ind w:firstLine="632" w:firstLineChars="200"/>
        <w:rPr>
          <w:rStyle w:val="14"/>
          <w:rFonts w:ascii="仿宋" w:hAnsi="仿宋" w:eastAsia="仿宋"/>
          <w:b w:val="0"/>
          <w:color w:val="auto"/>
        </w:rPr>
      </w:pPr>
      <w:r>
        <w:rPr>
          <w:rStyle w:val="14"/>
          <w:rFonts w:hint="eastAsia" w:ascii="仿宋" w:hAnsi="仿宋" w:eastAsia="仿宋"/>
          <w:b w:val="0"/>
          <w:color w:val="auto"/>
          <w:lang w:val="en-US" w:eastAsia="zh-CN"/>
        </w:rPr>
        <w:t>7</w:t>
      </w:r>
      <w:r>
        <w:rPr>
          <w:rStyle w:val="14"/>
          <w:rFonts w:hint="eastAsia" w:ascii="仿宋" w:hAnsi="仿宋" w:eastAsia="仿宋"/>
          <w:b w:val="0"/>
          <w:color w:val="auto"/>
        </w:rPr>
        <w:t>.卫生健康支出支出（类）行政事业单位医疗（款）事业单位医疗支出（项）</w:t>
      </w:r>
      <w:r>
        <w:rPr>
          <w:rFonts w:hint="eastAsia" w:ascii="仿宋" w:hAnsi="仿宋" w:eastAsia="仿宋"/>
          <w:color w:val="auto"/>
        </w:rPr>
        <w:t>：</w:t>
      </w:r>
      <w:r>
        <w:rPr>
          <w:rStyle w:val="14"/>
          <w:rFonts w:hint="eastAsia" w:ascii="仿宋" w:hAnsi="仿宋" w:eastAsia="仿宋"/>
          <w:b w:val="0"/>
          <w:color w:val="auto"/>
        </w:rPr>
        <w:t>支出决算为</w:t>
      </w:r>
      <w:r>
        <w:rPr>
          <w:rStyle w:val="14"/>
          <w:rFonts w:hint="eastAsia" w:ascii="仿宋" w:hAnsi="仿宋" w:eastAsia="仿宋"/>
          <w:b w:val="0"/>
          <w:color w:val="auto"/>
          <w:lang w:val="en-US" w:eastAsia="zh-CN"/>
        </w:rPr>
        <w:t>1.46</w:t>
      </w:r>
      <w:r>
        <w:rPr>
          <w:rStyle w:val="14"/>
          <w:rFonts w:hint="eastAsia" w:ascii="仿宋" w:hAnsi="仿宋" w:eastAsia="仿宋"/>
          <w:b w:val="0"/>
          <w:color w:val="auto"/>
        </w:rPr>
        <w:t>万元，完成预算100%，与预算数持平。</w:t>
      </w:r>
    </w:p>
    <w:p>
      <w:pPr>
        <w:spacing w:line="600" w:lineRule="exact"/>
        <w:ind w:firstLine="632" w:firstLineChars="200"/>
        <w:rPr>
          <w:rStyle w:val="14"/>
          <w:rFonts w:ascii="仿宋" w:hAnsi="仿宋" w:eastAsia="仿宋"/>
          <w:b w:val="0"/>
          <w:color w:val="auto"/>
        </w:rPr>
      </w:pPr>
      <w:r>
        <w:rPr>
          <w:rStyle w:val="14"/>
          <w:rFonts w:hint="eastAsia" w:ascii="仿宋" w:hAnsi="仿宋" w:eastAsia="仿宋"/>
          <w:b w:val="0"/>
          <w:color w:val="auto"/>
          <w:lang w:val="en-US" w:eastAsia="zh-CN"/>
        </w:rPr>
        <w:t>8</w:t>
      </w:r>
      <w:r>
        <w:rPr>
          <w:rStyle w:val="14"/>
          <w:rFonts w:hint="eastAsia" w:ascii="仿宋" w:hAnsi="仿宋" w:eastAsia="仿宋"/>
          <w:b w:val="0"/>
          <w:color w:val="auto"/>
        </w:rPr>
        <w:t>.住房保障支出（类）住房改革支出（款）住房公积金（项）</w:t>
      </w:r>
      <w:r>
        <w:rPr>
          <w:rFonts w:hint="eastAsia" w:ascii="仿宋" w:hAnsi="仿宋" w:eastAsia="仿宋"/>
          <w:color w:val="auto"/>
        </w:rPr>
        <w:t>：</w:t>
      </w:r>
      <w:r>
        <w:rPr>
          <w:rStyle w:val="14"/>
          <w:rFonts w:hint="eastAsia" w:ascii="仿宋" w:hAnsi="仿宋" w:eastAsia="仿宋"/>
          <w:b w:val="0"/>
          <w:color w:val="auto"/>
        </w:rPr>
        <w:t>支出决算为</w:t>
      </w:r>
      <w:r>
        <w:rPr>
          <w:rStyle w:val="14"/>
          <w:rFonts w:hint="eastAsia" w:ascii="仿宋" w:hAnsi="仿宋" w:eastAsia="仿宋"/>
          <w:b w:val="0"/>
          <w:color w:val="auto"/>
          <w:lang w:val="en-US" w:eastAsia="zh-CN"/>
        </w:rPr>
        <w:t>92.82</w:t>
      </w:r>
      <w:r>
        <w:rPr>
          <w:rStyle w:val="14"/>
          <w:rFonts w:hint="eastAsia" w:ascii="仿宋" w:hAnsi="仿宋" w:eastAsia="仿宋"/>
          <w:b w:val="0"/>
          <w:color w:val="auto"/>
        </w:rPr>
        <w:t>万元，完成预算100%</w:t>
      </w:r>
      <w:r>
        <w:rPr>
          <w:rFonts w:hint="eastAsia" w:ascii="仿宋" w:hAnsi="仿宋" w:eastAsia="仿宋"/>
          <w:color w:val="auto"/>
        </w:rPr>
        <w:t>，</w:t>
      </w:r>
      <w:r>
        <w:rPr>
          <w:rStyle w:val="14"/>
          <w:rFonts w:hint="eastAsia" w:ascii="仿宋" w:hAnsi="仿宋" w:eastAsia="仿宋"/>
          <w:b w:val="0"/>
          <w:color w:val="auto"/>
        </w:rPr>
        <w:t>与预算数持平。</w:t>
      </w:r>
    </w:p>
    <w:p>
      <w:pPr>
        <w:spacing w:line="576" w:lineRule="exact"/>
        <w:ind w:firstLine="640"/>
        <w:outlineLvl w:val="1"/>
        <w:rPr>
          <w:rStyle w:val="24"/>
          <w:color w:val="auto"/>
        </w:rPr>
      </w:pPr>
      <w:bookmarkStart w:id="37" w:name="_Toc15377214"/>
      <w:bookmarkEnd w:id="37"/>
      <w:bookmarkStart w:id="38" w:name="_Toc15396608"/>
      <w:r>
        <w:rPr>
          <w:rFonts w:hint="eastAsia" w:ascii="黑体" w:eastAsia="黑体"/>
          <w:color w:val="auto"/>
        </w:rPr>
        <w:t>六</w:t>
      </w:r>
      <w:bookmarkEnd w:id="38"/>
      <w:r>
        <w:rPr>
          <w:rFonts w:hint="eastAsia" w:ascii="黑体" w:eastAsia="黑体"/>
          <w:b/>
          <w:bCs/>
          <w:color w:val="auto"/>
        </w:rPr>
        <w:t>、一</w:t>
      </w:r>
      <w:r>
        <w:rPr>
          <w:rStyle w:val="24"/>
          <w:rFonts w:hint="eastAsia" w:ascii="黑体" w:eastAsia="黑体"/>
          <w:b w:val="0"/>
          <w:bCs w:val="0"/>
          <w:color w:val="auto"/>
        </w:rPr>
        <w:t>般公共预算财政拨款基本支出决算情况说明</w:t>
      </w:r>
      <w:r>
        <w:rPr>
          <w:rStyle w:val="24"/>
          <w:rFonts w:hint="eastAsia" w:ascii="黑体" w:eastAsia="黑体"/>
          <w:b w:val="0"/>
          <w:bCs w:val="0"/>
          <w:color w:val="auto"/>
        </w:rPr>
        <w:tab/>
      </w:r>
    </w:p>
    <w:p>
      <w:pPr>
        <w:spacing w:line="576" w:lineRule="exact"/>
        <w:ind w:firstLine="645"/>
        <w:rPr>
          <w:rFonts w:ascii="仿宋" w:hAnsi="仿宋" w:eastAsia="仿宋"/>
          <w:color w:val="auto"/>
        </w:rPr>
      </w:pPr>
      <w:r>
        <w:rPr>
          <w:rFonts w:hint="eastAsia" w:ascii="仿宋" w:hAnsi="仿宋" w:eastAsia="仿宋"/>
          <w:color w:val="auto"/>
          <w:lang w:eastAsia="zh-CN"/>
        </w:rPr>
        <w:t>2022</w:t>
      </w:r>
      <w:r>
        <w:rPr>
          <w:rFonts w:hint="eastAsia" w:ascii="仿宋" w:hAnsi="仿宋" w:eastAsia="仿宋"/>
          <w:color w:val="auto"/>
        </w:rPr>
        <w:t>年一般公共预算财政拨款基本支出1</w:t>
      </w:r>
      <w:r>
        <w:rPr>
          <w:rFonts w:hint="eastAsia" w:ascii="仿宋" w:hAnsi="仿宋" w:eastAsia="仿宋"/>
          <w:color w:val="auto"/>
          <w:lang w:val="en-US" w:eastAsia="zh-CN"/>
        </w:rPr>
        <w:t>504.99</w:t>
      </w:r>
      <w:r>
        <w:rPr>
          <w:rFonts w:hint="eastAsia" w:ascii="仿宋" w:hAnsi="仿宋" w:eastAsia="仿宋"/>
          <w:color w:val="auto"/>
        </w:rPr>
        <w:t>万元，其中：</w:t>
      </w:r>
    </w:p>
    <w:p>
      <w:pPr>
        <w:spacing w:line="576" w:lineRule="exact"/>
        <w:ind w:firstLine="645"/>
        <w:rPr>
          <w:rFonts w:ascii="仿宋" w:hAnsi="仿宋" w:eastAsia="仿宋"/>
          <w:color w:val="auto"/>
        </w:rPr>
      </w:pPr>
      <w:r>
        <w:rPr>
          <w:rFonts w:hint="eastAsia" w:ascii="仿宋" w:hAnsi="仿宋" w:eastAsia="仿宋"/>
          <w:color w:val="auto"/>
        </w:rPr>
        <w:t>人员经费</w:t>
      </w:r>
      <w:r>
        <w:rPr>
          <w:rFonts w:hint="eastAsia" w:ascii="仿宋" w:hAnsi="仿宋" w:eastAsia="仿宋"/>
          <w:color w:val="auto"/>
          <w:lang w:val="en-US" w:eastAsia="zh-CN"/>
        </w:rPr>
        <w:t>1069.26</w:t>
      </w:r>
      <w:r>
        <w:rPr>
          <w:rFonts w:hint="eastAsia" w:ascii="仿宋" w:hAnsi="仿宋" w:eastAsia="仿宋"/>
          <w:color w:val="auto"/>
        </w:rPr>
        <w:t>万元，主要包括：基本工资、津贴补贴、奖金、</w:t>
      </w:r>
      <w:r>
        <w:rPr>
          <w:rFonts w:hint="eastAsia" w:ascii="仿宋" w:hAnsi="仿宋" w:eastAsia="仿宋"/>
          <w:color w:val="auto"/>
          <w:lang w:val="en-US" w:eastAsia="zh-CN"/>
        </w:rPr>
        <w:t>绩效工资、</w:t>
      </w:r>
      <w:r>
        <w:rPr>
          <w:rFonts w:hint="eastAsia" w:ascii="仿宋" w:hAnsi="仿宋" w:eastAsia="仿宋"/>
          <w:color w:val="auto"/>
        </w:rPr>
        <w:t>机关事业单位基本养老保险缴费、职业年金缴费、其他社会保障缴费、其他工资福利支出、住房公积金。</w:t>
      </w:r>
    </w:p>
    <w:p>
      <w:pPr>
        <w:spacing w:line="576" w:lineRule="exact"/>
        <w:ind w:firstLine="645"/>
        <w:rPr>
          <w:rFonts w:ascii="仿宋" w:hAnsi="仿宋" w:eastAsia="仿宋"/>
          <w:color w:val="auto"/>
        </w:rPr>
      </w:pPr>
      <w:r>
        <w:rPr>
          <w:rFonts w:hint="eastAsia" w:ascii="仿宋" w:hAnsi="仿宋" w:eastAsia="仿宋"/>
          <w:color w:val="auto"/>
        </w:rPr>
        <w:t xml:space="preserve">  公用经费</w:t>
      </w:r>
      <w:r>
        <w:rPr>
          <w:rFonts w:hint="eastAsia" w:ascii="仿宋" w:hAnsi="仿宋" w:eastAsia="仿宋"/>
          <w:color w:val="auto"/>
          <w:lang w:val="en-US" w:eastAsia="zh-CN"/>
        </w:rPr>
        <w:t>435.63</w:t>
      </w:r>
      <w:r>
        <w:rPr>
          <w:rFonts w:hint="eastAsia" w:ascii="仿宋" w:hAnsi="仿宋" w:eastAsia="仿宋"/>
          <w:color w:val="auto"/>
        </w:rPr>
        <w:t>万元，主要包括：办公费、印刷费、手续费、水费、电费、邮电费、物业管理费、差旅费、维修（护）费、培训费、公务接待费、劳务费、工会经费、福利费、公务用车运行维护费、其他交通费、其他商品和服务支出。</w:t>
      </w:r>
    </w:p>
    <w:p>
      <w:pPr>
        <w:spacing w:line="576" w:lineRule="exact"/>
        <w:ind w:firstLine="640"/>
        <w:outlineLvl w:val="1"/>
        <w:rPr>
          <w:rFonts w:hint="eastAsia" w:ascii="黑体" w:eastAsia="黑体"/>
          <w:color w:val="auto"/>
        </w:rPr>
      </w:pPr>
      <w:r>
        <w:rPr>
          <w:rFonts w:hint="eastAsia" w:ascii="黑体" w:eastAsia="黑体"/>
          <w:color w:val="auto"/>
        </w:rPr>
        <w:t xml:space="preserve"> </w:t>
      </w:r>
      <w:bookmarkStart w:id="39" w:name="_Toc15377215"/>
      <w:bookmarkEnd w:id="39"/>
      <w:bookmarkStart w:id="40" w:name="_Toc15396609"/>
      <w:r>
        <w:rPr>
          <w:rFonts w:hint="eastAsia" w:ascii="黑体" w:eastAsia="黑体"/>
          <w:color w:val="auto"/>
        </w:rPr>
        <w:t>七、</w:t>
      </w:r>
      <w:bookmarkEnd w:id="40"/>
      <w:r>
        <w:rPr>
          <w:rFonts w:hint="eastAsia" w:ascii="黑体" w:eastAsia="黑体"/>
          <w:color w:val="auto"/>
        </w:rPr>
        <w:t>“三公”经费财政拨款支出决算情况说明</w:t>
      </w:r>
    </w:p>
    <w:p>
      <w:pPr>
        <w:spacing w:line="576" w:lineRule="exact"/>
        <w:ind w:firstLine="640"/>
        <w:outlineLvl w:val="2"/>
        <w:rPr>
          <w:rFonts w:ascii="仿宋" w:hAnsi="仿宋" w:eastAsia="仿宋"/>
          <w:b/>
          <w:bCs/>
          <w:color w:val="auto"/>
        </w:rPr>
      </w:pPr>
      <w:bookmarkStart w:id="41" w:name="_Toc15377216"/>
      <w:bookmarkEnd w:id="41"/>
      <w:r>
        <w:rPr>
          <w:rFonts w:hint="eastAsia" w:ascii="仿宋" w:hAnsi="仿宋" w:eastAsia="仿宋"/>
          <w:b/>
          <w:bCs/>
          <w:color w:val="auto"/>
        </w:rPr>
        <w:t>（一）“三公”经费财政拨款支出决算总体情况说明</w:t>
      </w:r>
    </w:p>
    <w:p>
      <w:pPr>
        <w:spacing w:line="576" w:lineRule="exact"/>
        <w:ind w:firstLine="640"/>
        <w:rPr>
          <w:rFonts w:hint="eastAsia" w:ascii="仿宋" w:hAnsi="仿宋" w:eastAsia="仿宋"/>
          <w:color w:val="auto"/>
          <w:lang w:eastAsia="zh-CN"/>
        </w:rPr>
      </w:pPr>
      <w:r>
        <w:rPr>
          <w:rFonts w:hint="eastAsia" w:ascii="仿宋" w:hAnsi="仿宋" w:eastAsia="仿宋"/>
          <w:color w:val="auto"/>
          <w:lang w:eastAsia="zh-CN"/>
        </w:rPr>
        <w:t>2022</w:t>
      </w:r>
      <w:r>
        <w:rPr>
          <w:rFonts w:hint="eastAsia" w:ascii="仿宋" w:hAnsi="仿宋" w:eastAsia="仿宋"/>
          <w:color w:val="auto"/>
        </w:rPr>
        <w:t>年“三公”经费财政拨款支出决算为</w:t>
      </w:r>
      <w:r>
        <w:rPr>
          <w:rFonts w:hint="eastAsia" w:ascii="仿宋" w:hAnsi="仿宋" w:eastAsia="仿宋"/>
          <w:color w:val="auto"/>
          <w:lang w:val="en-US" w:eastAsia="zh-CN"/>
        </w:rPr>
        <w:t>35.92</w:t>
      </w:r>
      <w:r>
        <w:rPr>
          <w:rFonts w:hint="eastAsia" w:ascii="仿宋" w:hAnsi="仿宋" w:eastAsia="仿宋"/>
          <w:color w:val="auto"/>
        </w:rPr>
        <w:t>万元，完成预算</w:t>
      </w:r>
      <w:r>
        <w:rPr>
          <w:rFonts w:hint="eastAsia" w:ascii="仿宋" w:hAnsi="仿宋" w:eastAsia="仿宋"/>
          <w:color w:val="auto"/>
          <w:lang w:val="en-US" w:eastAsia="zh-CN"/>
        </w:rPr>
        <w:t>129</w:t>
      </w:r>
      <w:r>
        <w:rPr>
          <w:rFonts w:hint="eastAsia" w:ascii="仿宋" w:hAnsi="仿宋" w:eastAsia="仿宋"/>
          <w:color w:val="auto"/>
        </w:rPr>
        <w:t>%，</w:t>
      </w:r>
      <w:r>
        <w:rPr>
          <w:rFonts w:hint="eastAsia" w:ascii="仿宋" w:hAnsi="仿宋" w:eastAsia="仿宋"/>
          <w:color w:val="auto"/>
          <w:lang w:val="en-US" w:eastAsia="zh-CN"/>
        </w:rPr>
        <w:t>主要原因是：年初预算中的公务用车运行维护经费不足以覆盖我院警察全年开支，故使用了政法转移支付资金弥补。</w:t>
      </w:r>
    </w:p>
    <w:p>
      <w:pPr>
        <w:spacing w:line="576" w:lineRule="exact"/>
        <w:ind w:firstLine="640"/>
        <w:outlineLvl w:val="2"/>
        <w:rPr>
          <w:rFonts w:ascii="仿宋" w:hAnsi="仿宋" w:eastAsia="仿宋"/>
          <w:b/>
          <w:bCs/>
          <w:color w:val="auto"/>
        </w:rPr>
      </w:pPr>
      <w:bookmarkStart w:id="42" w:name="_Toc15377217"/>
      <w:bookmarkEnd w:id="42"/>
      <w:r>
        <w:rPr>
          <w:rFonts w:hint="eastAsia" w:ascii="仿宋" w:hAnsi="仿宋" w:eastAsia="仿宋"/>
          <w:b/>
          <w:bCs/>
          <w:color w:val="auto"/>
        </w:rPr>
        <w:t>（二）“三公”经费财政拨款支出决算具体情况说明</w:t>
      </w:r>
    </w:p>
    <w:p>
      <w:pPr>
        <w:spacing w:line="576" w:lineRule="exact"/>
        <w:ind w:firstLine="640"/>
        <w:rPr>
          <w:rFonts w:ascii="仿宋" w:hAnsi="仿宋" w:eastAsia="仿宋"/>
          <w:color w:val="auto"/>
        </w:rPr>
      </w:pPr>
      <w:r>
        <w:rPr>
          <w:rFonts w:hint="eastAsia" w:ascii="仿宋" w:hAnsi="仿宋" w:eastAsia="仿宋"/>
          <w:color w:val="auto"/>
          <w:lang w:eastAsia="zh-CN"/>
        </w:rPr>
        <w:t>2022</w:t>
      </w:r>
      <w:r>
        <w:rPr>
          <w:rFonts w:hint="eastAsia" w:ascii="仿宋" w:hAnsi="仿宋" w:eastAsia="仿宋"/>
          <w:color w:val="auto"/>
        </w:rPr>
        <w:t>年“三公”经费财政拨款支出决算中，因公出国（境）费支出决算0万元，占0%；公务用车购置及运行维护费支出决算</w:t>
      </w:r>
      <w:r>
        <w:rPr>
          <w:rFonts w:hint="eastAsia" w:ascii="仿宋" w:hAnsi="仿宋" w:eastAsia="仿宋"/>
          <w:color w:val="auto"/>
          <w:lang w:val="en-US" w:eastAsia="zh-CN"/>
        </w:rPr>
        <w:t>34.33</w:t>
      </w:r>
      <w:r>
        <w:rPr>
          <w:rFonts w:hint="eastAsia" w:ascii="仿宋" w:hAnsi="仿宋" w:eastAsia="仿宋"/>
          <w:color w:val="auto"/>
        </w:rPr>
        <w:t>万元，占9</w:t>
      </w:r>
      <w:r>
        <w:rPr>
          <w:rFonts w:hint="eastAsia" w:ascii="仿宋" w:hAnsi="仿宋" w:eastAsia="仿宋"/>
          <w:color w:val="auto"/>
          <w:lang w:val="en-US" w:eastAsia="zh-CN"/>
        </w:rPr>
        <w:t>5.57</w:t>
      </w:r>
      <w:r>
        <w:rPr>
          <w:rFonts w:hint="eastAsia" w:ascii="仿宋" w:hAnsi="仿宋" w:eastAsia="仿宋"/>
          <w:color w:val="auto"/>
        </w:rPr>
        <w:t>%；公务接待费支出决算</w:t>
      </w:r>
      <w:r>
        <w:rPr>
          <w:rFonts w:hint="eastAsia" w:ascii="仿宋" w:hAnsi="仿宋" w:eastAsia="仿宋"/>
          <w:color w:val="auto"/>
          <w:lang w:val="en-US" w:eastAsia="zh-CN"/>
        </w:rPr>
        <w:t>1.59</w:t>
      </w:r>
      <w:r>
        <w:rPr>
          <w:rFonts w:hint="eastAsia" w:ascii="仿宋" w:hAnsi="仿宋" w:eastAsia="仿宋"/>
          <w:color w:val="auto"/>
        </w:rPr>
        <w:t>万元，占</w:t>
      </w:r>
      <w:r>
        <w:rPr>
          <w:rFonts w:hint="eastAsia" w:ascii="仿宋" w:hAnsi="仿宋" w:eastAsia="仿宋"/>
          <w:color w:val="auto"/>
          <w:lang w:val="en-US" w:eastAsia="zh-CN"/>
        </w:rPr>
        <w:t>4.43</w:t>
      </w:r>
      <w:r>
        <w:rPr>
          <w:rFonts w:hint="eastAsia" w:ascii="仿宋" w:hAnsi="仿宋" w:eastAsia="仿宋"/>
          <w:color w:val="auto"/>
        </w:rPr>
        <w:t>%。具体情况如下：</w:t>
      </w:r>
    </w:p>
    <w:p>
      <w:pPr>
        <w:spacing w:line="576" w:lineRule="exact"/>
        <w:ind w:firstLine="640"/>
        <w:rPr>
          <w:rFonts w:ascii="仿宋" w:hAnsi="仿宋" w:eastAsia="仿宋"/>
          <w:color w:val="auto"/>
        </w:rPr>
      </w:pPr>
      <w:r>
        <w:rPr>
          <w:rFonts w:hint="eastAsia" w:ascii="仿宋" w:hAnsi="仿宋" w:eastAsia="仿宋"/>
          <w:color w:val="auto"/>
        </w:rPr>
        <w:t>（图7：“三公”经费财政拨款支出结构）（饼状图）</w:t>
      </w:r>
    </w:p>
    <w:p>
      <w:pPr>
        <w:pStyle w:val="18"/>
        <w:ind w:firstLine="632"/>
        <w:rPr>
          <w:rFonts w:ascii="仿宋" w:hAnsi="仿宋" w:eastAsia="仿宋"/>
          <w:color w:val="auto"/>
        </w:rPr>
      </w:pPr>
    </w:p>
    <w:p>
      <w:pPr>
        <w:pStyle w:val="18"/>
        <w:ind w:firstLine="632"/>
        <w:rPr>
          <w:rFonts w:ascii="仿宋" w:hAnsi="仿宋" w:eastAsia="仿宋"/>
          <w:color w:val="auto"/>
        </w:rPr>
      </w:pPr>
    </w:p>
    <w:p>
      <w:pPr>
        <w:pStyle w:val="18"/>
        <w:ind w:firstLine="632"/>
        <w:rPr>
          <w:rFonts w:ascii="仿宋" w:hAnsi="仿宋" w:eastAsia="仿宋"/>
          <w:color w:val="auto"/>
        </w:rPr>
      </w:pPr>
    </w:p>
    <w:p>
      <w:pPr>
        <w:pStyle w:val="18"/>
        <w:ind w:firstLine="632"/>
        <w:rPr>
          <w:rFonts w:ascii="仿宋" w:hAnsi="仿宋" w:eastAsia="仿宋"/>
          <w:color w:val="auto"/>
        </w:rPr>
      </w:pPr>
      <w:r>
        <w:rPr>
          <w:color w:val="auto"/>
        </w:rPr>
        <w:drawing>
          <wp:anchor distT="0" distB="0" distL="114300" distR="114300" simplePos="0" relativeHeight="251665408" behindDoc="0" locked="0" layoutInCell="1" allowOverlap="1">
            <wp:simplePos x="0" y="0"/>
            <wp:positionH relativeFrom="column">
              <wp:posOffset>565150</wp:posOffset>
            </wp:positionH>
            <wp:positionV relativeFrom="paragraph">
              <wp:posOffset>1270</wp:posOffset>
            </wp:positionV>
            <wp:extent cx="4565650" cy="2743200"/>
            <wp:effectExtent l="4445" t="4445" r="14605" b="8255"/>
            <wp:wrapSquare wrapText="bothSides"/>
            <wp:docPr id="7"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pStyle w:val="18"/>
        <w:ind w:firstLine="632"/>
        <w:rPr>
          <w:rFonts w:ascii="仿宋" w:hAnsi="仿宋" w:eastAsia="仿宋"/>
          <w:color w:val="auto"/>
        </w:rPr>
      </w:pPr>
    </w:p>
    <w:p>
      <w:pPr>
        <w:pStyle w:val="18"/>
        <w:ind w:firstLine="632"/>
        <w:rPr>
          <w:rFonts w:ascii="仿宋" w:hAnsi="仿宋" w:eastAsia="仿宋"/>
          <w:color w:val="auto"/>
        </w:rPr>
      </w:pPr>
    </w:p>
    <w:p>
      <w:pPr>
        <w:pStyle w:val="18"/>
        <w:ind w:firstLine="632"/>
        <w:rPr>
          <w:rFonts w:ascii="仿宋" w:hAnsi="仿宋" w:eastAsia="仿宋"/>
          <w:color w:val="auto"/>
        </w:rPr>
      </w:pPr>
    </w:p>
    <w:p>
      <w:pPr>
        <w:pStyle w:val="18"/>
        <w:ind w:firstLine="632"/>
        <w:rPr>
          <w:rFonts w:ascii="仿宋" w:hAnsi="仿宋" w:eastAsia="仿宋"/>
          <w:color w:val="auto"/>
        </w:rPr>
      </w:pPr>
    </w:p>
    <w:p>
      <w:pPr>
        <w:spacing w:line="576" w:lineRule="exact"/>
        <w:ind w:firstLine="640"/>
        <w:rPr>
          <w:rFonts w:hint="eastAsia" w:ascii="仿宋" w:hAnsi="仿宋" w:eastAsia="仿宋"/>
          <w:b/>
          <w:bCs/>
          <w:color w:val="auto"/>
        </w:rPr>
      </w:pPr>
    </w:p>
    <w:p>
      <w:pPr>
        <w:spacing w:line="576" w:lineRule="exact"/>
        <w:ind w:firstLine="640"/>
        <w:rPr>
          <w:rFonts w:hint="eastAsia" w:ascii="仿宋" w:hAnsi="仿宋" w:eastAsia="仿宋"/>
          <w:b/>
          <w:bCs/>
          <w:color w:val="auto"/>
        </w:rPr>
      </w:pPr>
    </w:p>
    <w:p>
      <w:pPr>
        <w:spacing w:line="576" w:lineRule="exact"/>
        <w:ind w:firstLine="640"/>
        <w:rPr>
          <w:rFonts w:hint="eastAsia" w:ascii="仿宋" w:hAnsi="仿宋" w:eastAsia="仿宋"/>
          <w:b/>
          <w:bCs/>
          <w:color w:val="auto"/>
        </w:rPr>
      </w:pPr>
    </w:p>
    <w:p>
      <w:pPr>
        <w:spacing w:line="576" w:lineRule="exact"/>
        <w:ind w:firstLine="632" w:firstLineChars="200"/>
        <w:rPr>
          <w:rFonts w:ascii="仿宋" w:hAnsi="仿宋" w:eastAsia="仿宋"/>
          <w:color w:val="auto"/>
        </w:rPr>
      </w:pPr>
      <w:r>
        <w:rPr>
          <w:rFonts w:hint="eastAsia" w:ascii="仿宋" w:hAnsi="仿宋" w:eastAsia="仿宋"/>
          <w:b/>
          <w:bCs/>
          <w:color w:val="auto"/>
        </w:rPr>
        <w:t>1.因公出国（境）经费支出</w:t>
      </w:r>
      <w:r>
        <w:rPr>
          <w:rFonts w:hint="eastAsia" w:ascii="仿宋" w:hAnsi="仿宋" w:eastAsia="仿宋"/>
          <w:color w:val="auto"/>
        </w:rPr>
        <w:t>0万元，</w:t>
      </w:r>
      <w:r>
        <w:rPr>
          <w:rStyle w:val="23"/>
          <w:rFonts w:hint="eastAsia" w:ascii="仿宋" w:hAnsi="仿宋" w:eastAsia="仿宋"/>
          <w:b w:val="0"/>
          <w:bCs w:val="0"/>
          <w:color w:val="auto"/>
        </w:rPr>
        <w:t>完成预算0%。</w:t>
      </w:r>
      <w:r>
        <w:rPr>
          <w:rFonts w:hint="eastAsia" w:ascii="仿宋" w:hAnsi="仿宋" w:eastAsia="仿宋"/>
          <w:color w:val="auto"/>
        </w:rPr>
        <w:t>全年安排因公出国（境）团组0次，出国（境）0人。因公出国（境）支出决算与</w:t>
      </w:r>
      <w:r>
        <w:rPr>
          <w:rFonts w:hint="eastAsia" w:ascii="仿宋" w:hAnsi="仿宋" w:eastAsia="仿宋"/>
          <w:color w:val="auto"/>
          <w:lang w:eastAsia="zh-CN"/>
        </w:rPr>
        <w:t>2021</w:t>
      </w:r>
      <w:r>
        <w:rPr>
          <w:rFonts w:hint="eastAsia" w:ascii="仿宋" w:hAnsi="仿宋" w:eastAsia="仿宋"/>
          <w:color w:val="auto"/>
        </w:rPr>
        <w:t>年持平。</w:t>
      </w:r>
    </w:p>
    <w:p>
      <w:pPr>
        <w:spacing w:line="576" w:lineRule="exact"/>
        <w:ind w:firstLine="640"/>
        <w:rPr>
          <w:rFonts w:ascii="仿宋" w:hAnsi="仿宋" w:eastAsia="仿宋"/>
          <w:b/>
          <w:bCs/>
          <w:color w:val="auto"/>
        </w:rPr>
      </w:pPr>
      <w:r>
        <w:rPr>
          <w:rFonts w:hint="eastAsia" w:ascii="仿宋" w:hAnsi="仿宋" w:eastAsia="仿宋"/>
          <w:b/>
          <w:bCs/>
          <w:color w:val="auto"/>
        </w:rPr>
        <w:t>2.公务用车购置及运行维护费支出</w:t>
      </w:r>
      <w:r>
        <w:rPr>
          <w:rFonts w:hint="eastAsia" w:ascii="仿宋" w:hAnsi="仿宋" w:eastAsia="仿宋"/>
          <w:color w:val="auto"/>
          <w:lang w:val="en-US" w:eastAsia="zh-CN"/>
        </w:rPr>
        <w:t>34.33</w:t>
      </w:r>
      <w:r>
        <w:rPr>
          <w:rFonts w:hint="eastAsia" w:ascii="仿宋" w:hAnsi="仿宋" w:eastAsia="仿宋"/>
          <w:color w:val="auto"/>
        </w:rPr>
        <w:t>万元,</w:t>
      </w:r>
      <w:r>
        <w:rPr>
          <w:rStyle w:val="23"/>
          <w:rFonts w:hint="eastAsia" w:ascii="仿宋" w:hAnsi="仿宋" w:eastAsia="仿宋"/>
          <w:b w:val="0"/>
          <w:bCs w:val="0"/>
          <w:color w:val="auto"/>
        </w:rPr>
        <w:t>完成预算</w:t>
      </w:r>
      <w:r>
        <w:rPr>
          <w:rStyle w:val="23"/>
          <w:rFonts w:hint="eastAsia" w:ascii="仿宋" w:hAnsi="仿宋" w:eastAsia="仿宋"/>
          <w:b w:val="0"/>
          <w:bCs w:val="0"/>
          <w:color w:val="auto"/>
          <w:lang w:val="en-US" w:eastAsia="zh-CN"/>
        </w:rPr>
        <w:t>156</w:t>
      </w:r>
      <w:r>
        <w:rPr>
          <w:rStyle w:val="23"/>
          <w:rFonts w:hint="eastAsia" w:ascii="仿宋" w:hAnsi="仿宋" w:eastAsia="仿宋"/>
          <w:b w:val="0"/>
          <w:bCs w:val="0"/>
          <w:color w:val="auto"/>
        </w:rPr>
        <w:t>%。</w:t>
      </w:r>
      <w:r>
        <w:rPr>
          <w:rFonts w:hint="eastAsia" w:ascii="仿宋" w:hAnsi="仿宋" w:eastAsia="仿宋"/>
          <w:color w:val="auto"/>
        </w:rPr>
        <w:t>公务用车购置及运行维护费支出决算比</w:t>
      </w:r>
      <w:r>
        <w:rPr>
          <w:rFonts w:hint="eastAsia" w:ascii="仿宋" w:hAnsi="仿宋" w:eastAsia="仿宋"/>
          <w:color w:val="auto"/>
          <w:lang w:eastAsia="zh-CN"/>
        </w:rPr>
        <w:t>2021</w:t>
      </w:r>
      <w:r>
        <w:rPr>
          <w:rFonts w:hint="eastAsia" w:ascii="仿宋" w:hAnsi="仿宋" w:eastAsia="仿宋"/>
          <w:color w:val="auto"/>
        </w:rPr>
        <w:t>年</w:t>
      </w:r>
      <w:r>
        <w:rPr>
          <w:rFonts w:hint="eastAsia" w:ascii="仿宋" w:hAnsi="仿宋" w:eastAsia="仿宋"/>
          <w:color w:val="auto"/>
          <w:lang w:val="en-US" w:eastAsia="zh-CN"/>
        </w:rPr>
        <w:t>减少46.49</w:t>
      </w:r>
      <w:r>
        <w:rPr>
          <w:rFonts w:hint="eastAsia" w:ascii="仿宋" w:hAnsi="仿宋" w:eastAsia="仿宋"/>
          <w:color w:val="auto"/>
        </w:rPr>
        <w:t>万元，</w:t>
      </w:r>
      <w:r>
        <w:rPr>
          <w:rFonts w:hint="eastAsia" w:ascii="仿宋" w:hAnsi="仿宋" w:eastAsia="仿宋"/>
          <w:color w:val="auto"/>
          <w:lang w:val="en-US" w:eastAsia="zh-CN"/>
        </w:rPr>
        <w:t>减少57.5</w:t>
      </w:r>
      <w:r>
        <w:rPr>
          <w:rFonts w:hint="eastAsia" w:ascii="仿宋" w:hAnsi="仿宋" w:eastAsia="仿宋"/>
          <w:color w:val="auto"/>
        </w:rPr>
        <w:t>%。主要原因是本年</w:t>
      </w:r>
      <w:r>
        <w:rPr>
          <w:rFonts w:hint="eastAsia" w:ascii="仿宋" w:hAnsi="仿宋" w:eastAsia="仿宋"/>
          <w:color w:val="auto"/>
          <w:lang w:val="en-US" w:eastAsia="zh-CN"/>
        </w:rPr>
        <w:t>未购置新警车</w:t>
      </w:r>
      <w:r>
        <w:rPr>
          <w:rFonts w:hint="eastAsia" w:ascii="仿宋" w:hAnsi="仿宋" w:eastAsia="仿宋"/>
          <w:color w:val="auto"/>
        </w:rPr>
        <w:t>。</w:t>
      </w:r>
    </w:p>
    <w:p>
      <w:pPr>
        <w:spacing w:line="576" w:lineRule="exact"/>
        <w:ind w:firstLine="632" w:firstLineChars="200"/>
        <w:rPr>
          <w:rFonts w:ascii="仿宋" w:hAnsi="仿宋" w:eastAsia="仿宋"/>
          <w:b/>
          <w:bCs/>
          <w:color w:val="auto"/>
        </w:rPr>
      </w:pPr>
      <w:r>
        <w:rPr>
          <w:rFonts w:hint="eastAsia" w:ascii="仿宋" w:hAnsi="仿宋" w:eastAsia="仿宋"/>
          <w:color w:val="auto"/>
        </w:rPr>
        <w:t>其中：</w:t>
      </w:r>
      <w:r>
        <w:rPr>
          <w:rFonts w:hint="eastAsia" w:ascii="仿宋" w:hAnsi="仿宋" w:eastAsia="仿宋"/>
          <w:b/>
          <w:bCs/>
          <w:color w:val="auto"/>
        </w:rPr>
        <w:t>公务用车购置支出</w:t>
      </w:r>
      <w:r>
        <w:rPr>
          <w:rFonts w:hint="eastAsia" w:ascii="仿宋" w:hAnsi="仿宋" w:eastAsia="仿宋"/>
          <w:color w:val="auto"/>
          <w:lang w:val="en-US" w:eastAsia="zh-CN"/>
        </w:rPr>
        <w:t>0</w:t>
      </w:r>
      <w:r>
        <w:rPr>
          <w:rFonts w:hint="eastAsia" w:ascii="仿宋" w:hAnsi="仿宋" w:eastAsia="仿宋"/>
          <w:color w:val="auto"/>
        </w:rPr>
        <w:t>万元。全年按规定更新购置公务用车</w:t>
      </w:r>
      <w:r>
        <w:rPr>
          <w:rFonts w:hint="eastAsia" w:ascii="仿宋" w:hAnsi="仿宋" w:eastAsia="仿宋"/>
          <w:color w:val="auto"/>
          <w:lang w:val="en-US" w:eastAsia="zh-CN"/>
        </w:rPr>
        <w:t>0</w:t>
      </w:r>
      <w:r>
        <w:rPr>
          <w:rFonts w:hint="eastAsia" w:ascii="仿宋" w:hAnsi="仿宋" w:eastAsia="仿宋"/>
          <w:color w:val="auto"/>
        </w:rPr>
        <w:t>辆，其中：轿车</w:t>
      </w:r>
      <w:r>
        <w:rPr>
          <w:rFonts w:hint="eastAsia" w:ascii="仿宋" w:hAnsi="仿宋" w:eastAsia="仿宋"/>
          <w:color w:val="auto"/>
          <w:lang w:val="en-US" w:eastAsia="zh-CN"/>
        </w:rPr>
        <w:t>0</w:t>
      </w:r>
      <w:r>
        <w:rPr>
          <w:rFonts w:hint="eastAsia" w:ascii="仿宋" w:hAnsi="仿宋" w:eastAsia="仿宋"/>
          <w:color w:val="auto"/>
        </w:rPr>
        <w:t>辆、金额</w:t>
      </w:r>
      <w:r>
        <w:rPr>
          <w:rFonts w:hint="eastAsia" w:ascii="仿宋" w:hAnsi="仿宋" w:eastAsia="仿宋"/>
          <w:color w:val="auto"/>
          <w:lang w:val="en-US" w:eastAsia="zh-CN"/>
        </w:rPr>
        <w:t>0</w:t>
      </w:r>
      <w:r>
        <w:rPr>
          <w:rFonts w:hint="eastAsia" w:ascii="仿宋" w:hAnsi="仿宋" w:eastAsia="仿宋"/>
          <w:color w:val="auto"/>
        </w:rPr>
        <w:t>万元，特种专业用车</w:t>
      </w:r>
      <w:r>
        <w:rPr>
          <w:rFonts w:hint="eastAsia" w:ascii="仿宋" w:hAnsi="仿宋" w:eastAsia="仿宋"/>
          <w:color w:val="auto"/>
          <w:lang w:val="en-US" w:eastAsia="zh-CN"/>
        </w:rPr>
        <w:t>0</w:t>
      </w:r>
      <w:r>
        <w:rPr>
          <w:rFonts w:hint="eastAsia" w:ascii="仿宋" w:hAnsi="仿宋" w:eastAsia="仿宋"/>
          <w:color w:val="auto"/>
        </w:rPr>
        <w:t>辆、金额</w:t>
      </w:r>
      <w:r>
        <w:rPr>
          <w:rFonts w:hint="eastAsia" w:ascii="仿宋" w:hAnsi="仿宋" w:eastAsia="仿宋"/>
          <w:color w:val="auto"/>
          <w:lang w:val="en-US" w:eastAsia="zh-CN"/>
        </w:rPr>
        <w:t>0</w:t>
      </w:r>
      <w:r>
        <w:rPr>
          <w:rFonts w:hint="eastAsia" w:ascii="仿宋" w:hAnsi="仿宋" w:eastAsia="仿宋"/>
          <w:color w:val="auto"/>
        </w:rPr>
        <w:t>万元，主要用于办案。</w:t>
      </w:r>
      <w:r>
        <w:rPr>
          <w:rFonts w:hint="eastAsia" w:ascii="仿宋" w:hAnsi="仿宋" w:eastAsia="仿宋"/>
          <w:color w:val="auto"/>
        </w:rPr>
        <w:t>截至</w:t>
      </w:r>
      <w:r>
        <w:rPr>
          <w:rFonts w:hint="eastAsia" w:ascii="仿宋" w:hAnsi="仿宋" w:eastAsia="仿宋"/>
          <w:color w:val="auto"/>
          <w:lang w:eastAsia="zh-CN"/>
        </w:rPr>
        <w:t>2022</w:t>
      </w:r>
      <w:r>
        <w:rPr>
          <w:rFonts w:hint="eastAsia" w:ascii="仿宋" w:hAnsi="仿宋" w:eastAsia="仿宋"/>
          <w:color w:val="auto"/>
        </w:rPr>
        <w:t>年12月底，单位共有公务用车1</w:t>
      </w:r>
      <w:r>
        <w:rPr>
          <w:rFonts w:hint="eastAsia" w:ascii="仿宋" w:hAnsi="仿宋" w:eastAsia="仿宋"/>
          <w:color w:val="auto"/>
          <w:lang w:val="en-US" w:eastAsia="zh-CN"/>
        </w:rPr>
        <w:t>3</w:t>
      </w:r>
      <w:r>
        <w:rPr>
          <w:rFonts w:hint="eastAsia" w:ascii="仿宋" w:hAnsi="仿宋" w:eastAsia="仿宋"/>
          <w:color w:val="auto"/>
        </w:rPr>
        <w:t>辆，其中：轿车</w:t>
      </w:r>
      <w:r>
        <w:rPr>
          <w:rFonts w:hint="eastAsia" w:ascii="仿宋" w:hAnsi="仿宋" w:eastAsia="仿宋"/>
          <w:color w:val="auto"/>
          <w:lang w:val="en-US" w:eastAsia="zh-CN"/>
        </w:rPr>
        <w:t>11</w:t>
      </w:r>
      <w:r>
        <w:rPr>
          <w:rFonts w:hint="eastAsia" w:ascii="仿宋" w:hAnsi="仿宋" w:eastAsia="仿宋"/>
          <w:color w:val="auto"/>
        </w:rPr>
        <w:t>辆、特种专业用车2辆。</w:t>
      </w:r>
    </w:p>
    <w:p>
      <w:pPr>
        <w:spacing w:line="576" w:lineRule="exact"/>
        <w:ind w:firstLine="640"/>
        <w:rPr>
          <w:rFonts w:ascii="仿宋" w:hAnsi="仿宋" w:eastAsia="仿宋"/>
          <w:color w:val="auto"/>
        </w:rPr>
      </w:pPr>
      <w:r>
        <w:rPr>
          <w:rFonts w:hint="eastAsia" w:ascii="仿宋" w:hAnsi="仿宋" w:eastAsia="仿宋"/>
          <w:b/>
          <w:bCs/>
          <w:color w:val="auto"/>
        </w:rPr>
        <w:t>公务用车运行维护费支出</w:t>
      </w:r>
      <w:r>
        <w:rPr>
          <w:rFonts w:hint="eastAsia" w:ascii="仿宋" w:hAnsi="仿宋" w:eastAsia="仿宋"/>
          <w:color w:val="auto"/>
          <w:lang w:val="en-US" w:eastAsia="zh-CN"/>
        </w:rPr>
        <w:t>34.33</w:t>
      </w:r>
      <w:r>
        <w:rPr>
          <w:rFonts w:hint="eastAsia" w:ascii="仿宋" w:hAnsi="仿宋" w:eastAsia="仿宋"/>
          <w:color w:val="auto"/>
        </w:rPr>
        <w:t>万元。主要用于办公办案等所需的公务用车燃料费、维修费、过路过桥费、保险费等支出。</w:t>
      </w:r>
    </w:p>
    <w:p>
      <w:pPr>
        <w:spacing w:line="576" w:lineRule="exact"/>
        <w:ind w:firstLine="640"/>
        <w:rPr>
          <w:rFonts w:hint="default" w:ascii="仿宋" w:hAnsi="仿宋" w:eastAsia="仿宋"/>
          <w:color w:val="auto"/>
          <w:lang w:val="en-US"/>
        </w:rPr>
      </w:pPr>
      <w:r>
        <w:rPr>
          <w:rFonts w:hint="eastAsia" w:ascii="仿宋" w:hAnsi="仿宋" w:eastAsia="仿宋"/>
          <w:b/>
          <w:bCs/>
          <w:color w:val="auto"/>
        </w:rPr>
        <w:t>3.公务接待费支出</w:t>
      </w:r>
      <w:r>
        <w:rPr>
          <w:rFonts w:hint="eastAsia" w:ascii="仿宋" w:hAnsi="仿宋" w:eastAsia="仿宋"/>
          <w:color w:val="auto"/>
          <w:lang w:val="en-US" w:eastAsia="zh-CN"/>
        </w:rPr>
        <w:t>1.59</w:t>
      </w:r>
      <w:r>
        <w:rPr>
          <w:rFonts w:hint="eastAsia" w:ascii="仿宋" w:hAnsi="仿宋" w:eastAsia="仿宋"/>
          <w:color w:val="auto"/>
        </w:rPr>
        <w:t>万元，</w:t>
      </w:r>
      <w:r>
        <w:rPr>
          <w:rStyle w:val="23"/>
          <w:rFonts w:hint="eastAsia" w:ascii="仿宋" w:hAnsi="仿宋" w:eastAsia="仿宋"/>
          <w:b w:val="0"/>
          <w:bCs w:val="0"/>
          <w:color w:val="auto"/>
        </w:rPr>
        <w:t>完成预算</w:t>
      </w:r>
      <w:r>
        <w:rPr>
          <w:rStyle w:val="23"/>
          <w:rFonts w:hint="eastAsia" w:ascii="仿宋" w:hAnsi="仿宋" w:eastAsia="仿宋"/>
          <w:b w:val="0"/>
          <w:bCs w:val="0"/>
          <w:color w:val="auto"/>
          <w:lang w:val="en-US" w:eastAsia="zh-CN"/>
        </w:rPr>
        <w:t>27.31</w:t>
      </w:r>
      <w:r>
        <w:rPr>
          <w:rStyle w:val="23"/>
          <w:rFonts w:hint="eastAsia" w:ascii="仿宋" w:hAnsi="仿宋" w:eastAsia="仿宋"/>
          <w:b w:val="0"/>
          <w:bCs w:val="0"/>
          <w:color w:val="auto"/>
        </w:rPr>
        <w:t>%。</w:t>
      </w:r>
      <w:r>
        <w:rPr>
          <w:rFonts w:hint="eastAsia" w:ascii="仿宋" w:hAnsi="仿宋" w:eastAsia="仿宋"/>
          <w:color w:val="auto"/>
        </w:rPr>
        <w:t>公务接待费支出决算比</w:t>
      </w:r>
      <w:r>
        <w:rPr>
          <w:rFonts w:hint="eastAsia" w:ascii="仿宋" w:hAnsi="仿宋" w:eastAsia="仿宋"/>
          <w:color w:val="auto"/>
          <w:lang w:eastAsia="zh-CN"/>
        </w:rPr>
        <w:t>2021</w:t>
      </w:r>
      <w:r>
        <w:rPr>
          <w:rFonts w:hint="eastAsia" w:ascii="仿宋" w:hAnsi="仿宋" w:eastAsia="仿宋"/>
          <w:color w:val="auto"/>
        </w:rPr>
        <w:t>年</w:t>
      </w:r>
      <w:r>
        <w:rPr>
          <w:rFonts w:hint="eastAsia" w:ascii="仿宋" w:hAnsi="仿宋" w:eastAsia="仿宋"/>
          <w:color w:val="auto"/>
          <w:lang w:eastAsia="zh-CN"/>
        </w:rPr>
        <w:t>减少</w:t>
      </w:r>
      <w:r>
        <w:rPr>
          <w:rFonts w:hint="eastAsia" w:ascii="仿宋" w:hAnsi="仿宋" w:eastAsia="仿宋"/>
          <w:color w:val="auto"/>
          <w:lang w:val="en-US" w:eastAsia="zh-CN"/>
        </w:rPr>
        <w:t>4.21</w:t>
      </w:r>
      <w:r>
        <w:rPr>
          <w:rFonts w:hint="eastAsia" w:ascii="仿宋" w:hAnsi="仿宋" w:eastAsia="仿宋"/>
          <w:color w:val="auto"/>
        </w:rPr>
        <w:t>万元，</w:t>
      </w:r>
      <w:r>
        <w:rPr>
          <w:rFonts w:hint="eastAsia" w:ascii="仿宋" w:hAnsi="仿宋" w:eastAsia="仿宋"/>
          <w:color w:val="auto"/>
          <w:lang w:val="en-US" w:eastAsia="zh-CN"/>
        </w:rPr>
        <w:t>减少72.5</w:t>
      </w:r>
      <w:r>
        <w:rPr>
          <w:rFonts w:hint="eastAsia" w:ascii="仿宋" w:hAnsi="仿宋" w:eastAsia="仿宋"/>
          <w:color w:val="auto"/>
        </w:rPr>
        <w:t>%。</w:t>
      </w:r>
      <w:r>
        <w:rPr>
          <w:rFonts w:hint="eastAsia" w:ascii="仿宋" w:hAnsi="仿宋" w:eastAsia="仿宋"/>
          <w:color w:val="auto"/>
        </w:rPr>
        <w:t>主要原因是</w:t>
      </w:r>
      <w:r>
        <w:rPr>
          <w:rFonts w:hint="eastAsia" w:ascii="仿宋" w:hAnsi="仿宋" w:eastAsia="仿宋"/>
          <w:color w:val="auto"/>
          <w:lang w:eastAsia="zh-CN"/>
        </w:rPr>
        <w:t>：</w:t>
      </w:r>
      <w:r>
        <w:rPr>
          <w:rFonts w:hint="eastAsia" w:ascii="仿宋" w:hAnsi="仿宋" w:eastAsia="仿宋"/>
          <w:color w:val="auto"/>
          <w:lang w:val="en-US" w:eastAsia="zh-CN"/>
        </w:rPr>
        <w:t>受疫情影响，本年接待需求减少。</w:t>
      </w:r>
    </w:p>
    <w:p>
      <w:pPr>
        <w:spacing w:line="576" w:lineRule="exact"/>
        <w:ind w:firstLine="632" w:firstLineChars="200"/>
        <w:rPr>
          <w:rFonts w:ascii="仿宋" w:hAnsi="仿宋" w:eastAsia="仿宋"/>
          <w:color w:val="auto"/>
        </w:rPr>
      </w:pPr>
      <w:r>
        <w:rPr>
          <w:rFonts w:hint="eastAsia" w:ascii="仿宋" w:hAnsi="仿宋" w:eastAsia="仿宋"/>
          <w:color w:val="auto"/>
        </w:rPr>
        <w:t>主要用于执行公务、开展业务活动开支的交通费、住宿费、用餐费等。国内公务接待</w:t>
      </w:r>
      <w:r>
        <w:rPr>
          <w:rFonts w:hint="eastAsia" w:ascii="仿宋" w:hAnsi="仿宋" w:eastAsia="仿宋"/>
          <w:color w:val="auto"/>
          <w:lang w:val="en-US" w:eastAsia="zh-CN"/>
        </w:rPr>
        <w:t>20</w:t>
      </w:r>
      <w:r>
        <w:rPr>
          <w:rFonts w:hint="eastAsia" w:ascii="仿宋" w:hAnsi="仿宋" w:eastAsia="仿宋"/>
          <w:color w:val="auto"/>
        </w:rPr>
        <w:t>批次，</w:t>
      </w:r>
      <w:r>
        <w:rPr>
          <w:rFonts w:hint="eastAsia" w:ascii="仿宋" w:hAnsi="仿宋" w:eastAsia="仿宋"/>
          <w:color w:val="auto"/>
          <w:lang w:val="en-US" w:eastAsia="zh-CN"/>
        </w:rPr>
        <w:t>200</w:t>
      </w:r>
      <w:r>
        <w:rPr>
          <w:rFonts w:hint="eastAsia" w:ascii="仿宋" w:hAnsi="仿宋" w:eastAsia="仿宋"/>
          <w:color w:val="auto"/>
        </w:rPr>
        <w:t>人次（不包括陪同人员），共计支出</w:t>
      </w:r>
      <w:r>
        <w:rPr>
          <w:rFonts w:hint="eastAsia" w:ascii="仿宋" w:hAnsi="仿宋" w:eastAsia="仿宋"/>
          <w:color w:val="auto"/>
          <w:lang w:val="en-US" w:eastAsia="zh-CN"/>
        </w:rPr>
        <w:t>1.59</w:t>
      </w:r>
      <w:r>
        <w:rPr>
          <w:rFonts w:hint="eastAsia" w:ascii="仿宋" w:hAnsi="仿宋" w:eastAsia="仿宋"/>
          <w:color w:val="auto"/>
        </w:rPr>
        <w:t>万元，具体内容为：</w:t>
      </w:r>
    </w:p>
    <w:p>
      <w:pPr>
        <w:spacing w:line="576" w:lineRule="exact"/>
        <w:ind w:firstLine="632" w:firstLineChars="200"/>
        <w:rPr>
          <w:rFonts w:ascii="仿宋" w:hAnsi="仿宋" w:eastAsia="仿宋"/>
          <w:color w:val="auto"/>
        </w:rPr>
      </w:pPr>
      <w:r>
        <w:rPr>
          <w:rFonts w:hint="eastAsia" w:ascii="仿宋" w:hAnsi="仿宋" w:eastAsia="仿宋"/>
          <w:b/>
          <w:bCs/>
          <w:color w:val="auto"/>
        </w:rPr>
        <w:t>外事接待支出</w:t>
      </w:r>
      <w:r>
        <w:rPr>
          <w:rFonts w:hint="eastAsia" w:ascii="仿宋" w:hAnsi="仿宋" w:eastAsia="仿宋"/>
          <w:color w:val="auto"/>
        </w:rPr>
        <w:t>0万元，外事接待0批次，0人，共计支出0万元。</w:t>
      </w:r>
    </w:p>
    <w:p>
      <w:pPr>
        <w:spacing w:line="576" w:lineRule="exact"/>
        <w:ind w:firstLine="640"/>
        <w:rPr>
          <w:rFonts w:ascii="仿宋" w:hAnsi="仿宋" w:eastAsia="仿宋"/>
          <w:color w:val="auto"/>
        </w:rPr>
      </w:pPr>
      <w:r>
        <w:rPr>
          <w:rFonts w:hint="eastAsia" w:ascii="仿宋" w:hAnsi="仿宋" w:eastAsia="仿宋"/>
          <w:b/>
          <w:bCs/>
          <w:color w:val="auto"/>
        </w:rPr>
        <w:t>其他国内公务接待支出</w:t>
      </w:r>
      <w:r>
        <w:rPr>
          <w:rFonts w:hint="eastAsia" w:ascii="仿宋" w:hAnsi="仿宋" w:eastAsia="仿宋"/>
          <w:color w:val="auto"/>
          <w:lang w:val="en-US" w:eastAsia="zh-CN"/>
        </w:rPr>
        <w:t>0</w:t>
      </w:r>
      <w:r>
        <w:rPr>
          <w:rFonts w:hint="eastAsia" w:ascii="仿宋" w:hAnsi="仿宋" w:eastAsia="仿宋"/>
          <w:color w:val="auto"/>
        </w:rPr>
        <w:t>万元，主要用于接待餐费。</w:t>
      </w:r>
    </w:p>
    <w:p>
      <w:pPr>
        <w:spacing w:line="576" w:lineRule="exact"/>
        <w:ind w:firstLine="640"/>
        <w:outlineLvl w:val="1"/>
        <w:rPr>
          <w:rFonts w:ascii="仿宋" w:hAnsi="仿宋" w:eastAsia="仿宋"/>
          <w:color w:val="auto"/>
        </w:rPr>
      </w:pPr>
      <w:bookmarkStart w:id="43" w:name="_Toc15377218"/>
      <w:bookmarkEnd w:id="43"/>
      <w:bookmarkStart w:id="44" w:name="_Toc15396610"/>
      <w:r>
        <w:rPr>
          <w:rFonts w:hint="eastAsia" w:ascii="仿宋" w:hAnsi="仿宋" w:eastAsia="仿宋"/>
          <w:color w:val="auto"/>
        </w:rPr>
        <w:t xml:space="preserve"> </w:t>
      </w:r>
      <w:bookmarkEnd w:id="44"/>
    </w:p>
    <w:p>
      <w:pPr>
        <w:spacing w:line="576" w:lineRule="exact"/>
        <w:ind w:firstLine="640"/>
        <w:outlineLvl w:val="1"/>
        <w:rPr>
          <w:rFonts w:hint="eastAsia" w:ascii="黑体" w:eastAsia="黑体"/>
          <w:color w:val="auto"/>
        </w:rPr>
      </w:pPr>
      <w:r>
        <w:rPr>
          <w:rFonts w:hint="eastAsia" w:ascii="黑体" w:eastAsia="黑体"/>
          <w:color w:val="auto"/>
        </w:rPr>
        <w:t>八、政府性基金预算支出决算情况说明</w:t>
      </w:r>
    </w:p>
    <w:p>
      <w:pPr>
        <w:spacing w:line="576" w:lineRule="exact"/>
        <w:ind w:firstLine="640"/>
        <w:rPr>
          <w:rFonts w:ascii="仿宋" w:hAnsi="仿宋" w:eastAsia="仿宋"/>
          <w:color w:val="auto"/>
        </w:rPr>
      </w:pPr>
      <w:r>
        <w:rPr>
          <w:rFonts w:hint="eastAsia" w:ascii="仿宋" w:hAnsi="仿宋" w:eastAsia="仿宋"/>
          <w:color w:val="auto"/>
          <w:lang w:eastAsia="zh-CN"/>
        </w:rPr>
        <w:t>2022</w:t>
      </w:r>
      <w:r>
        <w:rPr>
          <w:rFonts w:hint="eastAsia" w:ascii="仿宋" w:hAnsi="仿宋" w:eastAsia="仿宋"/>
          <w:color w:val="auto"/>
        </w:rPr>
        <w:t>年政府性基金预算拨款支出</w:t>
      </w:r>
      <w:r>
        <w:rPr>
          <w:rFonts w:hint="eastAsia" w:ascii="仿宋" w:hAnsi="仿宋" w:eastAsia="仿宋"/>
          <w:color w:val="auto"/>
          <w:lang w:val="en-US" w:eastAsia="zh-CN"/>
        </w:rPr>
        <w:t>0</w:t>
      </w:r>
      <w:r>
        <w:rPr>
          <w:rFonts w:hint="eastAsia" w:ascii="仿宋" w:hAnsi="仿宋" w:eastAsia="仿宋"/>
          <w:color w:val="auto"/>
        </w:rPr>
        <w:t xml:space="preserve">万元。 </w:t>
      </w:r>
    </w:p>
    <w:p>
      <w:pPr>
        <w:spacing w:line="576" w:lineRule="exact"/>
        <w:ind w:firstLine="640"/>
        <w:outlineLvl w:val="1"/>
        <w:rPr>
          <w:rFonts w:hint="eastAsia" w:ascii="黑体" w:eastAsia="黑体"/>
          <w:color w:val="auto"/>
        </w:rPr>
      </w:pPr>
      <w:bookmarkStart w:id="45" w:name="_Toc15377219"/>
      <w:bookmarkEnd w:id="45"/>
      <w:bookmarkStart w:id="46" w:name="_Toc15396611"/>
      <w:r>
        <w:rPr>
          <w:rFonts w:hint="eastAsia" w:ascii="黑体" w:eastAsia="黑体"/>
          <w:color w:val="auto"/>
          <w:lang w:val="en-US" w:eastAsia="zh-CN"/>
        </w:rPr>
        <w:t>九、</w:t>
      </w:r>
      <w:r>
        <w:rPr>
          <w:rFonts w:hint="eastAsia" w:ascii="黑体" w:eastAsia="黑体"/>
          <w:color w:val="auto"/>
        </w:rPr>
        <w:t>国有资本经营预算支出决算情况说明</w:t>
      </w:r>
      <w:bookmarkEnd w:id="46"/>
    </w:p>
    <w:p>
      <w:pPr>
        <w:spacing w:line="576" w:lineRule="exact"/>
        <w:ind w:firstLine="640"/>
        <w:rPr>
          <w:rFonts w:ascii="仿宋" w:hAnsi="仿宋" w:eastAsia="仿宋"/>
          <w:color w:val="auto"/>
        </w:rPr>
      </w:pPr>
      <w:r>
        <w:rPr>
          <w:rFonts w:hint="eastAsia" w:ascii="仿宋" w:hAnsi="仿宋" w:eastAsia="仿宋"/>
          <w:color w:val="auto"/>
          <w:lang w:eastAsia="zh-CN"/>
        </w:rPr>
        <w:t>2022</w:t>
      </w:r>
      <w:r>
        <w:rPr>
          <w:rFonts w:hint="eastAsia" w:ascii="仿宋" w:hAnsi="仿宋" w:eastAsia="仿宋"/>
          <w:color w:val="auto"/>
        </w:rPr>
        <w:t>年国有资本经营预算拨款支出0万元。</w:t>
      </w:r>
    </w:p>
    <w:p>
      <w:pPr>
        <w:numPr>
          <w:ilvl w:val="0"/>
          <w:numId w:val="0"/>
        </w:numPr>
        <w:spacing w:line="600" w:lineRule="exact"/>
        <w:ind w:firstLine="632" w:firstLineChars="200"/>
        <w:outlineLvl w:val="1"/>
        <w:rPr>
          <w:rStyle w:val="37"/>
          <w:rFonts w:hint="eastAsia" w:ascii="黑体" w:hAnsi="黑体" w:eastAsia="黑体"/>
          <w:b w:val="0"/>
          <w:color w:val="auto"/>
          <w:highlight w:val="none"/>
        </w:rPr>
      </w:pPr>
      <w:r>
        <w:rPr>
          <w:rStyle w:val="37"/>
          <w:rFonts w:hint="eastAsia" w:ascii="黑体" w:hAnsi="黑体" w:eastAsia="黑体"/>
          <w:b w:val="0"/>
          <w:color w:val="auto"/>
          <w:highlight w:val="none"/>
          <w:lang w:val="en-US" w:eastAsia="zh-CN"/>
        </w:rPr>
        <w:t>十、</w:t>
      </w:r>
      <w:r>
        <w:rPr>
          <w:rStyle w:val="37"/>
          <w:rFonts w:hint="eastAsia" w:ascii="黑体" w:hAnsi="黑体" w:eastAsia="黑体"/>
          <w:b w:val="0"/>
          <w:color w:val="auto"/>
          <w:highlight w:val="none"/>
        </w:rPr>
        <w:t>其他重要事项的情况说明</w:t>
      </w:r>
    </w:p>
    <w:p>
      <w:pPr>
        <w:spacing w:line="600" w:lineRule="exact"/>
        <w:ind w:firstLine="632" w:firstLineChars="200"/>
        <w:outlineLvl w:val="2"/>
        <w:rPr>
          <w:rFonts w:ascii="仿宋" w:hAnsi="仿宋" w:eastAsia="仿宋"/>
          <w:color w:val="auto"/>
          <w:sz w:val="32"/>
          <w:szCs w:val="32"/>
          <w:highlight w:val="none"/>
        </w:rPr>
      </w:pPr>
      <w:r>
        <w:rPr>
          <w:rFonts w:hint="eastAsia" w:ascii="仿宋" w:hAnsi="仿宋" w:eastAsia="仿宋"/>
          <w:b/>
          <w:color w:val="auto"/>
          <w:sz w:val="32"/>
          <w:szCs w:val="32"/>
          <w:highlight w:val="none"/>
        </w:rPr>
        <w:t>（一）机关运行经费支出情况</w:t>
      </w:r>
    </w:p>
    <w:p>
      <w:pPr>
        <w:spacing w:line="600" w:lineRule="exact"/>
        <w:ind w:firstLine="632" w:firstLineChars="200"/>
        <w:rPr>
          <w:rFonts w:hint="eastAsia" w:ascii="仿宋_GB2312" w:eastAsia="仿宋_GB2312"/>
          <w:color w:val="auto"/>
          <w:sz w:val="32"/>
          <w:szCs w:val="32"/>
          <w:highlight w:val="none"/>
          <w:lang w:eastAsia="zh-CN"/>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本单位</w:t>
      </w:r>
      <w:r>
        <w:rPr>
          <w:rFonts w:hint="eastAsia" w:ascii="仿宋_GB2312" w:eastAsia="仿宋_GB2312"/>
          <w:color w:val="auto"/>
          <w:sz w:val="32"/>
          <w:szCs w:val="32"/>
          <w:highlight w:val="none"/>
        </w:rPr>
        <w:t>运行经费支出</w:t>
      </w:r>
      <w:r>
        <w:rPr>
          <w:rFonts w:hint="eastAsia" w:ascii="仿宋_GB2312"/>
          <w:color w:val="auto"/>
          <w:sz w:val="32"/>
          <w:szCs w:val="32"/>
          <w:highlight w:val="none"/>
          <w:lang w:val="en-US" w:eastAsia="zh-CN"/>
        </w:rPr>
        <w:t>435.62</w:t>
      </w:r>
      <w:r>
        <w:rPr>
          <w:rFonts w:hint="eastAsia" w:ascii="仿宋_GB2312" w:eastAsia="仿宋_GB2312"/>
          <w:color w:val="auto"/>
          <w:sz w:val="32"/>
          <w:szCs w:val="32"/>
          <w:highlight w:val="none"/>
        </w:rPr>
        <w:t>万元，比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年增加</w:t>
      </w:r>
      <w:r>
        <w:rPr>
          <w:rFonts w:hint="eastAsia" w:ascii="仿宋_GB2312"/>
          <w:color w:val="auto"/>
          <w:sz w:val="32"/>
          <w:szCs w:val="32"/>
          <w:highlight w:val="none"/>
          <w:lang w:val="en-US" w:eastAsia="zh-CN"/>
        </w:rPr>
        <w:t>217.87</w:t>
      </w:r>
      <w:r>
        <w:rPr>
          <w:rFonts w:hint="eastAsia" w:ascii="仿宋_GB2312" w:eastAsia="仿宋_GB2312"/>
          <w:color w:val="auto"/>
          <w:sz w:val="32"/>
          <w:szCs w:val="32"/>
          <w:highlight w:val="none"/>
        </w:rPr>
        <w:t>元，增长</w:t>
      </w:r>
      <w:r>
        <w:rPr>
          <w:rFonts w:hint="eastAsia" w:ascii="仿宋_GB2312"/>
          <w:color w:val="auto"/>
          <w:sz w:val="32"/>
          <w:szCs w:val="32"/>
          <w:highlight w:val="none"/>
          <w:lang w:val="en-US" w:eastAsia="zh-CN"/>
        </w:rPr>
        <w:t>50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Fonts w:hint="eastAsia" w:ascii="仿宋_GB2312"/>
          <w:color w:val="auto"/>
          <w:sz w:val="32"/>
          <w:szCs w:val="32"/>
          <w:highlight w:val="none"/>
          <w:lang w:eastAsia="zh-CN"/>
        </w:rPr>
        <w:t>：本年上划市财政后，增加了非定额公用经费，将物业管理费、差旅费、维修维护费及伙食补助费纳入了非定额公用经费。</w:t>
      </w:r>
    </w:p>
    <w:p>
      <w:pPr>
        <w:autoSpaceDE w:val="0"/>
        <w:autoSpaceDN w:val="0"/>
        <w:adjustRightInd w:val="0"/>
        <w:spacing w:line="600" w:lineRule="exact"/>
        <w:ind w:firstLine="632" w:firstLineChars="200"/>
        <w:jc w:val="left"/>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（二）政府采购支出情况</w:t>
      </w:r>
    </w:p>
    <w:p>
      <w:pPr>
        <w:spacing w:line="600" w:lineRule="exact"/>
        <w:ind w:firstLine="632"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hint="eastAsia" w:ascii="仿宋_GB2312"/>
          <w:color w:val="auto"/>
          <w:sz w:val="32"/>
          <w:szCs w:val="32"/>
          <w:highlight w:val="none"/>
          <w:lang w:val="en-US" w:eastAsia="zh-CN"/>
        </w:rPr>
        <w:t>蓬溪县人民法院</w:t>
      </w:r>
      <w:r>
        <w:rPr>
          <w:rFonts w:hint="eastAsia" w:ascii="仿宋_GB2312" w:eastAsia="仿宋_GB2312"/>
          <w:color w:val="auto"/>
          <w:sz w:val="32"/>
          <w:szCs w:val="32"/>
          <w:highlight w:val="none"/>
        </w:rPr>
        <w:t>政府采购支出总额</w:t>
      </w:r>
      <w:r>
        <w:rPr>
          <w:rFonts w:hint="eastAsia" w:ascii="仿宋_GB2312"/>
          <w:color w:val="auto"/>
          <w:sz w:val="32"/>
          <w:szCs w:val="32"/>
          <w:highlight w:val="none"/>
          <w:lang w:val="en-US" w:eastAsia="zh-CN"/>
        </w:rPr>
        <w:t>0</w:t>
      </w:r>
      <w:r>
        <w:rPr>
          <w:rFonts w:hint="eastAsia" w:ascii="仿宋_GB2312" w:eastAsia="仿宋_GB2312"/>
          <w:color w:val="auto"/>
          <w:sz w:val="32"/>
          <w:szCs w:val="32"/>
          <w:highlight w:val="none"/>
        </w:rPr>
        <w:t>元，其中：政府采购货物支出</w:t>
      </w:r>
      <w:r>
        <w:rPr>
          <w:rFonts w:hint="eastAsia" w:ascii="仿宋_GB2312"/>
          <w:color w:val="auto"/>
          <w:sz w:val="32"/>
          <w:szCs w:val="32"/>
          <w:highlight w:val="none"/>
          <w:lang w:val="en-US" w:eastAsia="zh-CN"/>
        </w:rPr>
        <w:t>0</w:t>
      </w:r>
      <w:r>
        <w:rPr>
          <w:rFonts w:hint="eastAsia" w:ascii="仿宋_GB2312" w:eastAsia="仿宋_GB2312"/>
          <w:color w:val="auto"/>
          <w:sz w:val="32"/>
          <w:szCs w:val="32"/>
          <w:highlight w:val="none"/>
        </w:rPr>
        <w:t>万元、政府采购工程支出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万元、政府采购服务支出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万元。主要用于</w:t>
      </w:r>
      <w:r>
        <w:rPr>
          <w:rFonts w:hint="eastAsia" w:ascii="仿宋_GB2312" w:eastAsia="仿宋_GB2312"/>
          <w:color w:val="auto"/>
          <w:sz w:val="32"/>
          <w:szCs w:val="32"/>
          <w:highlight w:val="none"/>
          <w:lang w:eastAsia="zh-CN"/>
        </w:rPr>
        <w:t>购买办公设备</w:t>
      </w:r>
      <w:r>
        <w:rPr>
          <w:rFonts w:hint="eastAsia" w:ascii="仿宋_GB2312" w:eastAsia="仿宋_GB2312"/>
          <w:color w:val="auto"/>
          <w:sz w:val="32"/>
          <w:szCs w:val="32"/>
          <w:highlight w:val="none"/>
        </w:rPr>
        <w:t>。授予中小企业合同金额</w:t>
      </w:r>
      <w:r>
        <w:rPr>
          <w:rFonts w:hint="eastAsia" w:ascii="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，其中：授予小微企业合同金额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pPr>
        <w:autoSpaceDE w:val="0"/>
        <w:autoSpaceDN w:val="0"/>
        <w:adjustRightInd w:val="0"/>
        <w:spacing w:line="600" w:lineRule="exact"/>
        <w:ind w:firstLine="632" w:firstLineChars="200"/>
        <w:jc w:val="left"/>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（三）国有资产占有使用情况</w:t>
      </w:r>
    </w:p>
    <w:p>
      <w:pPr>
        <w:autoSpaceDE w:val="0"/>
        <w:autoSpaceDN w:val="0"/>
        <w:adjustRightInd w:val="0"/>
        <w:spacing w:line="600" w:lineRule="exact"/>
        <w:ind w:firstLine="632" w:firstLineChars="200"/>
        <w:jc w:val="left"/>
        <w:rPr>
          <w:rFonts w:ascii="仿宋" w:hAnsi="仿宋" w:eastAsia="仿宋"/>
          <w:b/>
          <w:color w:val="auto"/>
          <w:sz w:val="32"/>
          <w:szCs w:val="32"/>
          <w:highlight w:val="none"/>
        </w:rPr>
      </w:pPr>
      <w:r>
        <w:rPr>
          <w:rFonts w:hint="eastAsia" w:ascii="仿宋_GB2312" w:eastAsia="仿宋_GB2312"/>
          <w:color w:val="auto"/>
          <w:sz w:val="32"/>
          <w:szCs w:val="32"/>
          <w:highlight w:val="none"/>
        </w:rPr>
        <w:t>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31</w:t>
      </w:r>
      <w:r>
        <w:rPr>
          <w:rFonts w:hint="eastAsia" w:ascii="仿宋_GB2312" w:eastAsia="仿宋_GB2312"/>
          <w:color w:val="auto"/>
          <w:sz w:val="32"/>
          <w:szCs w:val="32"/>
          <w:highlight w:val="none"/>
        </w:rPr>
        <w:t>日，</w:t>
      </w:r>
      <w:r>
        <w:rPr>
          <w:rFonts w:hint="eastAsia" w:ascii="仿宋_GB2312"/>
          <w:color w:val="auto"/>
          <w:sz w:val="32"/>
          <w:szCs w:val="32"/>
          <w:highlight w:val="none"/>
          <w:lang w:eastAsia="zh-CN"/>
        </w:rPr>
        <w:t>我院</w:t>
      </w:r>
      <w:r>
        <w:rPr>
          <w:rFonts w:hint="eastAsia" w:ascii="仿宋_GB2312" w:eastAsia="仿宋_GB2312"/>
          <w:color w:val="auto"/>
          <w:sz w:val="32"/>
          <w:szCs w:val="32"/>
          <w:highlight w:val="none"/>
        </w:rPr>
        <w:t>共有车辆</w:t>
      </w:r>
      <w:r>
        <w:rPr>
          <w:rFonts w:hint="eastAsia" w:ascii="仿宋_GB2312"/>
          <w:color w:val="auto"/>
          <w:sz w:val="32"/>
          <w:szCs w:val="32"/>
          <w:highlight w:val="none"/>
          <w:lang w:val="en-US" w:eastAsia="zh-CN"/>
        </w:rPr>
        <w:t>13</w:t>
      </w:r>
      <w:r>
        <w:rPr>
          <w:rFonts w:hint="eastAsia" w:ascii="仿宋_GB2312" w:eastAsia="仿宋_GB2312"/>
          <w:color w:val="auto"/>
          <w:sz w:val="32"/>
          <w:szCs w:val="32"/>
          <w:highlight w:val="none"/>
        </w:rPr>
        <w:t>辆，其中：主要领导干部用车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辆、机要通信用车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辆、应急保障用车</w:t>
      </w:r>
      <w:r>
        <w:rPr>
          <w:rFonts w:hint="eastAsia" w:ascii="仿宋_GB2312"/>
          <w:color w:val="auto"/>
          <w:sz w:val="32"/>
          <w:szCs w:val="32"/>
          <w:highlight w:val="none"/>
          <w:lang w:val="en-US" w:eastAsia="zh-CN"/>
        </w:rPr>
        <w:t>0</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执法执勤用车</w:t>
      </w:r>
      <w:r>
        <w:rPr>
          <w:rFonts w:hint="eastAsia" w:ascii="仿宋_GB2312"/>
          <w:color w:val="auto"/>
          <w:sz w:val="32"/>
          <w:szCs w:val="32"/>
          <w:highlight w:val="none"/>
          <w:lang w:val="en-US" w:eastAsia="zh-CN"/>
        </w:rPr>
        <w:t>11</w:t>
      </w:r>
      <w:r>
        <w:rPr>
          <w:rFonts w:hint="eastAsia" w:ascii="仿宋_GB2312" w:eastAsia="仿宋_GB2312"/>
          <w:color w:val="auto"/>
          <w:sz w:val="32"/>
          <w:szCs w:val="32"/>
          <w:highlight w:val="none"/>
          <w:lang w:val="en-US" w:eastAsia="zh-CN"/>
        </w:rPr>
        <w:t>辆、</w:t>
      </w:r>
      <w:r>
        <w:rPr>
          <w:rFonts w:hint="eastAsia" w:ascii="仿宋_GB2312" w:eastAsia="仿宋_GB2312"/>
          <w:color w:val="auto"/>
          <w:sz w:val="32"/>
          <w:szCs w:val="32"/>
          <w:highlight w:val="none"/>
        </w:rPr>
        <w:t>其他用车</w:t>
      </w:r>
      <w:r>
        <w:rPr>
          <w:rFonts w:hint="eastAsia" w:ascii="仿宋_GB2312"/>
          <w:color w:val="auto"/>
          <w:sz w:val="32"/>
          <w:szCs w:val="32"/>
          <w:highlight w:val="none"/>
          <w:lang w:val="en-US" w:eastAsia="zh-CN"/>
        </w:rPr>
        <w:t>2</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其他用车主要是用于</w:t>
      </w:r>
      <w:r>
        <w:rPr>
          <w:rFonts w:hint="eastAsia" w:ascii="仿宋_GB2312" w:eastAsia="仿宋_GB2312"/>
          <w:color w:val="auto"/>
          <w:sz w:val="32"/>
          <w:szCs w:val="32"/>
          <w:highlight w:val="none"/>
          <w:lang w:eastAsia="zh-CN"/>
        </w:rPr>
        <w:t>本单位公务活动。</w:t>
      </w:r>
      <w:r>
        <w:rPr>
          <w:rFonts w:hint="eastAsia" w:ascii="仿宋_GB2312" w:eastAsia="仿宋_GB2312"/>
          <w:color w:val="auto"/>
          <w:sz w:val="32"/>
          <w:szCs w:val="32"/>
          <w:highlight w:val="none"/>
        </w:rPr>
        <w:t>单价</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万元以上专用设备</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w:t>
      </w:r>
    </w:p>
    <w:p>
      <w:pPr>
        <w:autoSpaceDE w:val="0"/>
        <w:autoSpaceDN w:val="0"/>
        <w:adjustRightInd w:val="0"/>
        <w:spacing w:line="600" w:lineRule="exact"/>
        <w:ind w:firstLine="632" w:firstLineChars="200"/>
        <w:jc w:val="left"/>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（四）预算绩效管理情况</w:t>
      </w:r>
    </w:p>
    <w:p>
      <w:pPr>
        <w:pStyle w:val="18"/>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根据预算绩效管理要求，本部门在202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年度预算编制阶段，组织对</w:t>
      </w:r>
      <w:r>
        <w:rPr>
          <w:rFonts w:hint="eastAsia" w:ascii="仿宋_GB2312" w:hAnsi="仿宋_GB2312" w:eastAsia="仿宋_GB2312" w:cs="仿宋_GB2312"/>
          <w:color w:val="auto"/>
          <w:sz w:val="32"/>
          <w:szCs w:val="32"/>
          <w:highlight w:val="none"/>
          <w:lang w:val="en-US" w:eastAsia="zh-CN"/>
        </w:rPr>
        <w:t>执行救助金、档案扫描等36</w:t>
      </w:r>
      <w:r>
        <w:rPr>
          <w:rFonts w:hint="eastAsia" w:ascii="仿宋_GB2312" w:hAnsi="仿宋_GB2312" w:eastAsia="仿宋_GB2312" w:cs="仿宋_GB2312"/>
          <w:color w:val="auto"/>
          <w:sz w:val="32"/>
          <w:szCs w:val="32"/>
          <w:highlight w:val="none"/>
        </w:rPr>
        <w:t>个项目编制了绩效目标，预算执行过程中，选取</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个项目开展绩效监控。</w:t>
      </w:r>
      <w:r>
        <w:rPr>
          <w:rFonts w:hint="eastAsia" w:ascii="仿宋_GB2312" w:hAnsi="仿宋_GB2312" w:eastAsia="仿宋_GB2312" w:cs="仿宋_GB2312"/>
          <w:color w:val="auto"/>
          <w:kern w:val="2"/>
          <w:sz w:val="32"/>
          <w:szCs w:val="32"/>
          <w:highlight w:val="none"/>
          <w:lang w:val="en-US" w:eastAsia="zh-CN" w:bidi="ar-SA"/>
        </w:rPr>
        <w:t>组织对2022年度一般公共预算、政府性基金预算、国有资本经营预算、社会保险基金预算以及资本资产、债券资金等全面开展绩效自评，形成蓬溪县人民法院部门整体（含部门预算项目）绩效自评报告。我院整体（含部门预算项目）绩效自评得分为75.29分，绩效自评报告详见附件。</w:t>
      </w:r>
    </w:p>
    <w:p>
      <w:pPr>
        <w:widowControl/>
        <w:jc w:val="left"/>
        <w:rPr>
          <w:rFonts w:ascii="仿宋" w:hAnsi="仿宋" w:eastAsia="仿宋"/>
          <w:color w:val="auto"/>
          <w:sz w:val="28"/>
          <w:szCs w:val="28"/>
        </w:rPr>
      </w:pPr>
      <w:r>
        <w:rPr>
          <w:color w:val="auto"/>
        </w:rPr>
        <w:br w:type="page"/>
      </w:r>
    </w:p>
    <w:p>
      <w:pPr>
        <w:pStyle w:val="9"/>
        <w:spacing w:line="576" w:lineRule="exact"/>
        <w:rPr>
          <w:rFonts w:ascii="方正小标宋简体" w:hAnsi="方正小标宋简体" w:eastAsia="方正小标宋简体" w:cs="方正小标宋简体"/>
          <w:color w:val="auto"/>
          <w:sz w:val="44"/>
          <w:szCs w:val="44"/>
        </w:rPr>
      </w:pPr>
      <w:r>
        <w:rPr>
          <w:color w:val="auto"/>
        </w:rPr>
        <w:fldChar w:fldCharType="begin"/>
      </w:r>
      <w:r>
        <w:rPr>
          <w:color w:val="auto"/>
        </w:rPr>
        <w:instrText xml:space="preserve"> HYPERLINK \l "_Toc15396613#_Toc15396613" </w:instrText>
      </w:r>
      <w:r>
        <w:rPr>
          <w:color w:val="auto"/>
        </w:rPr>
        <w:fldChar w:fldCharType="separate"/>
      </w:r>
      <w:r>
        <w:rPr>
          <w:rStyle w:val="25"/>
          <w:rFonts w:hint="eastAsia" w:ascii="方正小标宋简体" w:hAnsi="方正小标宋简体" w:eastAsia="方正小标宋简体" w:cs="方正小标宋简体"/>
          <w:color w:val="auto"/>
          <w:kern w:val="44"/>
          <w:sz w:val="44"/>
          <w:szCs w:val="44"/>
          <w:u w:val="none"/>
        </w:rPr>
        <w:t>第三部分</w:t>
      </w:r>
      <w:r>
        <w:rPr>
          <w:rStyle w:val="25"/>
          <w:rFonts w:hint="eastAsia" w:ascii="方正小标宋简体" w:hAnsi="方正小标宋简体" w:eastAsia="方正小标宋简体" w:cs="方正小标宋简体"/>
          <w:color w:val="auto"/>
          <w:sz w:val="44"/>
          <w:szCs w:val="44"/>
          <w:u w:val="none"/>
        </w:rPr>
        <w:t xml:space="preserve"> 名</w:t>
      </w:r>
      <w:r>
        <w:rPr>
          <w:rStyle w:val="25"/>
          <w:rFonts w:hint="eastAsia" w:ascii="方正小标宋简体" w:hAnsi="方正小标宋简体" w:eastAsia="方正小标宋简体" w:cs="方正小标宋简体"/>
          <w:color w:val="auto"/>
          <w:kern w:val="44"/>
          <w:sz w:val="44"/>
          <w:szCs w:val="44"/>
          <w:u w:val="none"/>
        </w:rPr>
        <w:t>词解释</w:t>
      </w:r>
      <w:r>
        <w:rPr>
          <w:rStyle w:val="17"/>
          <w:rFonts w:hint="eastAsia" w:ascii="方正小标宋简体" w:hAnsi="方正小标宋简体" w:eastAsia="方正小标宋简体" w:cs="方正小标宋简体"/>
          <w:color w:val="auto"/>
          <w:sz w:val="44"/>
          <w:szCs w:val="44"/>
          <w:u w:val="none"/>
        </w:rPr>
        <w:tab/>
      </w:r>
      <w:r>
        <w:rPr>
          <w:rStyle w:val="17"/>
          <w:rFonts w:hint="eastAsia" w:ascii="方正小标宋简体" w:hAnsi="方正小标宋简体" w:eastAsia="方正小标宋简体" w:cs="方正小标宋简体"/>
          <w:color w:val="auto"/>
          <w:sz w:val="44"/>
          <w:szCs w:val="44"/>
          <w:u w:val="none"/>
        </w:rPr>
        <w:fldChar w:fldCharType="end"/>
      </w:r>
    </w:p>
    <w:p>
      <w:pPr>
        <w:pStyle w:val="18"/>
        <w:ind w:firstLine="632"/>
        <w:rPr>
          <w:rFonts w:ascii="仿宋" w:hAnsi="仿宋" w:eastAsia="仿宋"/>
          <w:color w:val="auto"/>
        </w:rPr>
      </w:pPr>
      <w:r>
        <w:rPr>
          <w:rFonts w:hint="eastAsia" w:ascii="仿宋" w:hAnsi="仿宋" w:eastAsia="仿宋"/>
          <w:color w:val="auto"/>
        </w:rPr>
        <w:t>1 一般公共预算拨款收入：指县级财政当年拨付的资金。</w:t>
      </w:r>
    </w:p>
    <w:p>
      <w:pPr>
        <w:pStyle w:val="18"/>
        <w:ind w:firstLine="632"/>
        <w:rPr>
          <w:rFonts w:ascii="仿宋" w:hAnsi="仿宋" w:eastAsia="仿宋"/>
          <w:color w:val="auto"/>
        </w:rPr>
      </w:pPr>
      <w:r>
        <w:rPr>
          <w:rFonts w:hint="eastAsia" w:ascii="仿宋" w:hAnsi="仿宋" w:eastAsia="仿宋"/>
          <w:color w:val="auto"/>
        </w:rPr>
        <w:t>2. 上年结转：指以前年度尚未完成，结转到本年仍按原规定用途继续使用的资金。</w:t>
      </w:r>
    </w:p>
    <w:p>
      <w:pPr>
        <w:pStyle w:val="18"/>
        <w:ind w:firstLine="632"/>
        <w:rPr>
          <w:rFonts w:ascii="仿宋" w:hAnsi="仿宋" w:eastAsia="仿宋"/>
          <w:color w:val="auto"/>
        </w:rPr>
      </w:pPr>
      <w:r>
        <w:rPr>
          <w:rFonts w:hint="eastAsia" w:ascii="仿宋" w:hAnsi="仿宋" w:eastAsia="仿宋"/>
          <w:color w:val="auto"/>
        </w:rPr>
        <w:t>3. 基本支出：指为保证机构正常运转，完成日常工作任务而发生的人员支出和公用支出。</w:t>
      </w:r>
    </w:p>
    <w:p>
      <w:pPr>
        <w:pStyle w:val="18"/>
        <w:ind w:firstLine="632"/>
        <w:rPr>
          <w:rFonts w:ascii="仿宋" w:hAnsi="仿宋" w:eastAsia="仿宋"/>
          <w:color w:val="auto"/>
        </w:rPr>
      </w:pPr>
      <w:r>
        <w:rPr>
          <w:rFonts w:hint="eastAsia" w:ascii="仿宋" w:hAnsi="仿宋" w:eastAsia="仿宋"/>
          <w:color w:val="auto"/>
        </w:rPr>
        <w:t>4. 项目支出：指在基本支出之外为完成特定行政任务和事业发展目标所发生的支出。</w:t>
      </w:r>
    </w:p>
    <w:p>
      <w:pPr>
        <w:pStyle w:val="18"/>
        <w:ind w:firstLine="632"/>
        <w:rPr>
          <w:rFonts w:ascii="仿宋" w:hAnsi="仿宋" w:eastAsia="仿宋"/>
          <w:color w:val="auto"/>
        </w:rPr>
      </w:pPr>
      <w:r>
        <w:rPr>
          <w:rFonts w:hint="eastAsia" w:ascii="仿宋" w:hAnsi="仿宋" w:eastAsia="仿宋"/>
          <w:color w:val="auto"/>
        </w:rPr>
        <w:t>5. “三公”经费：纳入部门预算管理的“三公”经费，是指部门用财政拨款安排的因公出国（境）费、公务用车购置及运行费和公务接待费。其中，因公出国（境）费反映部门公务出国（境）的国际旅费、国外城市间交通费、住宿费、伙食费、培训费、公杂费等支出；公务用车购置及运行费反映部门公务用车车辆购置支出（含车辆购置税）及租用费、燃料费、维修费、过路过桥费、保险费等支出；公务接待费反映部门按规定开支的各类公务接待（含外宾接待）支出。</w:t>
      </w:r>
    </w:p>
    <w:p>
      <w:pPr>
        <w:pStyle w:val="18"/>
        <w:ind w:firstLine="632"/>
        <w:rPr>
          <w:rFonts w:ascii="仿宋" w:hAnsi="仿宋" w:eastAsia="仿宋"/>
          <w:color w:val="auto"/>
        </w:rPr>
      </w:pPr>
      <w:r>
        <w:rPr>
          <w:rFonts w:hint="eastAsia" w:ascii="仿宋" w:hAnsi="仿宋" w:eastAsia="仿宋"/>
          <w:color w:val="auto"/>
        </w:rPr>
        <w:t>6.公共安全支出（类）法院（款）行政运行（项）：反映行政单位（包括实行公务员管理的事业单位）的基本支出。</w:t>
      </w:r>
    </w:p>
    <w:p>
      <w:pPr>
        <w:widowControl/>
        <w:jc w:val="left"/>
        <w:rPr>
          <w:rFonts w:hint="eastAsia" w:ascii="仿宋" w:hAnsi="仿宋" w:eastAsia="仿宋"/>
          <w:color w:val="auto"/>
        </w:rPr>
      </w:pPr>
      <w:r>
        <w:rPr>
          <w:rFonts w:hint="eastAsia" w:ascii="仿宋" w:hAnsi="仿宋" w:eastAsia="仿宋"/>
          <w:color w:val="auto"/>
        </w:rPr>
        <w:t>7.公共安全支出（类）法院（款）案件执行（项）：反映人民法院对刑事、民事、行政、涉外等案件执行活动和对各种非诉讼执行活动的支出。</w:t>
      </w:r>
    </w:p>
    <w:p>
      <w:pPr>
        <w:widowControl/>
        <w:jc w:val="left"/>
        <w:rPr>
          <w:rFonts w:ascii="仿宋_GB2312" w:hAnsi="仿宋" w:eastAsia="仿宋_GB2312" w:cs="黑体"/>
          <w:color w:val="auto"/>
          <w:sz w:val="32"/>
          <w:szCs w:val="32"/>
        </w:rPr>
      </w:pPr>
      <w:r>
        <w:rPr>
          <w:rFonts w:hint="eastAsia" w:ascii="仿宋_GB2312" w:eastAsia="仿宋_GB2312"/>
          <w:b/>
          <w:bCs/>
          <w:color w:val="auto"/>
          <w:sz w:val="32"/>
          <w:szCs w:val="32"/>
        </w:rPr>
        <w:t xml:space="preserve"> </w:t>
      </w:r>
    </w:p>
    <w:p>
      <w:pPr>
        <w:pStyle w:val="9"/>
        <w:spacing w:line="576" w:lineRule="exact"/>
        <w:jc w:val="left"/>
        <w:rPr>
          <w:rFonts w:hint="default" w:ascii="方正小标宋简体" w:hAnsi="方正小标宋简体" w:eastAsia="方正小标宋简体" w:cs="方正小标宋简体"/>
          <w:color w:val="auto"/>
          <w:kern w:val="44"/>
          <w:sz w:val="44"/>
          <w:szCs w:val="44"/>
          <w:highlight w:val="none"/>
          <w:u w:val="none"/>
          <w:lang w:val="en-US" w:eastAsia="zh-CN"/>
        </w:rPr>
      </w:pPr>
      <w:r>
        <w:rPr>
          <w:rFonts w:hint="eastAsia" w:ascii="方正小标宋简体" w:hAnsi="方正小标宋简体" w:eastAsia="方正小标宋简体" w:cs="方正小标宋简体"/>
          <w:color w:val="auto"/>
          <w:kern w:val="44"/>
          <w:sz w:val="44"/>
          <w:szCs w:val="44"/>
          <w:highlight w:val="none"/>
          <w:u w:val="none"/>
          <w:lang w:val="en-US" w:eastAsia="zh-CN"/>
        </w:rPr>
        <w:t>第四部分 附件</w:t>
      </w:r>
    </w:p>
    <w:p>
      <w:pPr>
        <w:spacing w:line="576" w:lineRule="exact"/>
        <w:jc w:val="center"/>
        <w:rPr>
          <w:rFonts w:ascii="仿宋" w:hAnsi="仿宋" w:eastAsia="仿宋"/>
          <w:color w:val="auto"/>
        </w:rPr>
      </w:pPr>
      <w:r>
        <w:rPr>
          <w:rFonts w:hint="eastAsia" w:ascii="仿宋" w:hAnsi="仿宋" w:eastAsia="仿宋"/>
          <w:color w:val="auto"/>
        </w:rPr>
        <w:t>遂蓬法</w:t>
      </w:r>
      <w:r>
        <w:rPr>
          <w:rFonts w:ascii="仿宋" w:hAnsi="仿宋" w:eastAsia="仿宋"/>
          <w:color w:val="auto"/>
        </w:rPr>
        <w:t>〔</w:t>
      </w:r>
      <w:r>
        <w:rPr>
          <w:rFonts w:hint="eastAsia" w:ascii="仿宋" w:hAnsi="仿宋" w:eastAsia="仿宋"/>
          <w:color w:val="auto"/>
        </w:rPr>
        <w:t>2023</w:t>
      </w:r>
      <w:r>
        <w:rPr>
          <w:rFonts w:ascii="仿宋" w:hAnsi="仿宋" w:eastAsia="仿宋"/>
          <w:color w:val="auto"/>
        </w:rPr>
        <w:t>〕</w:t>
      </w:r>
      <w:r>
        <w:rPr>
          <w:rFonts w:hint="eastAsia" w:ascii="仿宋" w:hAnsi="仿宋" w:eastAsia="仿宋"/>
          <w:color w:val="auto"/>
        </w:rPr>
        <w:t xml:space="preserve"> </w:t>
      </w:r>
      <w:r>
        <w:rPr>
          <w:rFonts w:hint="eastAsia" w:ascii="仿宋" w:hAnsi="仿宋" w:eastAsia="仿宋"/>
          <w:color w:val="auto"/>
        </w:rPr>
        <w:t xml:space="preserve">18 </w:t>
      </w:r>
      <w:r>
        <w:rPr>
          <w:rFonts w:ascii="仿宋" w:hAnsi="仿宋" w:eastAsia="仿宋"/>
          <w:color w:val="auto"/>
        </w:rPr>
        <w:t>号</w:t>
      </w:r>
    </w:p>
    <w:p>
      <w:pPr>
        <w:spacing w:line="576" w:lineRule="exact"/>
        <w:rPr>
          <w:color w:val="auto"/>
        </w:rPr>
      </w:pPr>
    </w:p>
    <w:p>
      <w:pPr>
        <w:spacing w:line="576" w:lineRule="exact"/>
        <w:rPr>
          <w:color w:val="auto"/>
        </w:rPr>
      </w:pPr>
    </w:p>
    <w:p>
      <w:pPr>
        <w:spacing w:line="620" w:lineRule="exact"/>
        <w:jc w:val="center"/>
        <w:rPr>
          <w:rFonts w:ascii="方正小标宋简体" w:hAnsi="仿宋" w:eastAsia="方正小标宋简体"/>
          <w:color w:val="auto"/>
          <w:sz w:val="44"/>
          <w:szCs w:val="44"/>
          <w:shd w:val="clear" w:color="auto" w:fill="FFFFFF"/>
        </w:rPr>
      </w:pPr>
      <w:r>
        <w:rPr>
          <w:rFonts w:hint="eastAsia" w:ascii="方正小标宋简体" w:hAnsi="仿宋" w:eastAsia="方正小标宋简体"/>
          <w:color w:val="auto"/>
          <w:sz w:val="44"/>
          <w:szCs w:val="44"/>
          <w:shd w:val="clear" w:color="auto" w:fill="FFFFFF"/>
        </w:rPr>
        <w:t>蓬溪县人民法院</w:t>
      </w:r>
    </w:p>
    <w:p>
      <w:pPr>
        <w:spacing w:line="620" w:lineRule="exact"/>
        <w:jc w:val="center"/>
        <w:rPr>
          <w:rFonts w:ascii="仿宋" w:hAnsi="仿宋" w:eastAsia="仿宋"/>
          <w:color w:val="auto"/>
          <w:sz w:val="44"/>
          <w:szCs w:val="44"/>
          <w:shd w:val="clear" w:color="auto" w:fill="FFFFFF"/>
        </w:rPr>
      </w:pPr>
      <w:r>
        <w:rPr>
          <w:rFonts w:hint="eastAsia" w:ascii="方正小标宋简体" w:hAnsi="仿宋" w:eastAsia="方正小标宋简体"/>
          <w:color w:val="auto"/>
          <w:sz w:val="44"/>
          <w:szCs w:val="44"/>
          <w:shd w:val="clear" w:color="auto" w:fill="FFFFFF"/>
        </w:rPr>
        <w:t>部门整体支出绩效自评报告</w:t>
      </w:r>
    </w:p>
    <w:p>
      <w:pPr>
        <w:adjustRightInd w:val="0"/>
        <w:snapToGrid w:val="0"/>
        <w:spacing w:line="620" w:lineRule="exact"/>
        <w:jc w:val="left"/>
        <w:rPr>
          <w:rFonts w:ascii="仿宋" w:hAnsi="仿宋" w:eastAsia="仿宋"/>
          <w:color w:val="auto"/>
          <w:szCs w:val="32"/>
        </w:rPr>
      </w:pPr>
    </w:p>
    <w:p>
      <w:pPr>
        <w:adjustRightInd w:val="0"/>
        <w:snapToGrid w:val="0"/>
        <w:spacing w:line="620" w:lineRule="exact"/>
        <w:jc w:val="left"/>
        <w:rPr>
          <w:rFonts w:ascii="仿宋" w:hAnsi="仿宋" w:eastAsia="仿宋"/>
          <w:color w:val="auto"/>
          <w:szCs w:val="32"/>
        </w:rPr>
      </w:pPr>
      <w:r>
        <w:rPr>
          <w:rFonts w:hint="eastAsia" w:ascii="仿宋" w:hAnsi="仿宋" w:eastAsia="仿宋"/>
          <w:color w:val="auto"/>
          <w:szCs w:val="32"/>
        </w:rPr>
        <w:t>市财政局：</w:t>
      </w:r>
    </w:p>
    <w:p>
      <w:pPr>
        <w:widowControl/>
        <w:adjustRightInd w:val="0"/>
        <w:snapToGrid w:val="0"/>
        <w:spacing w:line="620" w:lineRule="exact"/>
        <w:ind w:firstLine="632" w:firstLineChars="200"/>
        <w:contextualSpacing/>
        <w:jc w:val="left"/>
        <w:rPr>
          <w:rFonts w:ascii="黑体" w:hAnsi="黑体" w:eastAsia="黑体"/>
          <w:color w:val="auto"/>
          <w:kern w:val="0"/>
          <w:szCs w:val="32"/>
          <w:shd w:val="clear" w:color="auto" w:fill="FFFFFF"/>
          <w:lang w:val="zh-CN"/>
        </w:rPr>
      </w:pPr>
      <w:r>
        <w:rPr>
          <w:rFonts w:ascii="黑体" w:hAnsi="黑体" w:eastAsia="黑体"/>
          <w:color w:val="auto"/>
          <w:kern w:val="0"/>
          <w:szCs w:val="32"/>
          <w:shd w:val="clear" w:color="auto" w:fill="FFFFFF"/>
        </w:rPr>
        <w:t>一、</w:t>
      </w:r>
      <w:r>
        <w:rPr>
          <w:rFonts w:ascii="黑体" w:hAnsi="黑体" w:eastAsia="黑体"/>
          <w:color w:val="auto"/>
          <w:kern w:val="0"/>
          <w:szCs w:val="32"/>
          <w:shd w:val="clear" w:color="auto" w:fill="FFFFFF"/>
          <w:lang w:val="zh-CN"/>
        </w:rPr>
        <w:t>部门（单位）概况</w:t>
      </w:r>
    </w:p>
    <w:p>
      <w:pPr>
        <w:widowControl/>
        <w:adjustRightInd w:val="0"/>
        <w:snapToGrid w:val="0"/>
        <w:spacing w:line="620" w:lineRule="exact"/>
        <w:ind w:firstLine="632" w:firstLineChars="200"/>
        <w:contextualSpacing/>
        <w:jc w:val="left"/>
        <w:rPr>
          <w:rFonts w:ascii="楷体" w:hAnsi="楷体" w:eastAsia="楷体"/>
          <w:color w:val="auto"/>
          <w:kern w:val="0"/>
          <w:szCs w:val="32"/>
          <w:shd w:val="clear" w:color="auto" w:fill="FFFFFF"/>
          <w:lang w:val="zh-CN"/>
        </w:rPr>
      </w:pPr>
      <w:r>
        <w:rPr>
          <w:rFonts w:ascii="楷体" w:hAnsi="楷体" w:eastAsia="楷体"/>
          <w:color w:val="auto"/>
          <w:kern w:val="0"/>
          <w:szCs w:val="32"/>
          <w:shd w:val="clear" w:color="auto" w:fill="FFFFFF"/>
          <w:lang w:val="zh-CN"/>
        </w:rPr>
        <w:t>（一）机构组成。</w:t>
      </w:r>
    </w:p>
    <w:p>
      <w:pPr>
        <w:snapToGrid w:val="0"/>
        <w:spacing w:line="576" w:lineRule="exact"/>
        <w:ind w:firstLine="632" w:firstLineChars="200"/>
        <w:rPr>
          <w:rFonts w:ascii="仿宋" w:hAnsi="仿宋" w:eastAsia="仿宋"/>
          <w:color w:val="auto"/>
          <w:szCs w:val="32"/>
        </w:rPr>
      </w:pPr>
      <w:r>
        <w:rPr>
          <w:rFonts w:hint="eastAsia" w:ascii="仿宋" w:hAnsi="仿宋" w:eastAsia="仿宋"/>
          <w:color w:val="auto"/>
          <w:szCs w:val="32"/>
        </w:rPr>
        <w:t>我院为市本级财政一级预算单位，下属二级单位0个。下设8个行政派出机构,其中含6个乡镇法庭，2个审判点。</w:t>
      </w:r>
    </w:p>
    <w:p>
      <w:pPr>
        <w:widowControl/>
        <w:adjustRightInd w:val="0"/>
        <w:snapToGrid w:val="0"/>
        <w:spacing w:line="620" w:lineRule="exact"/>
        <w:ind w:firstLine="632" w:firstLineChars="200"/>
        <w:contextualSpacing/>
        <w:jc w:val="left"/>
        <w:rPr>
          <w:rFonts w:ascii="楷体" w:hAnsi="楷体" w:eastAsia="楷体"/>
          <w:color w:val="auto"/>
          <w:kern w:val="0"/>
          <w:szCs w:val="32"/>
          <w:shd w:val="clear" w:color="auto" w:fill="FFFFFF"/>
          <w:lang w:val="zh-CN"/>
        </w:rPr>
      </w:pPr>
      <w:r>
        <w:rPr>
          <w:rFonts w:ascii="楷体" w:hAnsi="楷体" w:eastAsia="楷体"/>
          <w:color w:val="auto"/>
          <w:kern w:val="0"/>
          <w:szCs w:val="32"/>
          <w:shd w:val="clear" w:color="auto" w:fill="FFFFFF"/>
          <w:lang w:val="zh-CN"/>
        </w:rPr>
        <w:t>（二）机构职能。</w:t>
      </w:r>
    </w:p>
    <w:p>
      <w:pPr>
        <w:snapToGrid w:val="0"/>
        <w:spacing w:line="520" w:lineRule="exact"/>
        <w:ind w:firstLine="632" w:firstLineChars="200"/>
        <w:rPr>
          <w:rFonts w:ascii="仿宋" w:hAnsi="仿宋" w:eastAsia="仿宋"/>
          <w:color w:val="auto"/>
          <w:szCs w:val="32"/>
        </w:rPr>
      </w:pPr>
      <w:r>
        <w:rPr>
          <w:rFonts w:hint="eastAsia" w:ascii="仿宋" w:hAnsi="仿宋" w:eastAsia="仿宋"/>
          <w:color w:val="auto"/>
          <w:szCs w:val="32"/>
        </w:rPr>
        <w:t>1．主要职能。</w:t>
      </w:r>
    </w:p>
    <w:p>
      <w:pPr>
        <w:pStyle w:val="19"/>
        <w:spacing w:line="576" w:lineRule="exact"/>
        <w:ind w:firstLine="632" w:firstLineChars="200"/>
        <w:rPr>
          <w:rFonts w:ascii="仿宋" w:hAnsi="仿宋" w:eastAsia="仿宋"/>
          <w:color w:val="auto"/>
          <w:kern w:val="2"/>
          <w:sz w:val="32"/>
          <w:szCs w:val="32"/>
        </w:rPr>
      </w:pPr>
      <w:r>
        <w:rPr>
          <w:rFonts w:hint="eastAsia" w:ascii="仿宋" w:hAnsi="仿宋" w:eastAsia="仿宋"/>
          <w:color w:val="auto"/>
          <w:kern w:val="2"/>
          <w:sz w:val="32"/>
          <w:szCs w:val="32"/>
        </w:rPr>
        <w:t>（1）立足中心，加强调研，找准县域中心工作的着力点，以司法建议、审判白皮书、开展专项服务活动等形式积极向党委政府建言献策。参与社会治理工作，主动提供司法服务，争取继续保持县上目标考核一等奖名次。</w:t>
      </w:r>
    </w:p>
    <w:p>
      <w:pPr>
        <w:pStyle w:val="19"/>
        <w:spacing w:line="576" w:lineRule="exact"/>
        <w:ind w:firstLine="632" w:firstLineChars="200"/>
        <w:rPr>
          <w:rFonts w:ascii="仿宋" w:hAnsi="仿宋" w:eastAsia="仿宋"/>
          <w:color w:val="auto"/>
          <w:kern w:val="2"/>
          <w:sz w:val="32"/>
          <w:szCs w:val="32"/>
        </w:rPr>
      </w:pPr>
      <w:r>
        <w:rPr>
          <w:rFonts w:hint="eastAsia" w:ascii="仿宋" w:hAnsi="仿宋" w:eastAsia="仿宋"/>
          <w:color w:val="auto"/>
          <w:kern w:val="2"/>
          <w:sz w:val="32"/>
          <w:szCs w:val="32"/>
        </w:rPr>
        <w:t>（2）审理执行好各类案件，特别是社会各界关注、有影响的重大案件。提升管理效能，注重掌控案件审执中各时间节点，合理安排各案件送达、阅卷、证据交换、评估鉴定、开庭审理、研究裁判等全过程，努力做到各流程“无缝”衔接。</w:t>
      </w:r>
    </w:p>
    <w:p>
      <w:pPr>
        <w:pStyle w:val="19"/>
        <w:spacing w:line="576" w:lineRule="exact"/>
        <w:ind w:firstLine="632" w:firstLineChars="200"/>
        <w:rPr>
          <w:rFonts w:ascii="仿宋" w:hAnsi="仿宋" w:eastAsia="仿宋"/>
          <w:color w:val="auto"/>
          <w:kern w:val="2"/>
          <w:sz w:val="32"/>
          <w:szCs w:val="32"/>
        </w:rPr>
      </w:pPr>
      <w:r>
        <w:rPr>
          <w:rFonts w:hint="eastAsia" w:ascii="仿宋" w:hAnsi="仿宋" w:eastAsia="仿宋"/>
          <w:color w:val="auto"/>
          <w:kern w:val="2"/>
          <w:sz w:val="32"/>
          <w:szCs w:val="32"/>
        </w:rPr>
        <w:t>（3）全力推动基本解决执行难。积极争取党委领导和各方面关心支持，形成工作合力，优化综合治理执行难工作格局。在解决“被执行人难找、财产难寻”问题上下功夫，以提升执结率、到位率为抓手，着力提升质效。针对人民法院基本解决执行难第三方评估指标体系，严格规范执行程序，依法大胆适用强制执行措施。确保圆满完成两年内基本解决执行难工作目标。</w:t>
      </w:r>
    </w:p>
    <w:p>
      <w:pPr>
        <w:pStyle w:val="19"/>
        <w:spacing w:line="576" w:lineRule="exact"/>
        <w:ind w:firstLine="632" w:firstLineChars="200"/>
        <w:rPr>
          <w:rFonts w:ascii="仿宋" w:hAnsi="仿宋" w:eastAsia="仿宋"/>
          <w:color w:val="auto"/>
          <w:kern w:val="2"/>
          <w:sz w:val="32"/>
          <w:szCs w:val="32"/>
        </w:rPr>
      </w:pPr>
      <w:r>
        <w:rPr>
          <w:rFonts w:hint="eastAsia" w:ascii="仿宋" w:hAnsi="仿宋" w:eastAsia="仿宋"/>
          <w:color w:val="auto"/>
          <w:kern w:val="2"/>
          <w:sz w:val="32"/>
          <w:szCs w:val="32"/>
        </w:rPr>
        <w:t>（4）注重破产重整、破产清算案件的受理和审理，加强对“执转破”工作的研究，运用法治方法化解产能过剩，清理“僵尸企业”，优化资源配置，推动破产成为解决执行难的途径之一</w:t>
      </w:r>
    </w:p>
    <w:p>
      <w:pPr>
        <w:widowControl/>
        <w:adjustRightInd w:val="0"/>
        <w:snapToGrid w:val="0"/>
        <w:spacing w:line="620" w:lineRule="exact"/>
        <w:ind w:firstLine="632" w:firstLineChars="200"/>
        <w:contextualSpacing/>
        <w:jc w:val="left"/>
        <w:rPr>
          <w:rFonts w:ascii="楷体" w:hAnsi="楷体" w:eastAsia="楷体"/>
          <w:color w:val="auto"/>
          <w:kern w:val="0"/>
          <w:szCs w:val="32"/>
          <w:shd w:val="clear" w:color="auto" w:fill="FFFFFF"/>
          <w:lang w:val="zh-CN"/>
        </w:rPr>
      </w:pPr>
      <w:r>
        <w:rPr>
          <w:rFonts w:ascii="楷体" w:hAnsi="楷体" w:eastAsia="楷体"/>
          <w:color w:val="auto"/>
          <w:kern w:val="0"/>
          <w:szCs w:val="32"/>
          <w:shd w:val="clear" w:color="auto" w:fill="FFFFFF"/>
          <w:lang w:val="zh-CN"/>
        </w:rPr>
        <w:t>（三）人员概况。</w:t>
      </w:r>
    </w:p>
    <w:p>
      <w:pPr>
        <w:snapToGrid w:val="0"/>
        <w:spacing w:line="576" w:lineRule="exact"/>
        <w:ind w:firstLine="632" w:firstLineChars="200"/>
        <w:rPr>
          <w:rFonts w:ascii="仿宋" w:hAnsi="仿宋" w:eastAsia="仿宋"/>
          <w:color w:val="auto"/>
          <w:szCs w:val="32"/>
        </w:rPr>
      </w:pPr>
      <w:r>
        <w:rPr>
          <w:rFonts w:hint="eastAsia" w:ascii="仿宋" w:hAnsi="仿宋" w:eastAsia="仿宋"/>
          <w:color w:val="auto"/>
          <w:szCs w:val="32"/>
        </w:rPr>
        <w:t>我院2022年年末实有在职职工74人，其中行政公务员71人，事业人员3人，较上年减少1人，系当年有人员退休造成。</w:t>
      </w:r>
    </w:p>
    <w:p>
      <w:pPr>
        <w:widowControl/>
        <w:adjustRightInd w:val="0"/>
        <w:snapToGrid w:val="0"/>
        <w:spacing w:line="620" w:lineRule="exact"/>
        <w:ind w:firstLine="632" w:firstLineChars="200"/>
        <w:contextualSpacing/>
        <w:jc w:val="left"/>
        <w:rPr>
          <w:rFonts w:ascii="黑体" w:hAnsi="黑体" w:eastAsia="黑体"/>
          <w:color w:val="auto"/>
          <w:kern w:val="0"/>
          <w:szCs w:val="32"/>
          <w:shd w:val="clear" w:color="auto" w:fill="FFFFFF"/>
        </w:rPr>
      </w:pPr>
      <w:r>
        <w:rPr>
          <w:rFonts w:ascii="黑体" w:hAnsi="黑体" w:eastAsia="黑体"/>
          <w:color w:val="auto"/>
          <w:kern w:val="0"/>
          <w:szCs w:val="32"/>
          <w:shd w:val="clear" w:color="auto" w:fill="FFFFFF"/>
        </w:rPr>
        <w:t>二、部门财政资金收支情况</w:t>
      </w:r>
    </w:p>
    <w:p>
      <w:pPr>
        <w:widowControl/>
        <w:adjustRightInd w:val="0"/>
        <w:snapToGrid w:val="0"/>
        <w:spacing w:line="620" w:lineRule="exact"/>
        <w:ind w:firstLine="632" w:firstLineChars="200"/>
        <w:contextualSpacing/>
        <w:jc w:val="left"/>
        <w:rPr>
          <w:rFonts w:ascii="楷体" w:hAnsi="楷体" w:eastAsia="楷体"/>
          <w:color w:val="auto"/>
          <w:kern w:val="0"/>
          <w:szCs w:val="32"/>
          <w:shd w:val="clear" w:color="auto" w:fill="FFFFFF"/>
          <w:lang w:val="zh-CN"/>
        </w:rPr>
      </w:pPr>
      <w:r>
        <w:rPr>
          <w:rFonts w:ascii="楷体" w:hAnsi="楷体" w:eastAsia="楷体"/>
          <w:color w:val="auto"/>
          <w:kern w:val="0"/>
          <w:szCs w:val="32"/>
          <w:shd w:val="clear" w:color="auto" w:fill="FFFFFF"/>
          <w:lang w:val="zh-CN"/>
        </w:rPr>
        <w:t>（一）部门财政资金收入情况。</w:t>
      </w:r>
    </w:p>
    <w:p>
      <w:pPr>
        <w:spacing w:line="560" w:lineRule="atLeast"/>
        <w:ind w:firstLine="632" w:firstLineChars="200"/>
        <w:rPr>
          <w:rFonts w:hint="eastAsia" w:ascii="仿宋" w:hAnsi="仿宋" w:eastAsia="仿宋" w:cs="宋体"/>
          <w:color w:val="auto"/>
          <w:szCs w:val="32"/>
        </w:rPr>
      </w:pPr>
      <w:r>
        <w:rPr>
          <w:rFonts w:hint="eastAsia" w:ascii="仿宋" w:hAnsi="仿宋" w:eastAsia="仿宋" w:cs="宋体"/>
          <w:color w:val="auto"/>
          <w:szCs w:val="32"/>
        </w:rPr>
        <w:t>2022年我院年初预算1490.81万元，其中年初财政拨款1490.81万元，年初结转结余0万元，中期调整493.8万元，调整后预算收入总额为1984.61万元，。具体情况详见表2-1：</w:t>
      </w:r>
    </w:p>
    <w:p>
      <w:pPr>
        <w:spacing w:line="560" w:lineRule="atLeast"/>
        <w:ind w:firstLine="632" w:firstLineChars="200"/>
        <w:rPr>
          <w:rFonts w:ascii="仿宋" w:hAnsi="仿宋" w:eastAsia="仿宋" w:cs="宋体"/>
          <w:color w:val="auto"/>
          <w:szCs w:val="32"/>
        </w:rPr>
      </w:pPr>
    </w:p>
    <w:p>
      <w:pPr>
        <w:spacing w:line="560" w:lineRule="atLeast"/>
        <w:ind w:firstLine="552" w:firstLineChars="200"/>
        <w:jc w:val="center"/>
        <w:rPr>
          <w:rFonts w:hint="eastAsia" w:ascii="仿宋" w:hAnsi="仿宋" w:eastAsia="仿宋" w:cs="宋体"/>
          <w:b/>
          <w:bCs/>
          <w:color w:val="auto"/>
          <w:sz w:val="28"/>
          <w:szCs w:val="28"/>
        </w:rPr>
      </w:pPr>
    </w:p>
    <w:p>
      <w:pPr>
        <w:spacing w:line="560" w:lineRule="atLeast"/>
        <w:ind w:firstLine="552" w:firstLineChars="200"/>
        <w:jc w:val="center"/>
        <w:rPr>
          <w:rFonts w:hint="eastAsia" w:ascii="仿宋" w:hAnsi="仿宋" w:eastAsia="仿宋" w:cs="宋体"/>
          <w:b/>
          <w:bCs/>
          <w:color w:val="auto"/>
          <w:sz w:val="28"/>
          <w:szCs w:val="28"/>
        </w:rPr>
      </w:pPr>
    </w:p>
    <w:p>
      <w:pPr>
        <w:spacing w:line="560" w:lineRule="atLeast"/>
        <w:ind w:firstLine="552" w:firstLineChars="200"/>
        <w:jc w:val="center"/>
        <w:rPr>
          <w:rFonts w:hint="eastAsia" w:ascii="仿宋" w:hAnsi="仿宋" w:eastAsia="仿宋" w:cs="宋体"/>
          <w:b/>
          <w:bCs/>
          <w:color w:val="auto"/>
          <w:sz w:val="28"/>
          <w:szCs w:val="28"/>
        </w:rPr>
      </w:pPr>
    </w:p>
    <w:p>
      <w:pPr>
        <w:spacing w:line="560" w:lineRule="atLeast"/>
        <w:ind w:firstLine="552" w:firstLineChars="200"/>
        <w:jc w:val="center"/>
        <w:rPr>
          <w:rFonts w:ascii="仿宋" w:hAnsi="仿宋" w:eastAsia="仿宋" w:cs="宋体"/>
          <w:b/>
          <w:bCs/>
          <w:color w:val="auto"/>
          <w:sz w:val="28"/>
          <w:szCs w:val="28"/>
        </w:rPr>
      </w:pPr>
      <w:r>
        <w:rPr>
          <w:rFonts w:hint="eastAsia" w:ascii="仿宋" w:hAnsi="仿宋" w:eastAsia="仿宋" w:cs="宋体"/>
          <w:b/>
          <w:bCs/>
          <w:color w:val="auto"/>
          <w:sz w:val="28"/>
          <w:szCs w:val="28"/>
        </w:rPr>
        <w:t>表2-1 年度预算表</w:t>
      </w:r>
    </w:p>
    <w:p>
      <w:pPr>
        <w:spacing w:line="560" w:lineRule="atLeast"/>
        <w:ind w:firstLine="552" w:firstLineChars="200"/>
        <w:jc w:val="right"/>
        <w:rPr>
          <w:rFonts w:ascii="仿宋" w:hAnsi="仿宋" w:eastAsia="仿宋" w:cs="宋体"/>
          <w:b/>
          <w:bCs/>
          <w:color w:val="auto"/>
          <w:sz w:val="28"/>
          <w:szCs w:val="28"/>
        </w:rPr>
      </w:pPr>
      <w:r>
        <w:rPr>
          <w:rFonts w:hint="eastAsia" w:ascii="仿宋" w:hAnsi="仿宋" w:eastAsia="仿宋" w:cs="宋体"/>
          <w:b/>
          <w:bCs/>
          <w:color w:val="auto"/>
          <w:sz w:val="28"/>
          <w:szCs w:val="28"/>
        </w:rPr>
        <w:t>单位：万元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6"/>
        <w:gridCol w:w="2269"/>
        <w:gridCol w:w="2265"/>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line="560" w:lineRule="atLeast"/>
              <w:jc w:val="center"/>
              <w:rPr>
                <w:rFonts w:ascii="仿宋" w:hAnsi="仿宋" w:eastAsia="仿宋" w:cs="宋体"/>
                <w:color w:val="auto"/>
                <w:sz w:val="24"/>
              </w:rPr>
            </w:pPr>
            <w:r>
              <w:rPr>
                <w:rFonts w:hint="eastAsia" w:ascii="仿宋" w:hAnsi="仿宋" w:eastAsia="仿宋" w:cs="宋体"/>
                <w:color w:val="auto"/>
                <w:sz w:val="24"/>
              </w:rPr>
              <w:t>项目名称</w:t>
            </w:r>
          </w:p>
        </w:tc>
        <w:tc>
          <w:tcPr>
            <w:tcW w:w="2321" w:type="dxa"/>
          </w:tcPr>
          <w:p>
            <w:pPr>
              <w:spacing w:line="560" w:lineRule="atLeast"/>
              <w:jc w:val="center"/>
              <w:rPr>
                <w:rFonts w:ascii="仿宋" w:hAnsi="仿宋" w:eastAsia="仿宋" w:cs="宋体"/>
                <w:color w:val="auto"/>
                <w:sz w:val="24"/>
              </w:rPr>
            </w:pPr>
            <w:r>
              <w:rPr>
                <w:rFonts w:hint="eastAsia" w:ascii="仿宋" w:hAnsi="仿宋" w:eastAsia="仿宋" w:cs="宋体"/>
                <w:color w:val="auto"/>
                <w:sz w:val="24"/>
              </w:rPr>
              <w:t>年初预算</w:t>
            </w:r>
          </w:p>
        </w:tc>
        <w:tc>
          <w:tcPr>
            <w:tcW w:w="2322" w:type="dxa"/>
          </w:tcPr>
          <w:p>
            <w:pPr>
              <w:spacing w:line="560" w:lineRule="atLeast"/>
              <w:jc w:val="center"/>
              <w:rPr>
                <w:rFonts w:ascii="仿宋" w:hAnsi="仿宋" w:eastAsia="仿宋" w:cs="宋体"/>
                <w:color w:val="auto"/>
                <w:sz w:val="24"/>
              </w:rPr>
            </w:pPr>
            <w:r>
              <w:rPr>
                <w:rFonts w:hint="eastAsia" w:ascii="仿宋" w:hAnsi="仿宋" w:eastAsia="仿宋" w:cs="宋体"/>
                <w:color w:val="auto"/>
                <w:sz w:val="24"/>
              </w:rPr>
              <w:t>中期调整</w:t>
            </w:r>
          </w:p>
        </w:tc>
        <w:tc>
          <w:tcPr>
            <w:tcW w:w="2322" w:type="dxa"/>
          </w:tcPr>
          <w:p>
            <w:pPr>
              <w:spacing w:line="560" w:lineRule="atLeast"/>
              <w:jc w:val="center"/>
              <w:rPr>
                <w:rFonts w:ascii="仿宋" w:hAnsi="仿宋" w:eastAsia="仿宋" w:cs="宋体"/>
                <w:color w:val="auto"/>
                <w:sz w:val="24"/>
              </w:rPr>
            </w:pPr>
            <w:r>
              <w:rPr>
                <w:rFonts w:hint="eastAsia" w:ascii="仿宋" w:hAnsi="仿宋" w:eastAsia="仿宋" w:cs="宋体"/>
                <w:color w:val="auto"/>
                <w:sz w:val="24"/>
              </w:rPr>
              <w:t>年度总预算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line="560" w:lineRule="atLeast"/>
              <w:rPr>
                <w:rFonts w:ascii="仿宋" w:hAnsi="仿宋" w:eastAsia="仿宋" w:cs="宋体"/>
                <w:color w:val="auto"/>
                <w:sz w:val="24"/>
              </w:rPr>
            </w:pPr>
            <w:r>
              <w:rPr>
                <w:rFonts w:hint="eastAsia" w:ascii="仿宋" w:hAnsi="仿宋" w:eastAsia="仿宋" w:cs="宋体"/>
                <w:color w:val="auto"/>
                <w:sz w:val="24"/>
              </w:rPr>
              <w:t>一、一般公共预算财政拨款收入</w:t>
            </w:r>
          </w:p>
        </w:tc>
        <w:tc>
          <w:tcPr>
            <w:tcW w:w="2321" w:type="dxa"/>
          </w:tcPr>
          <w:p>
            <w:pPr>
              <w:spacing w:line="560" w:lineRule="atLeast"/>
              <w:rPr>
                <w:rFonts w:ascii="仿宋" w:hAnsi="仿宋" w:eastAsia="仿宋" w:cs="宋体"/>
                <w:color w:val="auto"/>
                <w:sz w:val="24"/>
              </w:rPr>
            </w:pPr>
            <w:r>
              <w:rPr>
                <w:rFonts w:hint="eastAsia" w:ascii="仿宋" w:hAnsi="仿宋" w:eastAsia="仿宋" w:cs="宋体"/>
                <w:color w:val="auto"/>
                <w:sz w:val="24"/>
              </w:rPr>
              <w:t>1490.81</w:t>
            </w:r>
          </w:p>
        </w:tc>
        <w:tc>
          <w:tcPr>
            <w:tcW w:w="2322" w:type="dxa"/>
          </w:tcPr>
          <w:p>
            <w:pPr>
              <w:spacing w:line="560" w:lineRule="atLeast"/>
              <w:rPr>
                <w:rFonts w:ascii="仿宋" w:hAnsi="仿宋" w:eastAsia="仿宋" w:cs="宋体"/>
                <w:color w:val="auto"/>
                <w:sz w:val="24"/>
              </w:rPr>
            </w:pPr>
            <w:r>
              <w:rPr>
                <w:rFonts w:hint="eastAsia" w:ascii="仿宋" w:hAnsi="仿宋" w:eastAsia="仿宋" w:cs="宋体"/>
                <w:color w:val="auto"/>
                <w:sz w:val="24"/>
              </w:rPr>
              <w:t>493.81</w:t>
            </w:r>
          </w:p>
        </w:tc>
        <w:tc>
          <w:tcPr>
            <w:tcW w:w="2322" w:type="dxa"/>
          </w:tcPr>
          <w:p>
            <w:pPr>
              <w:spacing w:line="560" w:lineRule="atLeast"/>
              <w:rPr>
                <w:rFonts w:ascii="仿宋" w:hAnsi="仿宋" w:eastAsia="仿宋" w:cs="宋体"/>
                <w:color w:val="auto"/>
                <w:sz w:val="24"/>
              </w:rPr>
            </w:pPr>
            <w:r>
              <w:rPr>
                <w:rFonts w:hint="eastAsia" w:ascii="仿宋" w:hAnsi="仿宋" w:eastAsia="仿宋" w:cs="宋体"/>
                <w:color w:val="auto"/>
                <w:sz w:val="24"/>
              </w:rPr>
              <w:t>1984.62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line="560" w:lineRule="atLeast"/>
              <w:rPr>
                <w:rFonts w:ascii="仿宋" w:hAnsi="仿宋" w:eastAsia="仿宋" w:cs="宋体"/>
                <w:color w:val="auto"/>
                <w:sz w:val="24"/>
              </w:rPr>
            </w:pPr>
            <w:r>
              <w:rPr>
                <w:rFonts w:hint="eastAsia" w:ascii="仿宋" w:hAnsi="仿宋" w:eastAsia="仿宋" w:cs="宋体"/>
                <w:color w:val="auto"/>
                <w:sz w:val="24"/>
              </w:rPr>
              <w:t>二、其他收入</w:t>
            </w:r>
          </w:p>
        </w:tc>
        <w:tc>
          <w:tcPr>
            <w:tcW w:w="2321" w:type="dxa"/>
          </w:tcPr>
          <w:p>
            <w:pPr>
              <w:spacing w:line="560" w:lineRule="atLeast"/>
              <w:rPr>
                <w:rFonts w:ascii="仿宋" w:hAnsi="仿宋" w:eastAsia="仿宋" w:cs="宋体"/>
                <w:color w:val="auto"/>
                <w:sz w:val="24"/>
              </w:rPr>
            </w:pPr>
          </w:p>
        </w:tc>
        <w:tc>
          <w:tcPr>
            <w:tcW w:w="2322" w:type="dxa"/>
          </w:tcPr>
          <w:p>
            <w:pPr>
              <w:spacing w:line="560" w:lineRule="atLeast"/>
              <w:rPr>
                <w:rFonts w:ascii="仿宋" w:hAnsi="仿宋" w:eastAsia="仿宋" w:cs="宋体"/>
                <w:color w:val="auto"/>
                <w:sz w:val="24"/>
              </w:rPr>
            </w:pPr>
          </w:p>
        </w:tc>
        <w:tc>
          <w:tcPr>
            <w:tcW w:w="2322" w:type="dxa"/>
          </w:tcPr>
          <w:p>
            <w:pPr>
              <w:spacing w:line="560" w:lineRule="atLeast"/>
              <w:rPr>
                <w:rFonts w:ascii="仿宋" w:hAnsi="仿宋" w:eastAsia="仿宋"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21" w:type="dxa"/>
          </w:tcPr>
          <w:p>
            <w:pPr>
              <w:spacing w:line="560" w:lineRule="atLeast"/>
              <w:rPr>
                <w:rFonts w:ascii="仿宋" w:hAnsi="仿宋" w:eastAsia="仿宋" w:cs="宋体"/>
                <w:color w:val="auto"/>
                <w:sz w:val="24"/>
              </w:rPr>
            </w:pPr>
            <w:r>
              <w:rPr>
                <w:rFonts w:hint="eastAsia" w:ascii="仿宋" w:hAnsi="仿宋" w:eastAsia="仿宋" w:cs="宋体"/>
                <w:color w:val="auto"/>
                <w:sz w:val="24"/>
              </w:rPr>
              <w:t>年初结转结余</w:t>
            </w:r>
          </w:p>
        </w:tc>
        <w:tc>
          <w:tcPr>
            <w:tcW w:w="2321" w:type="dxa"/>
          </w:tcPr>
          <w:p>
            <w:pPr>
              <w:spacing w:line="560" w:lineRule="atLeast"/>
              <w:rPr>
                <w:rFonts w:ascii="仿宋" w:hAnsi="仿宋" w:eastAsia="仿宋" w:cs="宋体"/>
                <w:color w:val="auto"/>
                <w:sz w:val="24"/>
              </w:rPr>
            </w:pPr>
          </w:p>
        </w:tc>
        <w:tc>
          <w:tcPr>
            <w:tcW w:w="2322" w:type="dxa"/>
          </w:tcPr>
          <w:p>
            <w:pPr>
              <w:spacing w:line="560" w:lineRule="atLeast"/>
              <w:rPr>
                <w:rFonts w:ascii="仿宋" w:hAnsi="仿宋" w:eastAsia="仿宋" w:cs="宋体"/>
                <w:color w:val="auto"/>
                <w:sz w:val="24"/>
              </w:rPr>
            </w:pPr>
          </w:p>
        </w:tc>
        <w:tc>
          <w:tcPr>
            <w:tcW w:w="2322" w:type="dxa"/>
          </w:tcPr>
          <w:p>
            <w:pPr>
              <w:spacing w:line="560" w:lineRule="atLeast"/>
              <w:rPr>
                <w:rFonts w:ascii="仿宋" w:hAnsi="仿宋" w:eastAsia="仿宋"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line="560" w:lineRule="atLeast"/>
              <w:rPr>
                <w:rFonts w:ascii="仿宋" w:hAnsi="仿宋" w:eastAsia="仿宋" w:cs="宋体"/>
                <w:color w:val="auto"/>
                <w:sz w:val="24"/>
              </w:rPr>
            </w:pPr>
            <w:r>
              <w:rPr>
                <w:rFonts w:hint="eastAsia" w:ascii="仿宋" w:hAnsi="仿宋" w:eastAsia="仿宋" w:cs="宋体"/>
                <w:color w:val="auto"/>
                <w:sz w:val="24"/>
              </w:rPr>
              <w:t>总计</w:t>
            </w:r>
          </w:p>
        </w:tc>
        <w:tc>
          <w:tcPr>
            <w:tcW w:w="2321" w:type="dxa"/>
          </w:tcPr>
          <w:p>
            <w:pPr>
              <w:spacing w:line="560" w:lineRule="atLeast"/>
              <w:rPr>
                <w:rFonts w:ascii="仿宋" w:hAnsi="仿宋" w:eastAsia="仿宋" w:cs="宋体"/>
                <w:color w:val="auto"/>
                <w:sz w:val="24"/>
              </w:rPr>
            </w:pPr>
            <w:r>
              <w:rPr>
                <w:rFonts w:hint="eastAsia" w:ascii="仿宋" w:hAnsi="仿宋" w:eastAsia="仿宋" w:cs="宋体"/>
                <w:color w:val="auto"/>
                <w:sz w:val="24"/>
              </w:rPr>
              <w:t>1490.81</w:t>
            </w:r>
          </w:p>
        </w:tc>
        <w:tc>
          <w:tcPr>
            <w:tcW w:w="2322" w:type="dxa"/>
          </w:tcPr>
          <w:p>
            <w:pPr>
              <w:spacing w:line="560" w:lineRule="atLeast"/>
              <w:rPr>
                <w:rFonts w:ascii="仿宋" w:hAnsi="仿宋" w:eastAsia="仿宋" w:cs="宋体"/>
                <w:color w:val="auto"/>
                <w:sz w:val="24"/>
              </w:rPr>
            </w:pPr>
          </w:p>
        </w:tc>
        <w:tc>
          <w:tcPr>
            <w:tcW w:w="2322" w:type="dxa"/>
          </w:tcPr>
          <w:p>
            <w:pPr>
              <w:spacing w:line="560" w:lineRule="atLeast"/>
              <w:rPr>
                <w:rFonts w:ascii="仿宋" w:hAnsi="仿宋" w:eastAsia="仿宋" w:cs="宋体"/>
                <w:color w:val="auto"/>
                <w:sz w:val="24"/>
              </w:rPr>
            </w:pPr>
            <w:r>
              <w:rPr>
                <w:rFonts w:hint="eastAsia" w:ascii="仿宋" w:hAnsi="仿宋" w:eastAsia="仿宋" w:cs="宋体"/>
                <w:color w:val="auto"/>
                <w:sz w:val="24"/>
              </w:rPr>
              <w:t>1984.62</w:t>
            </w:r>
          </w:p>
        </w:tc>
      </w:tr>
    </w:tbl>
    <w:p>
      <w:pPr>
        <w:widowControl/>
        <w:adjustRightInd w:val="0"/>
        <w:snapToGrid w:val="0"/>
        <w:spacing w:line="620" w:lineRule="exact"/>
        <w:ind w:firstLine="632" w:firstLineChars="200"/>
        <w:contextualSpacing/>
        <w:jc w:val="left"/>
        <w:rPr>
          <w:rFonts w:ascii="楷体" w:hAnsi="楷体" w:eastAsia="楷体"/>
          <w:color w:val="auto"/>
          <w:kern w:val="0"/>
          <w:szCs w:val="32"/>
          <w:shd w:val="clear" w:color="auto" w:fill="FFFFFF"/>
          <w:lang w:val="zh-CN"/>
        </w:rPr>
      </w:pPr>
      <w:r>
        <w:rPr>
          <w:rFonts w:ascii="楷体" w:hAnsi="楷体" w:eastAsia="楷体"/>
          <w:color w:val="auto"/>
          <w:kern w:val="0"/>
          <w:szCs w:val="32"/>
          <w:shd w:val="clear" w:color="auto" w:fill="FFFFFF"/>
          <w:lang w:val="zh-CN"/>
        </w:rPr>
        <w:t>（二）部门财政资金支出情况。</w:t>
      </w:r>
    </w:p>
    <w:p>
      <w:pPr>
        <w:widowControl/>
        <w:adjustRightInd w:val="0"/>
        <w:snapToGrid w:val="0"/>
        <w:spacing w:line="620" w:lineRule="exact"/>
        <w:ind w:firstLine="632" w:firstLineChars="200"/>
        <w:contextualSpacing/>
        <w:jc w:val="left"/>
        <w:rPr>
          <w:rFonts w:ascii="仿宋" w:hAnsi="仿宋" w:eastAsia="仿宋" w:cs="宋体"/>
          <w:color w:val="auto"/>
          <w:szCs w:val="32"/>
        </w:rPr>
      </w:pPr>
      <w:r>
        <w:rPr>
          <w:rFonts w:hint="eastAsia" w:ascii="仿宋" w:hAnsi="仿宋" w:eastAsia="仿宋" w:cs="宋体"/>
          <w:color w:val="auto"/>
          <w:szCs w:val="32"/>
        </w:rPr>
        <w:t xml:space="preserve">2022年我院财政支出年初预算为1490.81万元，中期调整为493.81万元，调整后预算总支出为1984.62万元，部门支出预算执行总额为1936.86万元，部门总体执行进度为97.59%。其中，基本支出预算总额1552.61万元，基本支出执行进度96.93%，项目支出预算总额432万元，项目支出执行进度99.99%，具体情况详见表2-2 </w:t>
      </w:r>
    </w:p>
    <w:p>
      <w:pPr>
        <w:spacing w:line="560" w:lineRule="atLeast"/>
        <w:ind w:firstLine="552" w:firstLineChars="200"/>
        <w:jc w:val="center"/>
        <w:rPr>
          <w:rFonts w:ascii="仿宋" w:hAnsi="仿宋" w:eastAsia="仿宋" w:cs="宋体"/>
          <w:b/>
          <w:bCs/>
          <w:color w:val="auto"/>
          <w:sz w:val="28"/>
          <w:szCs w:val="28"/>
        </w:rPr>
      </w:pPr>
      <w:r>
        <w:rPr>
          <w:rFonts w:hint="eastAsia" w:ascii="仿宋" w:hAnsi="仿宋" w:eastAsia="仿宋" w:cs="宋体"/>
          <w:b/>
          <w:bCs/>
          <w:color w:val="auto"/>
          <w:sz w:val="28"/>
          <w:szCs w:val="28"/>
        </w:rPr>
        <w:t>表2-2年度预算执行表</w:t>
      </w:r>
    </w:p>
    <w:p>
      <w:pPr>
        <w:spacing w:line="560" w:lineRule="atLeast"/>
        <w:ind w:firstLine="552" w:firstLineChars="200"/>
        <w:jc w:val="right"/>
        <w:rPr>
          <w:rFonts w:ascii="仿宋" w:hAnsi="仿宋" w:eastAsia="仿宋" w:cs="宋体"/>
          <w:b/>
          <w:bCs/>
          <w:color w:val="auto"/>
          <w:sz w:val="28"/>
          <w:szCs w:val="28"/>
        </w:rPr>
      </w:pPr>
      <w:r>
        <w:rPr>
          <w:rFonts w:hint="eastAsia" w:ascii="仿宋" w:hAnsi="仿宋" w:eastAsia="仿宋" w:cs="宋体"/>
          <w:b/>
          <w:bCs/>
          <w:color w:val="auto"/>
          <w:sz w:val="28"/>
          <w:szCs w:val="28"/>
        </w:rPr>
        <w:t>单位：万元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6"/>
        <w:gridCol w:w="1515"/>
        <w:gridCol w:w="1509"/>
        <w:gridCol w:w="1516"/>
        <w:gridCol w:w="1515"/>
        <w:gridCol w:w="1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547" w:type="dxa"/>
          </w:tcPr>
          <w:p>
            <w:pPr>
              <w:widowControl/>
              <w:adjustRightInd w:val="0"/>
              <w:snapToGrid w:val="0"/>
              <w:spacing w:line="620" w:lineRule="exact"/>
              <w:contextualSpacing/>
              <w:jc w:val="center"/>
              <w:rPr>
                <w:rFonts w:ascii="仿宋" w:hAnsi="仿宋" w:eastAsia="仿宋" w:cs="宋体"/>
                <w:color w:val="auto"/>
                <w:sz w:val="24"/>
                <w:lang w:val="zh-CN"/>
              </w:rPr>
            </w:pPr>
            <w:r>
              <w:rPr>
                <w:rFonts w:hint="eastAsia" w:ascii="仿宋" w:hAnsi="仿宋" w:eastAsia="仿宋" w:cs="宋体"/>
                <w:color w:val="auto"/>
                <w:sz w:val="24"/>
                <w:lang w:val="zh-CN"/>
              </w:rPr>
              <w:t>项目名称</w:t>
            </w:r>
          </w:p>
        </w:tc>
        <w:tc>
          <w:tcPr>
            <w:tcW w:w="1547" w:type="dxa"/>
          </w:tcPr>
          <w:p>
            <w:pPr>
              <w:widowControl/>
              <w:adjustRightInd w:val="0"/>
              <w:snapToGrid w:val="0"/>
              <w:spacing w:line="620" w:lineRule="exact"/>
              <w:contextualSpacing/>
              <w:jc w:val="center"/>
              <w:rPr>
                <w:rFonts w:ascii="仿宋" w:hAnsi="仿宋" w:eastAsia="仿宋" w:cs="宋体"/>
                <w:color w:val="auto"/>
                <w:sz w:val="24"/>
                <w:lang w:val="zh-CN"/>
              </w:rPr>
            </w:pPr>
            <w:r>
              <w:rPr>
                <w:rFonts w:hint="eastAsia" w:ascii="仿宋" w:hAnsi="仿宋" w:eastAsia="仿宋" w:cs="宋体"/>
                <w:color w:val="auto"/>
                <w:sz w:val="24"/>
                <w:lang w:val="zh-CN"/>
              </w:rPr>
              <w:t>年度预算</w:t>
            </w:r>
          </w:p>
        </w:tc>
        <w:tc>
          <w:tcPr>
            <w:tcW w:w="1548" w:type="dxa"/>
          </w:tcPr>
          <w:p>
            <w:pPr>
              <w:widowControl/>
              <w:adjustRightInd w:val="0"/>
              <w:snapToGrid w:val="0"/>
              <w:spacing w:line="620" w:lineRule="exact"/>
              <w:contextualSpacing/>
              <w:jc w:val="center"/>
              <w:rPr>
                <w:rFonts w:ascii="仿宋" w:hAnsi="仿宋" w:eastAsia="仿宋" w:cs="宋体"/>
                <w:color w:val="auto"/>
                <w:sz w:val="24"/>
                <w:lang w:val="zh-CN"/>
              </w:rPr>
            </w:pPr>
            <w:r>
              <w:rPr>
                <w:rFonts w:hint="eastAsia" w:ascii="仿宋" w:hAnsi="仿宋" w:eastAsia="仿宋" w:cs="宋体"/>
                <w:color w:val="auto"/>
                <w:sz w:val="24"/>
                <w:lang w:val="zh-CN"/>
              </w:rPr>
              <w:t>中期调整</w:t>
            </w:r>
          </w:p>
        </w:tc>
        <w:tc>
          <w:tcPr>
            <w:tcW w:w="1548" w:type="dxa"/>
          </w:tcPr>
          <w:p>
            <w:pPr>
              <w:widowControl/>
              <w:adjustRightInd w:val="0"/>
              <w:snapToGrid w:val="0"/>
              <w:spacing w:line="620" w:lineRule="exact"/>
              <w:contextualSpacing/>
              <w:jc w:val="center"/>
              <w:rPr>
                <w:rFonts w:ascii="仿宋" w:hAnsi="仿宋" w:eastAsia="仿宋" w:cs="宋体"/>
                <w:color w:val="auto"/>
                <w:sz w:val="24"/>
                <w:lang w:val="zh-CN"/>
              </w:rPr>
            </w:pPr>
            <w:r>
              <w:rPr>
                <w:rFonts w:hint="eastAsia" w:ascii="仿宋" w:hAnsi="仿宋" w:eastAsia="仿宋" w:cs="宋体"/>
                <w:color w:val="auto"/>
                <w:sz w:val="24"/>
                <w:lang w:val="zh-CN"/>
              </w:rPr>
              <w:t>年初总预算</w:t>
            </w:r>
          </w:p>
        </w:tc>
        <w:tc>
          <w:tcPr>
            <w:tcW w:w="1548" w:type="dxa"/>
          </w:tcPr>
          <w:p>
            <w:pPr>
              <w:widowControl/>
              <w:adjustRightInd w:val="0"/>
              <w:snapToGrid w:val="0"/>
              <w:spacing w:line="620" w:lineRule="exact"/>
              <w:contextualSpacing/>
              <w:jc w:val="center"/>
              <w:rPr>
                <w:rFonts w:ascii="仿宋" w:hAnsi="仿宋" w:eastAsia="仿宋" w:cs="宋体"/>
                <w:color w:val="auto"/>
                <w:sz w:val="24"/>
                <w:lang w:val="zh-CN"/>
              </w:rPr>
            </w:pPr>
            <w:r>
              <w:rPr>
                <w:rFonts w:hint="eastAsia" w:ascii="仿宋" w:hAnsi="仿宋" w:eastAsia="仿宋" w:cs="宋体"/>
                <w:color w:val="auto"/>
                <w:sz w:val="24"/>
                <w:lang w:val="zh-CN"/>
              </w:rPr>
              <w:t>预算执行</w:t>
            </w:r>
          </w:p>
        </w:tc>
        <w:tc>
          <w:tcPr>
            <w:tcW w:w="1548" w:type="dxa"/>
          </w:tcPr>
          <w:p>
            <w:pPr>
              <w:widowControl/>
              <w:adjustRightInd w:val="0"/>
              <w:snapToGrid w:val="0"/>
              <w:spacing w:line="620" w:lineRule="exact"/>
              <w:contextualSpacing/>
              <w:jc w:val="center"/>
              <w:rPr>
                <w:rFonts w:ascii="仿宋" w:hAnsi="仿宋" w:eastAsia="仿宋" w:cs="宋体"/>
                <w:color w:val="auto"/>
                <w:sz w:val="24"/>
                <w:lang w:val="zh-CN"/>
              </w:rPr>
            </w:pPr>
            <w:r>
              <w:rPr>
                <w:rFonts w:hint="eastAsia" w:ascii="仿宋" w:hAnsi="仿宋" w:eastAsia="仿宋" w:cs="宋体"/>
                <w:color w:val="auto"/>
                <w:sz w:val="24"/>
                <w:lang w:val="zh-CN"/>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pPr>
              <w:widowControl/>
              <w:adjustRightInd w:val="0"/>
              <w:snapToGrid w:val="0"/>
              <w:spacing w:line="620" w:lineRule="exact"/>
              <w:contextualSpacing/>
              <w:jc w:val="left"/>
              <w:rPr>
                <w:rFonts w:ascii="仿宋" w:hAnsi="仿宋" w:eastAsia="仿宋" w:cs="宋体"/>
                <w:color w:val="auto"/>
                <w:sz w:val="24"/>
                <w:lang w:val="zh-CN"/>
              </w:rPr>
            </w:pPr>
            <w:r>
              <w:rPr>
                <w:rFonts w:hint="eastAsia" w:ascii="仿宋" w:hAnsi="仿宋" w:eastAsia="仿宋" w:cs="宋体"/>
                <w:color w:val="auto"/>
                <w:sz w:val="24"/>
                <w:lang w:val="zh-CN"/>
              </w:rPr>
              <w:t>一、基本支出</w:t>
            </w:r>
          </w:p>
        </w:tc>
        <w:tc>
          <w:tcPr>
            <w:tcW w:w="1547" w:type="dxa"/>
          </w:tcPr>
          <w:p>
            <w:pPr>
              <w:widowControl/>
              <w:adjustRightInd w:val="0"/>
              <w:snapToGrid w:val="0"/>
              <w:spacing w:line="620" w:lineRule="exact"/>
              <w:contextualSpacing/>
              <w:jc w:val="left"/>
              <w:rPr>
                <w:rFonts w:ascii="仿宋" w:hAnsi="仿宋" w:eastAsia="仿宋" w:cs="宋体"/>
                <w:color w:val="auto"/>
                <w:sz w:val="24"/>
                <w:lang w:val="zh-CN"/>
              </w:rPr>
            </w:pPr>
          </w:p>
        </w:tc>
        <w:tc>
          <w:tcPr>
            <w:tcW w:w="1548" w:type="dxa"/>
          </w:tcPr>
          <w:p>
            <w:pPr>
              <w:widowControl/>
              <w:adjustRightInd w:val="0"/>
              <w:snapToGrid w:val="0"/>
              <w:spacing w:line="620" w:lineRule="exact"/>
              <w:contextualSpacing/>
              <w:jc w:val="left"/>
              <w:rPr>
                <w:rFonts w:ascii="仿宋" w:hAnsi="仿宋" w:eastAsia="仿宋" w:cs="宋体"/>
                <w:color w:val="auto"/>
                <w:szCs w:val="32"/>
                <w:lang w:val="zh-CN"/>
              </w:rPr>
            </w:pPr>
          </w:p>
        </w:tc>
        <w:tc>
          <w:tcPr>
            <w:tcW w:w="1548" w:type="dxa"/>
          </w:tcPr>
          <w:p>
            <w:pPr>
              <w:widowControl/>
              <w:adjustRightInd w:val="0"/>
              <w:snapToGrid w:val="0"/>
              <w:spacing w:line="620" w:lineRule="exact"/>
              <w:contextualSpacing/>
              <w:jc w:val="left"/>
              <w:rPr>
                <w:rFonts w:ascii="仿宋" w:hAnsi="仿宋" w:eastAsia="仿宋" w:cs="宋体"/>
                <w:color w:val="auto"/>
                <w:szCs w:val="32"/>
                <w:lang w:val="zh-CN"/>
              </w:rPr>
            </w:pPr>
          </w:p>
        </w:tc>
        <w:tc>
          <w:tcPr>
            <w:tcW w:w="1548" w:type="dxa"/>
          </w:tcPr>
          <w:p>
            <w:pPr>
              <w:widowControl/>
              <w:adjustRightInd w:val="0"/>
              <w:snapToGrid w:val="0"/>
              <w:spacing w:line="620" w:lineRule="exact"/>
              <w:contextualSpacing/>
              <w:jc w:val="left"/>
              <w:rPr>
                <w:rFonts w:ascii="仿宋" w:hAnsi="仿宋" w:eastAsia="仿宋" w:cs="宋体"/>
                <w:color w:val="auto"/>
                <w:szCs w:val="32"/>
                <w:lang w:val="zh-CN"/>
              </w:rPr>
            </w:pPr>
          </w:p>
        </w:tc>
        <w:tc>
          <w:tcPr>
            <w:tcW w:w="1548" w:type="dxa"/>
          </w:tcPr>
          <w:p>
            <w:pPr>
              <w:widowControl/>
              <w:adjustRightInd w:val="0"/>
              <w:snapToGrid w:val="0"/>
              <w:spacing w:line="620" w:lineRule="exact"/>
              <w:contextualSpacing/>
              <w:jc w:val="left"/>
              <w:rPr>
                <w:rFonts w:ascii="仿宋" w:hAnsi="仿宋" w:eastAsia="仿宋" w:cs="宋体"/>
                <w:color w:val="auto"/>
                <w:szCs w:val="3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pPr>
              <w:widowControl/>
              <w:adjustRightInd w:val="0"/>
              <w:snapToGrid w:val="0"/>
              <w:spacing w:line="620" w:lineRule="exact"/>
              <w:contextualSpacing/>
              <w:jc w:val="left"/>
              <w:rPr>
                <w:rFonts w:ascii="仿宋" w:hAnsi="仿宋" w:eastAsia="仿宋" w:cs="宋体"/>
                <w:color w:val="auto"/>
                <w:sz w:val="24"/>
                <w:lang w:val="zh-CN"/>
              </w:rPr>
            </w:pPr>
            <w:r>
              <w:rPr>
                <w:rFonts w:hint="eastAsia" w:ascii="仿宋" w:hAnsi="仿宋" w:eastAsia="仿宋" w:cs="宋体"/>
                <w:color w:val="auto"/>
                <w:sz w:val="24"/>
                <w:lang w:val="zh-CN"/>
              </w:rPr>
              <w:t>人员经费</w:t>
            </w:r>
          </w:p>
        </w:tc>
        <w:tc>
          <w:tcPr>
            <w:tcW w:w="1547" w:type="dxa"/>
          </w:tcPr>
          <w:p>
            <w:pPr>
              <w:spacing w:line="560" w:lineRule="atLeast"/>
              <w:rPr>
                <w:rFonts w:ascii="仿宋" w:hAnsi="仿宋" w:eastAsia="仿宋" w:cs="宋体"/>
                <w:color w:val="auto"/>
                <w:sz w:val="24"/>
              </w:rPr>
            </w:pPr>
            <w:r>
              <w:rPr>
                <w:rFonts w:hint="eastAsia" w:ascii="仿宋" w:hAnsi="仿宋" w:eastAsia="仿宋" w:cs="宋体"/>
                <w:color w:val="auto"/>
                <w:sz w:val="24"/>
              </w:rPr>
              <w:t>1195.14</w:t>
            </w:r>
          </w:p>
        </w:tc>
        <w:tc>
          <w:tcPr>
            <w:tcW w:w="1548" w:type="dxa"/>
          </w:tcPr>
          <w:p>
            <w:pPr>
              <w:spacing w:line="560" w:lineRule="atLeast"/>
              <w:rPr>
                <w:rFonts w:ascii="仿宋" w:hAnsi="仿宋" w:eastAsia="仿宋" w:cs="宋体"/>
                <w:color w:val="auto"/>
                <w:sz w:val="24"/>
              </w:rPr>
            </w:pPr>
            <w:r>
              <w:rPr>
                <w:rFonts w:hint="eastAsia" w:ascii="仿宋" w:hAnsi="仿宋" w:eastAsia="仿宋" w:cs="宋体"/>
                <w:color w:val="auto"/>
                <w:sz w:val="24"/>
              </w:rPr>
              <w:t>109.8</w:t>
            </w:r>
          </w:p>
        </w:tc>
        <w:tc>
          <w:tcPr>
            <w:tcW w:w="1548" w:type="dxa"/>
          </w:tcPr>
          <w:p>
            <w:pPr>
              <w:spacing w:line="560" w:lineRule="atLeast"/>
              <w:rPr>
                <w:rFonts w:ascii="仿宋" w:hAnsi="仿宋" w:eastAsia="仿宋" w:cs="宋体"/>
                <w:color w:val="auto"/>
                <w:sz w:val="24"/>
              </w:rPr>
            </w:pPr>
            <w:r>
              <w:rPr>
                <w:rFonts w:hint="eastAsia" w:ascii="仿宋" w:hAnsi="仿宋" w:eastAsia="仿宋" w:cs="宋体"/>
                <w:color w:val="auto"/>
                <w:sz w:val="24"/>
              </w:rPr>
              <w:t>1085.34</w:t>
            </w:r>
          </w:p>
        </w:tc>
        <w:tc>
          <w:tcPr>
            <w:tcW w:w="1548" w:type="dxa"/>
          </w:tcPr>
          <w:p>
            <w:pPr>
              <w:widowControl/>
              <w:adjustRightInd w:val="0"/>
              <w:snapToGrid w:val="0"/>
              <w:spacing w:line="620" w:lineRule="exact"/>
              <w:contextualSpacing/>
              <w:jc w:val="left"/>
              <w:rPr>
                <w:rFonts w:ascii="仿宋" w:hAnsi="仿宋" w:eastAsia="仿宋" w:cs="宋体"/>
                <w:color w:val="auto"/>
                <w:sz w:val="24"/>
              </w:rPr>
            </w:pPr>
            <w:r>
              <w:rPr>
                <w:rFonts w:hint="eastAsia" w:ascii="仿宋" w:hAnsi="仿宋" w:eastAsia="仿宋" w:cs="宋体"/>
                <w:color w:val="auto"/>
                <w:sz w:val="24"/>
              </w:rPr>
              <w:t>1154.02</w:t>
            </w:r>
          </w:p>
        </w:tc>
        <w:tc>
          <w:tcPr>
            <w:tcW w:w="1548" w:type="dxa"/>
          </w:tcPr>
          <w:p>
            <w:pPr>
              <w:widowControl/>
              <w:adjustRightInd w:val="0"/>
              <w:snapToGrid w:val="0"/>
              <w:spacing w:line="620" w:lineRule="exact"/>
              <w:contextualSpacing/>
              <w:jc w:val="left"/>
              <w:rPr>
                <w:rFonts w:ascii="仿宋" w:hAnsi="仿宋" w:eastAsia="仿宋" w:cs="宋体"/>
                <w:color w:val="auto"/>
                <w:sz w:val="24"/>
              </w:rPr>
            </w:pPr>
            <w:r>
              <w:rPr>
                <w:rFonts w:hint="eastAsia" w:ascii="仿宋" w:hAnsi="仿宋" w:eastAsia="仿宋" w:cs="宋体"/>
                <w:color w:val="auto"/>
                <w:sz w:val="24"/>
              </w:rPr>
              <w:t>96.56%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7" w:type="dxa"/>
          </w:tcPr>
          <w:p>
            <w:pPr>
              <w:widowControl/>
              <w:adjustRightInd w:val="0"/>
              <w:snapToGrid w:val="0"/>
              <w:spacing w:line="620" w:lineRule="exact"/>
              <w:contextualSpacing/>
              <w:jc w:val="left"/>
              <w:rPr>
                <w:rFonts w:ascii="仿宋" w:hAnsi="仿宋" w:eastAsia="仿宋" w:cs="宋体"/>
                <w:color w:val="auto"/>
                <w:sz w:val="24"/>
                <w:lang w:val="zh-CN"/>
              </w:rPr>
            </w:pPr>
            <w:r>
              <w:rPr>
                <w:rFonts w:hint="eastAsia" w:ascii="仿宋" w:hAnsi="仿宋" w:eastAsia="仿宋" w:cs="宋体"/>
                <w:color w:val="auto"/>
                <w:sz w:val="24"/>
                <w:lang w:val="zh-CN"/>
              </w:rPr>
              <w:t>公用经费</w:t>
            </w:r>
          </w:p>
        </w:tc>
        <w:tc>
          <w:tcPr>
            <w:tcW w:w="1547" w:type="dxa"/>
          </w:tcPr>
          <w:p>
            <w:pPr>
              <w:spacing w:line="560" w:lineRule="atLeast"/>
              <w:rPr>
                <w:rFonts w:ascii="仿宋" w:hAnsi="仿宋" w:eastAsia="仿宋" w:cs="宋体"/>
                <w:color w:val="auto"/>
                <w:sz w:val="24"/>
              </w:rPr>
            </w:pPr>
            <w:r>
              <w:rPr>
                <w:rFonts w:hint="eastAsia" w:ascii="仿宋" w:hAnsi="仿宋" w:eastAsia="仿宋" w:cs="宋体"/>
                <w:color w:val="auto"/>
                <w:sz w:val="24"/>
              </w:rPr>
              <w:t>357.48</w:t>
            </w:r>
          </w:p>
        </w:tc>
        <w:tc>
          <w:tcPr>
            <w:tcW w:w="1548" w:type="dxa"/>
          </w:tcPr>
          <w:p>
            <w:pPr>
              <w:spacing w:line="560" w:lineRule="atLeast"/>
              <w:rPr>
                <w:rFonts w:ascii="仿宋" w:hAnsi="仿宋" w:eastAsia="仿宋" w:cs="宋体"/>
                <w:color w:val="auto"/>
                <w:sz w:val="24"/>
              </w:rPr>
            </w:pPr>
            <w:r>
              <w:rPr>
                <w:rFonts w:hint="eastAsia" w:ascii="仿宋" w:hAnsi="仿宋" w:eastAsia="仿宋" w:cs="宋体"/>
                <w:color w:val="auto"/>
                <w:sz w:val="24"/>
              </w:rPr>
              <w:t xml:space="preserve"> 0.01</w:t>
            </w:r>
          </w:p>
        </w:tc>
        <w:tc>
          <w:tcPr>
            <w:tcW w:w="1548" w:type="dxa"/>
          </w:tcPr>
          <w:p>
            <w:pPr>
              <w:spacing w:line="560" w:lineRule="atLeast"/>
              <w:rPr>
                <w:rFonts w:ascii="仿宋" w:hAnsi="仿宋" w:eastAsia="仿宋" w:cs="宋体"/>
                <w:color w:val="auto"/>
                <w:sz w:val="24"/>
              </w:rPr>
            </w:pPr>
            <w:r>
              <w:rPr>
                <w:rFonts w:hint="eastAsia" w:ascii="仿宋" w:hAnsi="仿宋" w:eastAsia="仿宋" w:cs="宋体"/>
                <w:color w:val="auto"/>
                <w:sz w:val="24"/>
              </w:rPr>
              <w:t>357.47</w:t>
            </w:r>
          </w:p>
        </w:tc>
        <w:tc>
          <w:tcPr>
            <w:tcW w:w="1548" w:type="dxa"/>
          </w:tcPr>
          <w:p>
            <w:pPr>
              <w:widowControl/>
              <w:adjustRightInd w:val="0"/>
              <w:snapToGrid w:val="0"/>
              <w:spacing w:line="620" w:lineRule="exact"/>
              <w:contextualSpacing/>
              <w:jc w:val="left"/>
              <w:rPr>
                <w:rFonts w:ascii="仿宋" w:hAnsi="仿宋" w:eastAsia="仿宋" w:cs="宋体"/>
                <w:color w:val="auto"/>
                <w:sz w:val="24"/>
              </w:rPr>
            </w:pPr>
            <w:r>
              <w:rPr>
                <w:rFonts w:hint="eastAsia" w:ascii="仿宋" w:hAnsi="仿宋" w:eastAsia="仿宋" w:cs="宋体"/>
                <w:color w:val="auto"/>
                <w:sz w:val="24"/>
              </w:rPr>
              <w:t>350.87</w:t>
            </w:r>
          </w:p>
        </w:tc>
        <w:tc>
          <w:tcPr>
            <w:tcW w:w="1548" w:type="dxa"/>
          </w:tcPr>
          <w:p>
            <w:pPr>
              <w:widowControl/>
              <w:adjustRightInd w:val="0"/>
              <w:snapToGrid w:val="0"/>
              <w:spacing w:line="620" w:lineRule="exact"/>
              <w:contextualSpacing/>
              <w:jc w:val="left"/>
              <w:rPr>
                <w:rFonts w:ascii="仿宋" w:hAnsi="仿宋" w:eastAsia="仿宋" w:cs="宋体"/>
                <w:color w:val="auto"/>
                <w:sz w:val="24"/>
              </w:rPr>
            </w:pPr>
            <w:r>
              <w:rPr>
                <w:rFonts w:hint="eastAsia" w:ascii="仿宋" w:hAnsi="仿宋" w:eastAsia="仿宋" w:cs="宋体"/>
                <w:color w:val="auto"/>
                <w:sz w:val="24"/>
              </w:rPr>
              <w:t>98.15%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pPr>
              <w:widowControl/>
              <w:adjustRightInd w:val="0"/>
              <w:snapToGrid w:val="0"/>
              <w:spacing w:line="620" w:lineRule="exact"/>
              <w:contextualSpacing/>
              <w:jc w:val="left"/>
              <w:rPr>
                <w:rFonts w:ascii="仿宋" w:hAnsi="仿宋" w:eastAsia="仿宋" w:cs="宋体"/>
                <w:color w:val="auto"/>
                <w:sz w:val="24"/>
                <w:lang w:val="zh-CN"/>
              </w:rPr>
            </w:pPr>
            <w:r>
              <w:rPr>
                <w:rFonts w:hint="eastAsia" w:ascii="仿宋" w:hAnsi="仿宋" w:eastAsia="仿宋" w:cs="宋体"/>
                <w:color w:val="auto"/>
                <w:sz w:val="24"/>
                <w:lang w:val="zh-CN"/>
              </w:rPr>
              <w:t>二、项目支出</w:t>
            </w:r>
          </w:p>
        </w:tc>
        <w:tc>
          <w:tcPr>
            <w:tcW w:w="1547" w:type="dxa"/>
          </w:tcPr>
          <w:p>
            <w:pPr>
              <w:spacing w:line="560" w:lineRule="atLeast"/>
              <w:rPr>
                <w:rFonts w:ascii="仿宋" w:hAnsi="仿宋" w:eastAsia="仿宋" w:cs="宋体"/>
                <w:color w:val="auto"/>
                <w:sz w:val="24"/>
              </w:rPr>
            </w:pPr>
            <w:r>
              <w:rPr>
                <w:rFonts w:hint="eastAsia" w:ascii="仿宋" w:hAnsi="仿宋" w:eastAsia="仿宋" w:cs="宋体"/>
                <w:color w:val="auto"/>
                <w:sz w:val="24"/>
              </w:rPr>
              <w:t>432</w:t>
            </w:r>
          </w:p>
        </w:tc>
        <w:tc>
          <w:tcPr>
            <w:tcW w:w="1548" w:type="dxa"/>
          </w:tcPr>
          <w:p>
            <w:pPr>
              <w:spacing w:line="560" w:lineRule="atLeast"/>
              <w:rPr>
                <w:rFonts w:ascii="仿宋" w:hAnsi="仿宋" w:eastAsia="仿宋" w:cs="宋体"/>
                <w:color w:val="auto"/>
                <w:sz w:val="24"/>
              </w:rPr>
            </w:pPr>
            <w:r>
              <w:rPr>
                <w:rFonts w:hint="eastAsia" w:ascii="仿宋" w:hAnsi="仿宋" w:eastAsia="仿宋" w:cs="宋体"/>
                <w:color w:val="auto"/>
                <w:sz w:val="24"/>
              </w:rPr>
              <w:t>384</w:t>
            </w:r>
          </w:p>
        </w:tc>
        <w:tc>
          <w:tcPr>
            <w:tcW w:w="1548" w:type="dxa"/>
          </w:tcPr>
          <w:p>
            <w:pPr>
              <w:spacing w:line="560" w:lineRule="atLeast"/>
              <w:rPr>
                <w:rFonts w:ascii="仿宋" w:hAnsi="仿宋" w:eastAsia="仿宋" w:cs="宋体"/>
                <w:color w:val="auto"/>
                <w:sz w:val="24"/>
              </w:rPr>
            </w:pPr>
            <w:r>
              <w:rPr>
                <w:rFonts w:hint="eastAsia" w:ascii="仿宋" w:hAnsi="仿宋" w:eastAsia="仿宋" w:cs="宋体"/>
                <w:color w:val="auto"/>
                <w:sz w:val="24"/>
              </w:rPr>
              <w:t>48</w:t>
            </w:r>
          </w:p>
        </w:tc>
        <w:tc>
          <w:tcPr>
            <w:tcW w:w="1548" w:type="dxa"/>
          </w:tcPr>
          <w:p>
            <w:pPr>
              <w:widowControl/>
              <w:adjustRightInd w:val="0"/>
              <w:snapToGrid w:val="0"/>
              <w:spacing w:line="620" w:lineRule="exact"/>
              <w:contextualSpacing/>
              <w:jc w:val="left"/>
              <w:rPr>
                <w:rFonts w:ascii="仿宋" w:hAnsi="仿宋" w:eastAsia="仿宋" w:cs="宋体"/>
                <w:color w:val="auto"/>
                <w:sz w:val="24"/>
              </w:rPr>
            </w:pPr>
            <w:r>
              <w:rPr>
                <w:rFonts w:hint="eastAsia" w:ascii="仿宋" w:hAnsi="仿宋" w:eastAsia="仿宋" w:cs="宋体"/>
                <w:color w:val="auto"/>
                <w:sz w:val="24"/>
              </w:rPr>
              <w:t>431.99</w:t>
            </w:r>
          </w:p>
        </w:tc>
        <w:tc>
          <w:tcPr>
            <w:tcW w:w="1548" w:type="dxa"/>
          </w:tcPr>
          <w:p>
            <w:pPr>
              <w:widowControl/>
              <w:adjustRightInd w:val="0"/>
              <w:snapToGrid w:val="0"/>
              <w:spacing w:line="620" w:lineRule="exact"/>
              <w:contextualSpacing/>
              <w:jc w:val="left"/>
              <w:rPr>
                <w:rFonts w:ascii="仿宋" w:hAnsi="仿宋" w:eastAsia="仿宋" w:cs="宋体"/>
                <w:color w:val="auto"/>
                <w:sz w:val="24"/>
              </w:rPr>
            </w:pPr>
            <w:r>
              <w:rPr>
                <w:rFonts w:hint="eastAsia" w:ascii="仿宋" w:hAnsi="仿宋" w:eastAsia="仿宋" w:cs="宋体"/>
                <w:color w:val="auto"/>
                <w:sz w:val="24"/>
              </w:rPr>
              <w:t>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pPr>
              <w:widowControl/>
              <w:adjustRightInd w:val="0"/>
              <w:snapToGrid w:val="0"/>
              <w:spacing w:line="620" w:lineRule="exact"/>
              <w:contextualSpacing/>
              <w:jc w:val="left"/>
              <w:rPr>
                <w:rFonts w:ascii="仿宋" w:hAnsi="仿宋" w:eastAsia="仿宋" w:cs="宋体"/>
                <w:color w:val="auto"/>
                <w:sz w:val="24"/>
                <w:lang w:val="zh-CN"/>
              </w:rPr>
            </w:pPr>
            <w:r>
              <w:rPr>
                <w:rFonts w:hint="eastAsia" w:ascii="仿宋" w:hAnsi="仿宋" w:eastAsia="仿宋" w:cs="宋体"/>
                <w:color w:val="auto"/>
                <w:sz w:val="24"/>
                <w:lang w:val="zh-CN"/>
              </w:rPr>
              <w:t>总计</w:t>
            </w:r>
          </w:p>
        </w:tc>
        <w:tc>
          <w:tcPr>
            <w:tcW w:w="1547" w:type="dxa"/>
          </w:tcPr>
          <w:p>
            <w:pPr>
              <w:spacing w:line="560" w:lineRule="atLeast"/>
              <w:rPr>
                <w:rFonts w:ascii="仿宋" w:hAnsi="仿宋" w:eastAsia="仿宋" w:cs="宋体"/>
                <w:color w:val="auto"/>
                <w:sz w:val="24"/>
              </w:rPr>
            </w:pPr>
            <w:r>
              <w:rPr>
                <w:rFonts w:hint="eastAsia" w:ascii="仿宋" w:hAnsi="仿宋" w:eastAsia="仿宋" w:cs="宋体"/>
                <w:color w:val="auto"/>
                <w:sz w:val="24"/>
              </w:rPr>
              <w:t>1984.62</w:t>
            </w:r>
          </w:p>
        </w:tc>
        <w:tc>
          <w:tcPr>
            <w:tcW w:w="1548" w:type="dxa"/>
          </w:tcPr>
          <w:p>
            <w:pPr>
              <w:spacing w:line="560" w:lineRule="atLeast"/>
              <w:rPr>
                <w:rFonts w:ascii="仿宋" w:hAnsi="仿宋" w:eastAsia="仿宋" w:cs="宋体"/>
                <w:color w:val="auto"/>
                <w:sz w:val="24"/>
              </w:rPr>
            </w:pPr>
            <w:r>
              <w:rPr>
                <w:rFonts w:hint="eastAsia" w:ascii="仿宋" w:hAnsi="仿宋" w:eastAsia="仿宋" w:cs="宋体"/>
                <w:color w:val="auto"/>
                <w:sz w:val="24"/>
              </w:rPr>
              <w:t>493.81</w:t>
            </w:r>
          </w:p>
        </w:tc>
        <w:tc>
          <w:tcPr>
            <w:tcW w:w="1548" w:type="dxa"/>
          </w:tcPr>
          <w:p>
            <w:pPr>
              <w:spacing w:line="560" w:lineRule="atLeast"/>
              <w:rPr>
                <w:rFonts w:ascii="仿宋" w:hAnsi="仿宋" w:eastAsia="仿宋" w:cs="宋体"/>
                <w:color w:val="auto"/>
                <w:sz w:val="24"/>
              </w:rPr>
            </w:pPr>
            <w:r>
              <w:rPr>
                <w:rFonts w:hint="eastAsia" w:ascii="仿宋" w:hAnsi="仿宋" w:eastAsia="仿宋" w:cs="宋体"/>
                <w:color w:val="auto"/>
                <w:sz w:val="24"/>
              </w:rPr>
              <w:t>1490.81</w:t>
            </w:r>
          </w:p>
        </w:tc>
        <w:tc>
          <w:tcPr>
            <w:tcW w:w="1548" w:type="dxa"/>
          </w:tcPr>
          <w:p>
            <w:pPr>
              <w:widowControl/>
              <w:adjustRightInd w:val="0"/>
              <w:snapToGrid w:val="0"/>
              <w:spacing w:line="620" w:lineRule="exact"/>
              <w:contextualSpacing/>
              <w:jc w:val="left"/>
              <w:rPr>
                <w:rFonts w:ascii="仿宋" w:hAnsi="仿宋" w:eastAsia="仿宋" w:cs="宋体"/>
                <w:color w:val="auto"/>
                <w:sz w:val="24"/>
              </w:rPr>
            </w:pPr>
            <w:r>
              <w:rPr>
                <w:rFonts w:hint="eastAsia" w:ascii="仿宋" w:hAnsi="仿宋" w:eastAsia="仿宋" w:cs="宋体"/>
                <w:color w:val="auto"/>
                <w:sz w:val="24"/>
              </w:rPr>
              <w:t>1936.86</w:t>
            </w:r>
          </w:p>
        </w:tc>
        <w:tc>
          <w:tcPr>
            <w:tcW w:w="1548" w:type="dxa"/>
          </w:tcPr>
          <w:p>
            <w:pPr>
              <w:widowControl/>
              <w:adjustRightInd w:val="0"/>
              <w:snapToGrid w:val="0"/>
              <w:spacing w:line="620" w:lineRule="exact"/>
              <w:contextualSpacing/>
              <w:jc w:val="left"/>
              <w:rPr>
                <w:rFonts w:ascii="仿宋" w:hAnsi="仿宋" w:eastAsia="仿宋" w:cs="宋体"/>
                <w:color w:val="auto"/>
                <w:sz w:val="24"/>
              </w:rPr>
            </w:pPr>
            <w:r>
              <w:rPr>
                <w:rFonts w:hint="eastAsia" w:ascii="仿宋" w:hAnsi="仿宋" w:eastAsia="仿宋" w:cs="宋体"/>
                <w:color w:val="auto"/>
                <w:sz w:val="24"/>
              </w:rPr>
              <w:t>97.59%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pPr>
              <w:widowControl/>
              <w:adjustRightInd w:val="0"/>
              <w:snapToGrid w:val="0"/>
              <w:spacing w:line="620" w:lineRule="exact"/>
              <w:contextualSpacing/>
              <w:jc w:val="left"/>
              <w:rPr>
                <w:rFonts w:ascii="仿宋" w:hAnsi="仿宋" w:eastAsia="仿宋" w:cs="宋体"/>
                <w:color w:val="auto"/>
                <w:sz w:val="24"/>
                <w:lang w:val="zh-CN"/>
              </w:rPr>
            </w:pPr>
            <w:r>
              <w:rPr>
                <w:rFonts w:hint="eastAsia" w:ascii="仿宋" w:hAnsi="仿宋" w:eastAsia="仿宋" w:cs="宋体"/>
                <w:color w:val="auto"/>
                <w:sz w:val="24"/>
                <w:lang w:val="zh-CN"/>
              </w:rPr>
              <w:t>年末结转结余</w:t>
            </w:r>
          </w:p>
        </w:tc>
        <w:tc>
          <w:tcPr>
            <w:tcW w:w="1547" w:type="dxa"/>
          </w:tcPr>
          <w:p>
            <w:pPr>
              <w:widowControl/>
              <w:adjustRightInd w:val="0"/>
              <w:snapToGrid w:val="0"/>
              <w:spacing w:line="620" w:lineRule="exact"/>
              <w:contextualSpacing/>
              <w:jc w:val="left"/>
              <w:rPr>
                <w:rFonts w:ascii="仿宋" w:hAnsi="仿宋" w:eastAsia="仿宋" w:cs="宋体"/>
                <w:color w:val="auto"/>
                <w:sz w:val="24"/>
                <w:lang w:val="zh-CN"/>
              </w:rPr>
            </w:pPr>
          </w:p>
        </w:tc>
        <w:tc>
          <w:tcPr>
            <w:tcW w:w="1548" w:type="dxa"/>
          </w:tcPr>
          <w:p>
            <w:pPr>
              <w:widowControl/>
              <w:adjustRightInd w:val="0"/>
              <w:snapToGrid w:val="0"/>
              <w:spacing w:line="620" w:lineRule="exact"/>
              <w:contextualSpacing/>
              <w:jc w:val="left"/>
              <w:rPr>
                <w:rFonts w:ascii="仿宋" w:hAnsi="仿宋" w:eastAsia="仿宋" w:cs="宋体"/>
                <w:color w:val="auto"/>
                <w:szCs w:val="32"/>
                <w:lang w:val="zh-CN"/>
              </w:rPr>
            </w:pPr>
          </w:p>
        </w:tc>
        <w:tc>
          <w:tcPr>
            <w:tcW w:w="1548" w:type="dxa"/>
          </w:tcPr>
          <w:p>
            <w:pPr>
              <w:widowControl/>
              <w:adjustRightInd w:val="0"/>
              <w:snapToGrid w:val="0"/>
              <w:spacing w:line="620" w:lineRule="exact"/>
              <w:contextualSpacing/>
              <w:jc w:val="left"/>
              <w:rPr>
                <w:rFonts w:ascii="仿宋" w:hAnsi="仿宋" w:eastAsia="仿宋" w:cs="宋体"/>
                <w:color w:val="auto"/>
                <w:szCs w:val="32"/>
                <w:lang w:val="zh-CN"/>
              </w:rPr>
            </w:pPr>
          </w:p>
        </w:tc>
        <w:tc>
          <w:tcPr>
            <w:tcW w:w="1548" w:type="dxa"/>
          </w:tcPr>
          <w:p>
            <w:pPr>
              <w:widowControl/>
              <w:adjustRightInd w:val="0"/>
              <w:snapToGrid w:val="0"/>
              <w:spacing w:line="620" w:lineRule="exact"/>
              <w:contextualSpacing/>
              <w:jc w:val="left"/>
              <w:rPr>
                <w:rFonts w:ascii="仿宋" w:hAnsi="仿宋" w:eastAsia="仿宋" w:cs="宋体"/>
                <w:color w:val="auto"/>
                <w:szCs w:val="32"/>
                <w:lang w:val="zh-CN"/>
              </w:rPr>
            </w:pPr>
          </w:p>
        </w:tc>
        <w:tc>
          <w:tcPr>
            <w:tcW w:w="1548" w:type="dxa"/>
          </w:tcPr>
          <w:p>
            <w:pPr>
              <w:widowControl/>
              <w:adjustRightInd w:val="0"/>
              <w:snapToGrid w:val="0"/>
              <w:spacing w:line="620" w:lineRule="exact"/>
              <w:contextualSpacing/>
              <w:jc w:val="left"/>
              <w:rPr>
                <w:rFonts w:ascii="仿宋" w:hAnsi="仿宋" w:eastAsia="仿宋" w:cs="宋体"/>
                <w:color w:val="auto"/>
                <w:szCs w:val="32"/>
                <w:lang w:val="zh-CN"/>
              </w:rPr>
            </w:pPr>
          </w:p>
        </w:tc>
      </w:tr>
    </w:tbl>
    <w:p>
      <w:pPr>
        <w:widowControl/>
        <w:adjustRightInd w:val="0"/>
        <w:snapToGrid w:val="0"/>
        <w:spacing w:line="620" w:lineRule="exact"/>
        <w:ind w:firstLine="632" w:firstLineChars="200"/>
        <w:contextualSpacing/>
        <w:jc w:val="left"/>
        <w:rPr>
          <w:rFonts w:ascii="仿宋" w:hAnsi="仿宋" w:eastAsia="仿宋" w:cs="宋体"/>
          <w:color w:val="auto"/>
          <w:szCs w:val="32"/>
          <w:lang w:val="zh-CN"/>
        </w:rPr>
      </w:pPr>
    </w:p>
    <w:p>
      <w:pPr>
        <w:widowControl/>
        <w:adjustRightInd w:val="0"/>
        <w:snapToGrid w:val="0"/>
        <w:spacing w:line="620" w:lineRule="exact"/>
        <w:ind w:firstLine="632" w:firstLineChars="200"/>
        <w:contextualSpacing/>
        <w:jc w:val="left"/>
        <w:rPr>
          <w:rFonts w:ascii="黑体" w:hAnsi="黑体" w:eastAsia="黑体"/>
          <w:color w:val="auto"/>
          <w:kern w:val="0"/>
          <w:szCs w:val="32"/>
          <w:shd w:val="clear" w:color="auto" w:fill="FFFFFF"/>
        </w:rPr>
      </w:pPr>
      <w:r>
        <w:rPr>
          <w:rFonts w:ascii="黑体" w:hAnsi="黑体" w:eastAsia="黑体"/>
          <w:color w:val="auto"/>
          <w:kern w:val="0"/>
          <w:szCs w:val="32"/>
          <w:shd w:val="clear" w:color="auto" w:fill="FFFFFF"/>
        </w:rPr>
        <w:t>三、部门整体预算绩效管理情况</w:t>
      </w:r>
    </w:p>
    <w:p>
      <w:pPr>
        <w:widowControl/>
        <w:adjustRightInd w:val="0"/>
        <w:snapToGrid w:val="0"/>
        <w:spacing w:line="620" w:lineRule="exact"/>
        <w:ind w:firstLine="632" w:firstLineChars="200"/>
        <w:contextualSpacing/>
        <w:jc w:val="left"/>
        <w:rPr>
          <w:rFonts w:ascii="楷体" w:hAnsi="楷体" w:eastAsia="楷体"/>
          <w:color w:val="auto"/>
          <w:kern w:val="0"/>
          <w:szCs w:val="32"/>
          <w:shd w:val="clear" w:color="auto" w:fill="FFFFFF"/>
          <w:lang w:val="zh-CN"/>
        </w:rPr>
      </w:pPr>
      <w:r>
        <w:rPr>
          <w:rFonts w:ascii="楷体" w:hAnsi="楷体" w:eastAsia="楷体"/>
          <w:color w:val="auto"/>
          <w:kern w:val="0"/>
          <w:szCs w:val="32"/>
          <w:shd w:val="clear" w:color="auto" w:fill="FFFFFF"/>
          <w:lang w:val="zh-CN"/>
        </w:rPr>
        <w:t>（一）</w:t>
      </w:r>
      <w:r>
        <w:rPr>
          <w:rFonts w:hint="eastAsia" w:ascii="楷体" w:hAnsi="楷体" w:eastAsia="楷体"/>
          <w:color w:val="auto"/>
          <w:kern w:val="0"/>
          <w:szCs w:val="32"/>
          <w:shd w:val="clear" w:color="auto" w:fill="FFFFFF"/>
          <w:lang w:val="zh-CN"/>
        </w:rPr>
        <w:t>部门预算项目绩效管理</w:t>
      </w:r>
      <w:r>
        <w:rPr>
          <w:rFonts w:ascii="楷体" w:hAnsi="楷体" w:eastAsia="楷体"/>
          <w:color w:val="auto"/>
          <w:kern w:val="0"/>
          <w:szCs w:val="32"/>
          <w:shd w:val="clear" w:color="auto" w:fill="FFFFFF"/>
          <w:lang w:val="zh-CN"/>
        </w:rPr>
        <w:t>。</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lang w:val="zh-CN"/>
        </w:rPr>
      </w:pPr>
      <w:r>
        <w:rPr>
          <w:rFonts w:hint="eastAsia" w:ascii="仿宋" w:hAnsi="仿宋" w:eastAsia="仿宋" w:cs="宋体"/>
          <w:color w:val="auto"/>
          <w:kern w:val="0"/>
          <w:szCs w:val="32"/>
          <w:shd w:val="clear" w:color="auto" w:fill="FFFFFF"/>
          <w:lang w:val="zh-CN"/>
        </w:rPr>
        <w:t>1.部门绩效目标制定</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lang w:val="zh-CN"/>
        </w:rPr>
      </w:pPr>
      <w:r>
        <w:rPr>
          <w:rFonts w:hint="eastAsia" w:ascii="仿宋" w:hAnsi="仿宋" w:eastAsia="仿宋" w:cs="宋体"/>
          <w:color w:val="auto"/>
          <w:kern w:val="0"/>
          <w:szCs w:val="32"/>
          <w:shd w:val="clear" w:color="auto" w:fill="FFFFFF"/>
          <w:lang w:val="zh-CN"/>
        </w:rPr>
        <w:t>我院2022年部门绩效目标编制要素完整，完成指标、效益指标及满意度指标等填写完整，并将绩效指标细化量化</w:t>
      </w:r>
      <w:r>
        <w:rPr>
          <w:rFonts w:hint="eastAsia" w:ascii="仿宋" w:hAnsi="仿宋" w:eastAsia="仿宋" w:cs="宋体"/>
          <w:color w:val="auto"/>
          <w:kern w:val="0"/>
          <w:szCs w:val="32"/>
          <w:shd w:val="clear" w:color="auto" w:fill="FFFFFF"/>
          <w:lang w:val="zh-CN"/>
        </w:rPr>
        <w:t>。同时，我院绩效目标经过了院党组集体决议。</w:t>
      </w:r>
    </w:p>
    <w:p>
      <w:pPr>
        <w:widowControl/>
        <w:numPr>
          <w:ilvl w:val="0"/>
          <w:numId w:val="5"/>
        </w:numPr>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lang w:val="zh-CN"/>
        </w:rPr>
      </w:pPr>
      <w:r>
        <w:rPr>
          <w:rFonts w:hint="eastAsia" w:ascii="仿宋" w:hAnsi="仿宋" w:eastAsia="仿宋" w:cs="宋体"/>
          <w:color w:val="auto"/>
          <w:kern w:val="0"/>
          <w:szCs w:val="32"/>
          <w:shd w:val="clear" w:color="auto" w:fill="FFFFFF"/>
          <w:lang w:val="zh-CN"/>
        </w:rPr>
        <w:t>目标实现</w:t>
      </w:r>
    </w:p>
    <w:p>
      <w:pPr>
        <w:widowControl/>
        <w:numPr>
          <w:ilvl w:val="0"/>
          <w:numId w:val="6"/>
        </w:numPr>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人员类项目</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我院人员类经费严格按照相关政策，保证各项待遇及时发放。我院2022年人员类项目调整后预算数为1195.14万元，实际完成数为1154.02万元，支付完成率96.56%。</w:t>
      </w:r>
    </w:p>
    <w:p>
      <w:pPr>
        <w:widowControl/>
        <w:numPr>
          <w:ilvl w:val="0"/>
          <w:numId w:val="6"/>
        </w:numPr>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公用类项目</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我院公用类项目用于保障单位日常运转。我院2022年公用类项目调整后预算数为357.48万元，实际完成数为350.87万元，支付完成率98.15%。</w:t>
      </w:r>
    </w:p>
    <w:p>
      <w:pPr>
        <w:widowControl/>
        <w:numPr>
          <w:ilvl w:val="0"/>
          <w:numId w:val="6"/>
        </w:numPr>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特定目标类</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我院2022年共编制预算绩效目标2个项目。我院2022年市本级特定项目调整后预算数为48万元，实际完成数为48万元，支付完成率100%。</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lang w:val="zh-CN"/>
        </w:rPr>
      </w:pPr>
      <w:r>
        <w:rPr>
          <w:rFonts w:hint="eastAsia" w:ascii="仿宋" w:hAnsi="仿宋" w:eastAsia="仿宋" w:cs="宋体"/>
          <w:color w:val="auto"/>
          <w:kern w:val="0"/>
          <w:szCs w:val="32"/>
          <w:shd w:val="clear" w:color="auto" w:fill="FFFFFF"/>
          <w:lang w:val="zh-CN"/>
        </w:rPr>
        <w:t>3.支出控制</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lang w:val="zh-CN"/>
        </w:rPr>
      </w:pPr>
      <w:r>
        <w:rPr>
          <w:rFonts w:hint="eastAsia" w:ascii="仿宋" w:hAnsi="仿宋" w:eastAsia="仿宋" w:cs="宋体"/>
          <w:color w:val="auto"/>
          <w:kern w:val="0"/>
          <w:szCs w:val="32"/>
          <w:shd w:val="clear" w:color="auto" w:fill="FFFFFF"/>
          <w:lang w:val="zh-CN"/>
        </w:rPr>
        <w:t>2022年我院年初预算中，“办公费、印刷费、水费、电费、物业管理费、维修（护）费、培训费、会议费”等8个科目的年初预算数为188.33万元，决算数中财政拨款基本支出合计为260.2万元，偏差度为38.162%。造成偏差的主要原因是中省政法转移支付未纳入年初预算，但又列支了相关科目。</w:t>
      </w:r>
      <w:r>
        <w:rPr>
          <w:rFonts w:ascii="仿宋" w:hAnsi="仿宋" w:eastAsia="仿宋" w:cs="宋体"/>
          <w:color w:val="auto"/>
          <w:kern w:val="0"/>
          <w:szCs w:val="32"/>
          <w:shd w:val="clear" w:color="auto" w:fill="FFFFFF"/>
          <w:lang w:val="zh-CN"/>
        </w:rPr>
        <w:t xml:space="preserve"> </w:t>
      </w:r>
    </w:p>
    <w:p>
      <w:pPr>
        <w:widowControl/>
        <w:adjustRightInd w:val="0"/>
        <w:snapToGrid w:val="0"/>
        <w:spacing w:line="580" w:lineRule="exact"/>
        <w:ind w:firstLine="552" w:firstLineChars="200"/>
        <w:contextualSpacing/>
        <w:jc w:val="center"/>
        <w:rPr>
          <w:rFonts w:ascii="仿宋" w:hAnsi="仿宋" w:eastAsia="仿宋" w:cs="宋体"/>
          <w:b/>
          <w:bCs/>
          <w:color w:val="auto"/>
          <w:kern w:val="0"/>
          <w:sz w:val="28"/>
          <w:szCs w:val="28"/>
          <w:shd w:val="clear" w:color="auto" w:fill="FFFFFF"/>
          <w:lang w:val="zh-CN"/>
        </w:rPr>
      </w:pPr>
      <w:r>
        <w:rPr>
          <w:rFonts w:hint="eastAsia" w:ascii="仿宋" w:hAnsi="仿宋" w:eastAsia="仿宋" w:cs="宋体"/>
          <w:b/>
          <w:bCs/>
          <w:color w:val="auto"/>
          <w:kern w:val="0"/>
          <w:sz w:val="28"/>
          <w:szCs w:val="28"/>
          <w:shd w:val="clear" w:color="auto" w:fill="FFFFFF"/>
          <w:lang w:val="zh-CN"/>
        </w:rPr>
        <w:t>表</w:t>
      </w:r>
      <w:r>
        <w:rPr>
          <w:rFonts w:hint="eastAsia" w:ascii="仿宋" w:hAnsi="仿宋" w:eastAsia="仿宋" w:cs="宋体"/>
          <w:b/>
          <w:bCs/>
          <w:color w:val="auto"/>
          <w:kern w:val="0"/>
          <w:sz w:val="28"/>
          <w:szCs w:val="28"/>
          <w:shd w:val="clear" w:color="auto" w:fill="FFFFFF"/>
        </w:rPr>
        <w:t xml:space="preserve">3-1 </w:t>
      </w:r>
      <w:r>
        <w:rPr>
          <w:rFonts w:hint="eastAsia" w:ascii="仿宋" w:hAnsi="仿宋" w:eastAsia="仿宋" w:cs="宋体"/>
          <w:b/>
          <w:bCs/>
          <w:color w:val="auto"/>
          <w:kern w:val="0"/>
          <w:sz w:val="28"/>
          <w:szCs w:val="28"/>
          <w:shd w:val="clear" w:color="auto" w:fill="FFFFFF"/>
          <w:lang w:val="zh-CN"/>
        </w:rPr>
        <w:t>公用经费及项目支出相关科目控制情况</w:t>
      </w:r>
    </w:p>
    <w:p>
      <w:pPr>
        <w:widowControl/>
        <w:adjustRightInd w:val="0"/>
        <w:snapToGrid w:val="0"/>
        <w:spacing w:line="580" w:lineRule="exact"/>
        <w:ind w:firstLine="552" w:firstLineChars="200"/>
        <w:contextualSpacing/>
        <w:jc w:val="right"/>
        <w:rPr>
          <w:rFonts w:ascii="仿宋" w:hAnsi="仿宋" w:eastAsia="仿宋" w:cs="宋体"/>
          <w:b/>
          <w:bCs/>
          <w:color w:val="auto"/>
          <w:kern w:val="0"/>
          <w:sz w:val="28"/>
          <w:szCs w:val="28"/>
          <w:shd w:val="clear" w:color="auto" w:fill="FFFFFF"/>
          <w:lang w:val="zh-CN"/>
        </w:rPr>
      </w:pPr>
      <w:r>
        <w:rPr>
          <w:rFonts w:hint="eastAsia" w:ascii="仿宋" w:hAnsi="仿宋" w:eastAsia="仿宋" w:cs="宋体"/>
          <w:b/>
          <w:bCs/>
          <w:color w:val="auto"/>
          <w:kern w:val="0"/>
          <w:sz w:val="28"/>
          <w:szCs w:val="28"/>
          <w:shd w:val="clear" w:color="auto" w:fill="FFFFFF"/>
          <w:lang w:val="zh-CN"/>
        </w:rPr>
        <w:t>单位：万元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3"/>
        <w:gridCol w:w="1663"/>
        <w:gridCol w:w="1663"/>
        <w:gridCol w:w="1675"/>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526"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年初预算数</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决算数</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偏差程度</w:t>
            </w:r>
          </w:p>
        </w:tc>
        <w:tc>
          <w:tcPr>
            <w:tcW w:w="2654"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偏差原因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办公费</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24.61</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rPr>
            </w:pPr>
            <w:r>
              <w:rPr>
                <w:rFonts w:hint="eastAsia" w:ascii="仿宋" w:hAnsi="仿宋" w:eastAsia="仿宋" w:cs="宋体"/>
                <w:color w:val="auto"/>
                <w:kern w:val="0"/>
                <w:sz w:val="24"/>
                <w:shd w:val="clear" w:color="auto" w:fill="FFFFFF"/>
              </w:rPr>
              <w:t>40.66</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65.22%</w:t>
            </w:r>
          </w:p>
        </w:tc>
        <w:tc>
          <w:tcPr>
            <w:tcW w:w="2654"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用政法转移支付支付了办公费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印刷费</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2</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rPr>
            </w:pPr>
            <w:r>
              <w:rPr>
                <w:rFonts w:hint="eastAsia" w:ascii="仿宋" w:hAnsi="仿宋" w:eastAsia="仿宋" w:cs="宋体"/>
                <w:color w:val="auto"/>
                <w:kern w:val="0"/>
                <w:sz w:val="24"/>
                <w:shd w:val="clear" w:color="auto" w:fill="FFFFFF"/>
              </w:rPr>
              <w:t>2.44</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22%</w:t>
            </w:r>
          </w:p>
        </w:tc>
        <w:tc>
          <w:tcPr>
            <w:tcW w:w="2654"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用政法转移支付支付了印刷费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26"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水费</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1.7</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rPr>
            </w:pPr>
            <w:r>
              <w:rPr>
                <w:rFonts w:hint="eastAsia" w:ascii="仿宋" w:hAnsi="仿宋" w:eastAsia="仿宋" w:cs="宋体"/>
                <w:color w:val="auto"/>
                <w:kern w:val="0"/>
                <w:sz w:val="24"/>
                <w:shd w:val="clear" w:color="auto" w:fill="FFFFFF"/>
              </w:rPr>
              <w:t>1.8</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5.88%</w:t>
            </w:r>
          </w:p>
        </w:tc>
        <w:tc>
          <w:tcPr>
            <w:tcW w:w="2654"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实际执行情况与年初预算有些微出入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电费</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20</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rPr>
            </w:pPr>
            <w:r>
              <w:rPr>
                <w:rFonts w:hint="eastAsia" w:ascii="仿宋" w:hAnsi="仿宋" w:eastAsia="仿宋" w:cs="宋体"/>
                <w:color w:val="auto"/>
                <w:kern w:val="0"/>
                <w:sz w:val="24"/>
                <w:shd w:val="clear" w:color="auto" w:fill="FFFFFF"/>
              </w:rPr>
              <w:t>20.13</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0.65%</w:t>
            </w:r>
          </w:p>
        </w:tc>
        <w:tc>
          <w:tcPr>
            <w:tcW w:w="2654"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实际执行情况与年初预算有些微出入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物业管理费</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60.05</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rPr>
            </w:pPr>
            <w:r>
              <w:rPr>
                <w:rFonts w:hint="eastAsia" w:ascii="仿宋" w:hAnsi="仿宋" w:eastAsia="仿宋" w:cs="宋体"/>
                <w:color w:val="auto"/>
                <w:kern w:val="0"/>
                <w:sz w:val="24"/>
                <w:shd w:val="clear" w:color="auto" w:fill="FFFFFF"/>
              </w:rPr>
              <w:t>59.82</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-0.38%</w:t>
            </w:r>
          </w:p>
        </w:tc>
        <w:tc>
          <w:tcPr>
            <w:tcW w:w="2654"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实际执行情况与年初预算有些微出入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维护费</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71.13</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rPr>
            </w:pPr>
            <w:r>
              <w:rPr>
                <w:rFonts w:hint="eastAsia" w:ascii="仿宋" w:hAnsi="仿宋" w:eastAsia="仿宋" w:cs="宋体"/>
                <w:color w:val="auto"/>
                <w:kern w:val="0"/>
                <w:sz w:val="24"/>
                <w:shd w:val="clear" w:color="auto" w:fill="FFFFFF"/>
              </w:rPr>
              <w:t>127.9</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79.81%</w:t>
            </w:r>
          </w:p>
        </w:tc>
        <w:tc>
          <w:tcPr>
            <w:tcW w:w="2654"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当年用政法转移支付支进行了业务用房维修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26" w:type="dxa"/>
          </w:tcPr>
          <w:p>
            <w:pPr>
              <w:widowControl/>
              <w:tabs>
                <w:tab w:val="right" w:pos="2105"/>
              </w:tabs>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培训费</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8.74</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rPr>
            </w:pPr>
            <w:r>
              <w:rPr>
                <w:rFonts w:hint="eastAsia" w:ascii="仿宋" w:hAnsi="仿宋" w:eastAsia="仿宋" w:cs="宋体"/>
                <w:color w:val="auto"/>
                <w:kern w:val="0"/>
                <w:sz w:val="24"/>
                <w:shd w:val="clear" w:color="auto" w:fill="FFFFFF"/>
              </w:rPr>
              <w:t>7.45</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-14.76%</w:t>
            </w:r>
          </w:p>
        </w:tc>
        <w:tc>
          <w:tcPr>
            <w:tcW w:w="2654"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受疫情影响，部分培训计划未开展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widowControl/>
              <w:tabs>
                <w:tab w:val="right" w:pos="2105"/>
              </w:tabs>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会议费</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0.1</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rPr>
            </w:pPr>
            <w:r>
              <w:rPr>
                <w:rFonts w:hint="eastAsia" w:ascii="仿宋" w:hAnsi="仿宋" w:eastAsia="仿宋" w:cs="宋体"/>
                <w:color w:val="auto"/>
                <w:kern w:val="0"/>
                <w:sz w:val="24"/>
                <w:shd w:val="clear" w:color="auto" w:fill="FFFFFF"/>
              </w:rPr>
              <w:t>0</w:t>
            </w:r>
          </w:p>
        </w:tc>
        <w:tc>
          <w:tcPr>
            <w:tcW w:w="1701"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-100%</w:t>
            </w:r>
          </w:p>
        </w:tc>
        <w:tc>
          <w:tcPr>
            <w:tcW w:w="2654" w:type="dxa"/>
          </w:tcPr>
          <w:p>
            <w:pPr>
              <w:widowControl/>
              <w:adjustRightInd w:val="0"/>
              <w:snapToGrid w:val="0"/>
              <w:spacing w:line="580" w:lineRule="exact"/>
              <w:contextualSpacing/>
              <w:jc w:val="center"/>
              <w:rPr>
                <w:rFonts w:ascii="仿宋" w:hAnsi="仿宋" w:eastAsia="仿宋" w:cs="宋体"/>
                <w:color w:val="auto"/>
                <w:kern w:val="0"/>
                <w:sz w:val="24"/>
                <w:shd w:val="clear" w:color="auto" w:fill="FFFFFF"/>
                <w:lang w:val="zh-CN"/>
              </w:rPr>
            </w:pPr>
            <w:r>
              <w:rPr>
                <w:rFonts w:hint="eastAsia" w:ascii="仿宋" w:hAnsi="仿宋" w:eastAsia="仿宋" w:cs="宋体"/>
                <w:color w:val="auto"/>
                <w:kern w:val="0"/>
                <w:sz w:val="24"/>
                <w:shd w:val="clear" w:color="auto" w:fill="FFFFFF"/>
                <w:lang w:val="zh-CN"/>
              </w:rPr>
              <w:t>当年执行联席会议未单独产生额外费用</w:t>
            </w:r>
          </w:p>
        </w:tc>
      </w:tr>
    </w:tbl>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lang w:val="zh-CN"/>
        </w:rPr>
      </w:pP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lang w:val="zh-CN"/>
        </w:rPr>
      </w:pPr>
      <w:r>
        <w:rPr>
          <w:rFonts w:hint="eastAsia" w:ascii="仿宋" w:hAnsi="仿宋" w:eastAsia="仿宋" w:cs="宋体"/>
          <w:color w:val="auto"/>
          <w:kern w:val="0"/>
          <w:szCs w:val="32"/>
          <w:shd w:val="clear" w:color="auto" w:fill="FFFFFF"/>
          <w:lang w:val="zh-CN"/>
        </w:rPr>
        <w:t>4.及时处置</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lang w:val="zh-CN"/>
        </w:rPr>
      </w:pPr>
      <w:r>
        <w:rPr>
          <w:rFonts w:hint="eastAsia" w:ascii="仿宋" w:hAnsi="仿宋" w:eastAsia="仿宋" w:cs="宋体"/>
          <w:color w:val="auto"/>
          <w:kern w:val="0"/>
          <w:szCs w:val="32"/>
          <w:shd w:val="clear" w:color="auto" w:fill="FFFFFF"/>
          <w:lang w:val="zh-CN"/>
        </w:rPr>
        <w:t>我院当年无因绩效监控而产生取消额与结余额。</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lang w:val="zh-CN"/>
        </w:rPr>
      </w:pPr>
      <w:r>
        <w:rPr>
          <w:rFonts w:hint="eastAsia" w:ascii="仿宋" w:hAnsi="仿宋" w:eastAsia="仿宋" w:cs="宋体"/>
          <w:color w:val="auto"/>
          <w:kern w:val="0"/>
          <w:szCs w:val="32"/>
          <w:shd w:val="clear" w:color="auto" w:fill="FFFFFF"/>
          <w:lang w:val="zh-CN"/>
        </w:rPr>
        <w:t>5.执行进度</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lang w:val="zh-CN"/>
        </w:rPr>
      </w:pPr>
      <w:r>
        <w:rPr>
          <w:rFonts w:hint="eastAsia" w:ascii="仿宋" w:hAnsi="仿宋" w:eastAsia="仿宋" w:cs="宋体"/>
          <w:color w:val="auto"/>
          <w:kern w:val="0"/>
          <w:szCs w:val="32"/>
          <w:shd w:val="clear" w:color="auto" w:fill="FFFFFF"/>
          <w:lang w:val="zh-CN"/>
        </w:rPr>
        <w:t>2022年我院受省以下地方法院、检察院财物统一管理改革的影响，预算编制及执行进度受到影响，财政前期仅预拨了人员及公用经费保障单位基本运转。我院截止6月实际支付进度为28.82%；9月为48.04%；11月为70.75%。</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lang w:val="zh-CN"/>
        </w:rPr>
      </w:pPr>
      <w:r>
        <w:rPr>
          <w:rFonts w:hint="eastAsia" w:ascii="仿宋" w:hAnsi="仿宋" w:eastAsia="仿宋" w:cs="宋体"/>
          <w:color w:val="auto"/>
          <w:kern w:val="0"/>
          <w:szCs w:val="32"/>
          <w:shd w:val="clear" w:color="auto" w:fill="FFFFFF"/>
        </w:rPr>
        <w:t>6.</w:t>
      </w:r>
      <w:r>
        <w:rPr>
          <w:rFonts w:hint="eastAsia" w:ascii="仿宋" w:hAnsi="仿宋" w:eastAsia="仿宋" w:cs="宋体"/>
          <w:color w:val="auto"/>
          <w:kern w:val="0"/>
          <w:szCs w:val="32"/>
          <w:shd w:val="clear" w:color="auto" w:fill="FFFFFF"/>
          <w:lang w:val="zh-CN"/>
        </w:rPr>
        <w:t>预算完成情况</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lang w:val="zh-CN"/>
        </w:rPr>
        <w:t>我院</w:t>
      </w:r>
      <w:r>
        <w:rPr>
          <w:rFonts w:hint="eastAsia" w:ascii="仿宋" w:hAnsi="仿宋" w:eastAsia="仿宋" w:cs="宋体"/>
          <w:color w:val="auto"/>
          <w:kern w:val="0"/>
          <w:szCs w:val="32"/>
          <w:shd w:val="clear" w:color="auto" w:fill="FFFFFF"/>
        </w:rPr>
        <w:t>2022年年初预算批复数1199.19万元，调剂数811.66万元，预算一体化系统内调整预算数2010.85万元。实际支付数1936.86万元，占调整预算比重为96.32%。</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7.资金结余率</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我院2022年共有两个特定目标项目，预算数48万元，实际支付48万元，无项目资金结余。</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8.违规记录</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我院2022年未被财政或审计监督部门指出预算管理方面出现违规违纪问题。</w:t>
      </w:r>
    </w:p>
    <w:p>
      <w:pPr>
        <w:widowControl/>
        <w:adjustRightInd w:val="0"/>
        <w:snapToGrid w:val="0"/>
        <w:spacing w:line="620" w:lineRule="exact"/>
        <w:ind w:firstLine="632" w:firstLineChars="200"/>
        <w:contextualSpacing/>
        <w:jc w:val="left"/>
        <w:rPr>
          <w:rFonts w:ascii="楷体" w:hAnsi="楷体" w:eastAsia="楷体"/>
          <w:color w:val="auto"/>
          <w:kern w:val="0"/>
          <w:szCs w:val="32"/>
          <w:shd w:val="clear" w:color="auto" w:fill="FFFFFF"/>
          <w:lang w:val="zh-CN"/>
        </w:rPr>
      </w:pPr>
      <w:r>
        <w:rPr>
          <w:rFonts w:ascii="楷体" w:hAnsi="楷体" w:eastAsia="楷体"/>
          <w:color w:val="auto"/>
          <w:kern w:val="0"/>
          <w:szCs w:val="32"/>
          <w:shd w:val="clear" w:color="auto" w:fill="FFFFFF"/>
          <w:lang w:val="zh-CN"/>
        </w:rPr>
        <w:t>（二）结果应用情况。</w:t>
      </w:r>
    </w:p>
    <w:p>
      <w:pPr>
        <w:widowControl/>
        <w:numPr>
          <w:ilvl w:val="0"/>
          <w:numId w:val="7"/>
        </w:numPr>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内部应用</w:t>
      </w:r>
    </w:p>
    <w:p>
      <w:pPr>
        <w:widowControl/>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我院无下属单位，但建立了针对内设机构的绩效自评的考核体系。</w:t>
      </w:r>
    </w:p>
    <w:p>
      <w:pPr>
        <w:widowControl/>
        <w:numPr>
          <w:ilvl w:val="0"/>
          <w:numId w:val="7"/>
        </w:numPr>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自评公开</w:t>
      </w:r>
    </w:p>
    <w:p>
      <w:pPr>
        <w:widowControl/>
        <w:adjustRightInd w:val="0"/>
        <w:snapToGrid w:val="0"/>
        <w:spacing w:line="580" w:lineRule="exact"/>
        <w:ind w:left="632" w:left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我院按照财政要求将绩效信息随同决算及时在门户网站公开。</w:t>
      </w:r>
    </w:p>
    <w:p>
      <w:pPr>
        <w:widowControl/>
        <w:numPr>
          <w:ilvl w:val="0"/>
          <w:numId w:val="7"/>
        </w:numPr>
        <w:adjustRightInd w:val="0"/>
        <w:snapToGrid w:val="0"/>
        <w:spacing w:line="580" w:lineRule="exact"/>
        <w:ind w:firstLine="632" w:firstLine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结果整改和应用反馈</w:t>
      </w:r>
    </w:p>
    <w:p>
      <w:pPr>
        <w:widowControl/>
        <w:adjustRightInd w:val="0"/>
        <w:snapToGrid w:val="0"/>
        <w:spacing w:line="580" w:lineRule="exact"/>
        <w:ind w:left="632" w:leftChars="200"/>
        <w:contextualSpacing/>
        <w:jc w:val="left"/>
        <w:rPr>
          <w:rFonts w:ascii="仿宋" w:hAnsi="仿宋" w:eastAsia="仿宋" w:cs="宋体"/>
          <w:color w:val="auto"/>
          <w:kern w:val="0"/>
          <w:szCs w:val="32"/>
          <w:shd w:val="clear" w:color="auto" w:fill="FFFFFF"/>
        </w:rPr>
      </w:pPr>
      <w:r>
        <w:rPr>
          <w:rFonts w:hint="eastAsia" w:ascii="仿宋" w:hAnsi="仿宋" w:eastAsia="仿宋" w:cs="宋体"/>
          <w:color w:val="auto"/>
          <w:kern w:val="0"/>
          <w:szCs w:val="32"/>
          <w:shd w:val="clear" w:color="auto" w:fill="FFFFFF"/>
        </w:rPr>
        <w:t>我院2022年未被财政监督部门提出绩效管理方面的问题。</w:t>
      </w:r>
    </w:p>
    <w:p>
      <w:pPr>
        <w:widowControl/>
        <w:adjustRightInd w:val="0"/>
        <w:snapToGrid w:val="0"/>
        <w:spacing w:line="620" w:lineRule="exact"/>
        <w:ind w:firstLine="632" w:firstLineChars="200"/>
        <w:contextualSpacing/>
        <w:jc w:val="left"/>
        <w:rPr>
          <w:rFonts w:ascii="黑体" w:hAnsi="黑体" w:eastAsia="黑体"/>
          <w:color w:val="auto"/>
          <w:kern w:val="0"/>
          <w:szCs w:val="32"/>
          <w:shd w:val="clear" w:color="auto" w:fill="FFFFFF"/>
        </w:rPr>
      </w:pPr>
      <w:r>
        <w:rPr>
          <w:rFonts w:ascii="黑体" w:hAnsi="黑体" w:eastAsia="黑体"/>
          <w:color w:val="auto"/>
          <w:kern w:val="0"/>
          <w:szCs w:val="32"/>
          <w:shd w:val="clear" w:color="auto" w:fill="FFFFFF"/>
        </w:rPr>
        <w:t>四、评价结论及建议</w:t>
      </w:r>
    </w:p>
    <w:p>
      <w:pPr>
        <w:widowControl/>
        <w:adjustRightInd w:val="0"/>
        <w:snapToGrid w:val="0"/>
        <w:spacing w:line="620" w:lineRule="exact"/>
        <w:ind w:firstLine="632" w:firstLineChars="200"/>
        <w:contextualSpacing/>
        <w:jc w:val="left"/>
        <w:rPr>
          <w:rFonts w:ascii="楷体" w:hAnsi="楷体" w:eastAsia="楷体"/>
          <w:color w:val="auto"/>
          <w:kern w:val="0"/>
          <w:szCs w:val="32"/>
          <w:shd w:val="clear" w:color="auto" w:fill="FFFFFF"/>
          <w:lang w:val="zh-CN"/>
        </w:rPr>
      </w:pPr>
      <w:r>
        <w:rPr>
          <w:rFonts w:ascii="楷体" w:hAnsi="楷体" w:eastAsia="楷体"/>
          <w:color w:val="auto"/>
          <w:kern w:val="0"/>
          <w:szCs w:val="32"/>
          <w:shd w:val="clear" w:color="auto" w:fill="FFFFFF"/>
          <w:lang w:val="zh-CN"/>
        </w:rPr>
        <w:t>（一）评价结论。</w:t>
      </w:r>
    </w:p>
    <w:p>
      <w:pPr>
        <w:widowControl/>
        <w:adjustRightInd w:val="0"/>
        <w:snapToGrid w:val="0"/>
        <w:spacing w:line="620" w:lineRule="exact"/>
        <w:ind w:firstLine="632" w:firstLineChars="200"/>
        <w:contextualSpacing/>
        <w:jc w:val="left"/>
        <w:rPr>
          <w:rFonts w:ascii="仿宋" w:hAnsi="仿宋" w:eastAsia="仿宋"/>
          <w:color w:val="auto"/>
          <w:kern w:val="0"/>
          <w:szCs w:val="32"/>
          <w:shd w:val="clear" w:color="auto" w:fill="FFFFFF"/>
        </w:rPr>
      </w:pPr>
      <w:r>
        <w:rPr>
          <w:rFonts w:hint="eastAsia" w:ascii="仿宋" w:hAnsi="仿宋" w:eastAsia="仿宋"/>
          <w:color w:val="auto"/>
          <w:kern w:val="0"/>
          <w:szCs w:val="32"/>
          <w:shd w:val="clear" w:color="auto" w:fill="FFFFFF"/>
          <w:lang w:val="zh-CN"/>
        </w:rPr>
        <w:t>我院按照部门整体支出绩效评价指标体系中指标解释、计分标准和依据资料，对</w:t>
      </w:r>
      <w:r>
        <w:rPr>
          <w:rFonts w:hint="eastAsia" w:ascii="仿宋" w:hAnsi="仿宋" w:eastAsia="仿宋"/>
          <w:color w:val="auto"/>
          <w:kern w:val="0"/>
          <w:szCs w:val="32"/>
          <w:shd w:val="clear" w:color="auto" w:fill="FFFFFF"/>
        </w:rPr>
        <w:t>2022年预算绩效编制和执行进度进行测算，最终自评总分75.29分，评价结果为良。具体情况详见表5：</w:t>
      </w:r>
    </w:p>
    <w:tbl>
      <w:tblPr>
        <w:tblStyle w:val="11"/>
        <w:tblW w:w="5172" w:type="pct"/>
        <w:tblInd w:w="0" w:type="dxa"/>
        <w:tblLayout w:type="autofit"/>
        <w:tblCellMar>
          <w:top w:w="0" w:type="dxa"/>
          <w:left w:w="108" w:type="dxa"/>
          <w:bottom w:w="0" w:type="dxa"/>
          <w:right w:w="108" w:type="dxa"/>
        </w:tblCellMar>
      </w:tblPr>
      <w:tblGrid>
        <w:gridCol w:w="1267"/>
        <w:gridCol w:w="1466"/>
        <w:gridCol w:w="2232"/>
        <w:gridCol w:w="1067"/>
        <w:gridCol w:w="1168"/>
        <w:gridCol w:w="2172"/>
      </w:tblGrid>
      <w:tr>
        <w:tblPrEx>
          <w:tblCellMar>
            <w:top w:w="0" w:type="dxa"/>
            <w:left w:w="108" w:type="dxa"/>
            <w:bottom w:w="0" w:type="dxa"/>
            <w:right w:w="108" w:type="dxa"/>
          </w:tblCellMar>
        </w:tblPrEx>
        <w:trPr>
          <w:trHeight w:val="612" w:hRule="atLeast"/>
        </w:trPr>
        <w:tc>
          <w:tcPr>
            <w:tcW w:w="264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宋体"/>
                <w:b/>
                <w:bCs/>
                <w:color w:val="auto"/>
                <w:kern w:val="0"/>
                <w:sz w:val="22"/>
                <w:szCs w:val="22"/>
              </w:rPr>
            </w:pPr>
            <w:r>
              <w:rPr>
                <w:rFonts w:hint="eastAsia" w:ascii="仿宋" w:hAnsi="仿宋" w:eastAsia="仿宋" w:cs="宋体"/>
                <w:b/>
                <w:bCs/>
                <w:color w:val="auto"/>
                <w:kern w:val="0"/>
                <w:sz w:val="22"/>
                <w:szCs w:val="22"/>
              </w:rPr>
              <w:t>绩效指标</w:t>
            </w:r>
          </w:p>
        </w:tc>
        <w:tc>
          <w:tcPr>
            <w:tcW w:w="569"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仿宋" w:hAnsi="仿宋" w:eastAsia="仿宋" w:cs="宋体"/>
                <w:b/>
                <w:bCs/>
                <w:color w:val="auto"/>
                <w:kern w:val="0"/>
                <w:sz w:val="22"/>
                <w:szCs w:val="22"/>
              </w:rPr>
            </w:pPr>
            <w:r>
              <w:rPr>
                <w:rFonts w:hint="eastAsia" w:ascii="仿宋" w:hAnsi="仿宋" w:eastAsia="仿宋" w:cs="宋体"/>
                <w:b/>
                <w:bCs/>
                <w:color w:val="auto"/>
                <w:kern w:val="0"/>
                <w:sz w:val="22"/>
                <w:szCs w:val="22"/>
              </w:rPr>
              <w:t>指标</w:t>
            </w:r>
            <w:r>
              <w:rPr>
                <w:rFonts w:hint="eastAsia" w:ascii="仿宋" w:hAnsi="仿宋" w:eastAsia="仿宋" w:cs="宋体"/>
                <w:b/>
                <w:bCs/>
                <w:color w:val="auto"/>
                <w:kern w:val="0"/>
                <w:sz w:val="22"/>
                <w:szCs w:val="22"/>
              </w:rPr>
              <w:br w:type="textWrapping"/>
            </w:r>
            <w:r>
              <w:rPr>
                <w:rFonts w:hint="eastAsia" w:ascii="仿宋" w:hAnsi="仿宋" w:eastAsia="仿宋" w:cs="宋体"/>
                <w:b/>
                <w:bCs/>
                <w:color w:val="auto"/>
                <w:kern w:val="0"/>
                <w:sz w:val="22"/>
                <w:szCs w:val="22"/>
              </w:rPr>
              <w:t>分值</w:t>
            </w:r>
          </w:p>
        </w:tc>
        <w:tc>
          <w:tcPr>
            <w:tcW w:w="623"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仿宋" w:hAnsi="仿宋" w:eastAsia="仿宋" w:cs="宋体"/>
                <w:b/>
                <w:bCs/>
                <w:color w:val="auto"/>
                <w:kern w:val="0"/>
                <w:sz w:val="22"/>
                <w:szCs w:val="22"/>
              </w:rPr>
            </w:pPr>
            <w:r>
              <w:rPr>
                <w:rFonts w:hint="eastAsia" w:ascii="仿宋" w:hAnsi="仿宋" w:eastAsia="仿宋" w:cs="宋体"/>
                <w:b/>
                <w:bCs/>
                <w:color w:val="auto"/>
                <w:kern w:val="0"/>
                <w:sz w:val="22"/>
                <w:szCs w:val="22"/>
              </w:rPr>
              <w:t>自评</w:t>
            </w:r>
            <w:r>
              <w:rPr>
                <w:rFonts w:hint="eastAsia" w:ascii="仿宋" w:hAnsi="仿宋" w:eastAsia="仿宋" w:cs="宋体"/>
                <w:b/>
                <w:bCs/>
                <w:color w:val="auto"/>
                <w:kern w:val="0"/>
                <w:sz w:val="22"/>
                <w:szCs w:val="22"/>
              </w:rPr>
              <w:br w:type="textWrapping"/>
            </w:r>
            <w:r>
              <w:rPr>
                <w:rFonts w:hint="eastAsia" w:ascii="仿宋" w:hAnsi="仿宋" w:eastAsia="仿宋" w:cs="宋体"/>
                <w:b/>
                <w:bCs/>
                <w:color w:val="auto"/>
                <w:kern w:val="0"/>
                <w:sz w:val="22"/>
                <w:szCs w:val="22"/>
              </w:rPr>
              <w:t>得分</w:t>
            </w:r>
          </w:p>
        </w:tc>
        <w:tc>
          <w:tcPr>
            <w:tcW w:w="1159" w:type="pct"/>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仿宋" w:hAnsi="仿宋" w:eastAsia="仿宋" w:cs="宋体"/>
                <w:b/>
                <w:bCs/>
                <w:color w:val="auto"/>
                <w:kern w:val="0"/>
                <w:sz w:val="22"/>
                <w:szCs w:val="22"/>
              </w:rPr>
            </w:pPr>
            <w:r>
              <w:rPr>
                <w:rFonts w:hint="eastAsia" w:ascii="仿宋" w:hAnsi="仿宋" w:eastAsia="仿宋" w:cs="宋体"/>
                <w:b/>
                <w:bCs/>
                <w:color w:val="auto"/>
                <w:kern w:val="0"/>
                <w:sz w:val="22"/>
                <w:szCs w:val="22"/>
              </w:rPr>
              <w:t>扣分原因</w:t>
            </w:r>
          </w:p>
        </w:tc>
      </w:tr>
      <w:tr>
        <w:tblPrEx>
          <w:tblCellMar>
            <w:top w:w="0" w:type="dxa"/>
            <w:left w:w="108" w:type="dxa"/>
            <w:bottom w:w="0" w:type="dxa"/>
            <w:right w:w="108" w:type="dxa"/>
          </w:tblCellMar>
        </w:tblPrEx>
        <w:trPr>
          <w:trHeight w:val="612" w:hRule="atLeast"/>
        </w:trPr>
        <w:tc>
          <w:tcPr>
            <w:tcW w:w="676"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宋体"/>
                <w:b/>
                <w:bCs/>
                <w:color w:val="auto"/>
                <w:kern w:val="0"/>
                <w:sz w:val="22"/>
                <w:szCs w:val="22"/>
              </w:rPr>
            </w:pPr>
            <w:r>
              <w:rPr>
                <w:rFonts w:hint="eastAsia" w:ascii="仿宋" w:hAnsi="仿宋" w:eastAsia="仿宋" w:cs="宋体"/>
                <w:b/>
                <w:bCs/>
                <w:color w:val="auto"/>
                <w:kern w:val="0"/>
                <w:sz w:val="22"/>
                <w:szCs w:val="22"/>
              </w:rPr>
              <w:t>一级</w:t>
            </w:r>
            <w:r>
              <w:rPr>
                <w:rFonts w:hint="eastAsia" w:ascii="仿宋" w:hAnsi="仿宋" w:eastAsia="仿宋" w:cs="宋体"/>
                <w:b/>
                <w:bCs/>
                <w:color w:val="auto"/>
                <w:kern w:val="0"/>
                <w:sz w:val="22"/>
                <w:szCs w:val="22"/>
              </w:rPr>
              <w:br w:type="textWrapping"/>
            </w:r>
            <w:r>
              <w:rPr>
                <w:rFonts w:hint="eastAsia" w:ascii="仿宋" w:hAnsi="仿宋" w:eastAsia="仿宋" w:cs="宋体"/>
                <w:b/>
                <w:bCs/>
                <w:color w:val="auto"/>
                <w:kern w:val="0"/>
                <w:sz w:val="22"/>
                <w:szCs w:val="22"/>
              </w:rPr>
              <w:t>指标</w:t>
            </w:r>
          </w:p>
        </w:tc>
        <w:tc>
          <w:tcPr>
            <w:tcW w:w="782"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b/>
                <w:bCs/>
                <w:color w:val="auto"/>
                <w:kern w:val="0"/>
                <w:sz w:val="22"/>
                <w:szCs w:val="22"/>
              </w:rPr>
            </w:pPr>
            <w:r>
              <w:rPr>
                <w:rFonts w:hint="eastAsia" w:ascii="仿宋" w:hAnsi="仿宋" w:eastAsia="仿宋" w:cs="宋体"/>
                <w:b/>
                <w:bCs/>
                <w:color w:val="auto"/>
                <w:kern w:val="0"/>
                <w:sz w:val="22"/>
                <w:szCs w:val="22"/>
              </w:rPr>
              <w:t>二级指标</w:t>
            </w: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b/>
                <w:bCs/>
                <w:color w:val="auto"/>
                <w:kern w:val="0"/>
                <w:sz w:val="22"/>
                <w:szCs w:val="22"/>
              </w:rPr>
            </w:pPr>
            <w:r>
              <w:rPr>
                <w:rFonts w:hint="eastAsia" w:ascii="仿宋" w:hAnsi="仿宋" w:eastAsia="仿宋" w:cs="宋体"/>
                <w:b/>
                <w:bCs/>
                <w:color w:val="auto"/>
                <w:kern w:val="0"/>
                <w:sz w:val="22"/>
                <w:szCs w:val="22"/>
              </w:rPr>
              <w:t>三级</w:t>
            </w:r>
            <w:r>
              <w:rPr>
                <w:rFonts w:hint="eastAsia" w:ascii="仿宋" w:hAnsi="仿宋" w:eastAsia="仿宋" w:cs="宋体"/>
                <w:b/>
                <w:bCs/>
                <w:color w:val="auto"/>
                <w:kern w:val="0"/>
                <w:sz w:val="22"/>
                <w:szCs w:val="22"/>
              </w:rPr>
              <w:br w:type="textWrapping"/>
            </w:r>
            <w:r>
              <w:rPr>
                <w:rFonts w:hint="eastAsia" w:ascii="仿宋" w:hAnsi="仿宋" w:eastAsia="仿宋" w:cs="宋体"/>
                <w:b/>
                <w:bCs/>
                <w:color w:val="auto"/>
                <w:kern w:val="0"/>
                <w:sz w:val="22"/>
                <w:szCs w:val="22"/>
              </w:rPr>
              <w:t>指标</w:t>
            </w:r>
          </w:p>
        </w:tc>
        <w:tc>
          <w:tcPr>
            <w:tcW w:w="56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cs="宋体"/>
                <w:b/>
                <w:bCs/>
                <w:color w:val="auto"/>
                <w:kern w:val="0"/>
                <w:sz w:val="22"/>
                <w:szCs w:val="22"/>
              </w:rPr>
            </w:pPr>
          </w:p>
        </w:tc>
        <w:tc>
          <w:tcPr>
            <w:tcW w:w="62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cs="宋体"/>
                <w:b/>
                <w:bCs/>
                <w:color w:val="auto"/>
                <w:kern w:val="0"/>
                <w:sz w:val="22"/>
                <w:szCs w:val="22"/>
              </w:rPr>
            </w:pPr>
          </w:p>
        </w:tc>
        <w:tc>
          <w:tcPr>
            <w:tcW w:w="115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 w:hAnsi="仿宋" w:eastAsia="仿宋" w:cs="宋体"/>
                <w:b/>
                <w:bCs/>
                <w:color w:val="auto"/>
                <w:kern w:val="0"/>
                <w:sz w:val="22"/>
                <w:szCs w:val="22"/>
              </w:rPr>
            </w:pPr>
          </w:p>
        </w:tc>
      </w:tr>
      <w:tr>
        <w:tblPrEx>
          <w:tblCellMar>
            <w:top w:w="0" w:type="dxa"/>
            <w:left w:w="108" w:type="dxa"/>
            <w:bottom w:w="0" w:type="dxa"/>
            <w:right w:w="108" w:type="dxa"/>
          </w:tblCellMar>
        </w:tblPrEx>
        <w:trPr>
          <w:trHeight w:val="1410" w:hRule="atLeast"/>
        </w:trPr>
        <w:tc>
          <w:tcPr>
            <w:tcW w:w="676"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部门预算管理（70分）</w:t>
            </w:r>
          </w:p>
        </w:tc>
        <w:tc>
          <w:tcPr>
            <w:tcW w:w="782"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预算编制（25分）</w:t>
            </w: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目标制定</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10</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10</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　</w:t>
            </w:r>
          </w:p>
        </w:tc>
      </w:tr>
      <w:tr>
        <w:tblPrEx>
          <w:tblCellMar>
            <w:top w:w="0" w:type="dxa"/>
            <w:left w:w="108" w:type="dxa"/>
            <w:bottom w:w="0" w:type="dxa"/>
            <w:right w:w="108" w:type="dxa"/>
          </w:tblCellMar>
        </w:tblPrEx>
        <w:trPr>
          <w:trHeight w:val="1620" w:hRule="atLeast"/>
        </w:trPr>
        <w:tc>
          <w:tcPr>
            <w:tcW w:w="676"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782"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目标完成</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15</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12.89</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2022年综合报表查询中完成绩效数量指标的项目占总预算项目的比例为85.96%</w:t>
            </w:r>
          </w:p>
        </w:tc>
      </w:tr>
      <w:tr>
        <w:tblPrEx>
          <w:tblCellMar>
            <w:top w:w="0" w:type="dxa"/>
            <w:left w:w="108" w:type="dxa"/>
            <w:bottom w:w="0" w:type="dxa"/>
            <w:right w:w="108" w:type="dxa"/>
          </w:tblCellMar>
        </w:tblPrEx>
        <w:trPr>
          <w:trHeight w:val="1680" w:hRule="atLeast"/>
        </w:trPr>
        <w:tc>
          <w:tcPr>
            <w:tcW w:w="676"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782"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 xml:space="preserve">                                                                             预算执行（25分）</w:t>
            </w: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支出控制</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10</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0</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因转移支付资金未纳入年初预算，偏差程度超过10%</w:t>
            </w:r>
          </w:p>
        </w:tc>
      </w:tr>
      <w:tr>
        <w:tblPrEx>
          <w:tblCellMar>
            <w:top w:w="0" w:type="dxa"/>
            <w:left w:w="108" w:type="dxa"/>
            <w:bottom w:w="0" w:type="dxa"/>
            <w:right w:w="108" w:type="dxa"/>
          </w:tblCellMar>
        </w:tblPrEx>
        <w:trPr>
          <w:trHeight w:val="2269" w:hRule="atLeast"/>
        </w:trPr>
        <w:tc>
          <w:tcPr>
            <w:tcW w:w="676"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782"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及时处置</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5</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5</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　</w:t>
            </w:r>
          </w:p>
        </w:tc>
      </w:tr>
      <w:tr>
        <w:tblPrEx>
          <w:tblCellMar>
            <w:top w:w="0" w:type="dxa"/>
            <w:left w:w="108" w:type="dxa"/>
            <w:bottom w:w="0" w:type="dxa"/>
            <w:right w:w="108" w:type="dxa"/>
          </w:tblCellMar>
        </w:tblPrEx>
        <w:trPr>
          <w:trHeight w:val="1620" w:hRule="atLeast"/>
        </w:trPr>
        <w:tc>
          <w:tcPr>
            <w:tcW w:w="676"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782"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执行进度</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10</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7.58</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因本年统管改革，6月实际支付进度为28.82%；9月为48.04%；11月为70.75%</w:t>
            </w:r>
          </w:p>
        </w:tc>
      </w:tr>
      <w:tr>
        <w:tblPrEx>
          <w:tblCellMar>
            <w:top w:w="0" w:type="dxa"/>
            <w:left w:w="108" w:type="dxa"/>
            <w:bottom w:w="0" w:type="dxa"/>
            <w:right w:w="108" w:type="dxa"/>
          </w:tblCellMar>
        </w:tblPrEx>
        <w:trPr>
          <w:trHeight w:val="792" w:hRule="atLeast"/>
        </w:trPr>
        <w:tc>
          <w:tcPr>
            <w:tcW w:w="676"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782"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完成结果（20分）</w:t>
            </w: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预算完成</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5</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4.82</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12月实际支出进度96.32%</w:t>
            </w:r>
          </w:p>
        </w:tc>
      </w:tr>
      <w:tr>
        <w:tblPrEx>
          <w:tblCellMar>
            <w:top w:w="0" w:type="dxa"/>
            <w:left w:w="108" w:type="dxa"/>
            <w:bottom w:w="0" w:type="dxa"/>
            <w:right w:w="108" w:type="dxa"/>
          </w:tblCellMar>
        </w:tblPrEx>
        <w:trPr>
          <w:trHeight w:val="2220" w:hRule="atLeast"/>
        </w:trPr>
        <w:tc>
          <w:tcPr>
            <w:tcW w:w="676"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782"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资金结余率</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10</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10</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　</w:t>
            </w:r>
          </w:p>
        </w:tc>
      </w:tr>
      <w:tr>
        <w:tblPrEx>
          <w:tblCellMar>
            <w:top w:w="0" w:type="dxa"/>
            <w:left w:w="108" w:type="dxa"/>
            <w:bottom w:w="0" w:type="dxa"/>
            <w:right w:w="108" w:type="dxa"/>
          </w:tblCellMar>
        </w:tblPrEx>
        <w:trPr>
          <w:trHeight w:val="1249" w:hRule="atLeast"/>
        </w:trPr>
        <w:tc>
          <w:tcPr>
            <w:tcW w:w="676"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782"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违规记录</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5</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5</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　</w:t>
            </w:r>
          </w:p>
        </w:tc>
      </w:tr>
      <w:tr>
        <w:tblPrEx>
          <w:tblCellMar>
            <w:top w:w="0" w:type="dxa"/>
            <w:left w:w="108" w:type="dxa"/>
            <w:bottom w:w="0" w:type="dxa"/>
            <w:right w:w="108" w:type="dxa"/>
          </w:tblCellMar>
        </w:tblPrEx>
        <w:trPr>
          <w:trHeight w:val="972" w:hRule="atLeast"/>
        </w:trPr>
        <w:tc>
          <w:tcPr>
            <w:tcW w:w="676"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绩效结果应用（20分）</w:t>
            </w:r>
          </w:p>
        </w:tc>
        <w:tc>
          <w:tcPr>
            <w:tcW w:w="782"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内部应用</w:t>
            </w:r>
            <w:r>
              <w:rPr>
                <w:rFonts w:hint="eastAsia" w:ascii="仿宋" w:hAnsi="仿宋" w:eastAsia="仿宋" w:cs="宋体"/>
                <w:color w:val="auto"/>
                <w:kern w:val="0"/>
                <w:sz w:val="22"/>
                <w:szCs w:val="22"/>
              </w:rPr>
              <w:br w:type="textWrapping"/>
            </w:r>
            <w:r>
              <w:rPr>
                <w:rFonts w:hint="eastAsia" w:ascii="仿宋" w:hAnsi="仿宋" w:eastAsia="仿宋" w:cs="宋体"/>
                <w:color w:val="auto"/>
                <w:kern w:val="0"/>
                <w:sz w:val="22"/>
                <w:szCs w:val="22"/>
              </w:rPr>
              <w:t>（6分）</w:t>
            </w: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预算挂钩</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6</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6</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　</w:t>
            </w:r>
          </w:p>
        </w:tc>
      </w:tr>
      <w:tr>
        <w:tblPrEx>
          <w:tblCellMar>
            <w:top w:w="0" w:type="dxa"/>
            <w:left w:w="108" w:type="dxa"/>
            <w:bottom w:w="0" w:type="dxa"/>
            <w:right w:w="108" w:type="dxa"/>
          </w:tblCellMar>
        </w:tblPrEx>
        <w:trPr>
          <w:trHeight w:val="1290" w:hRule="atLeast"/>
        </w:trPr>
        <w:tc>
          <w:tcPr>
            <w:tcW w:w="676"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782"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信息公开</w:t>
            </w:r>
            <w:r>
              <w:rPr>
                <w:rFonts w:hint="eastAsia" w:ascii="仿宋" w:hAnsi="仿宋" w:eastAsia="仿宋" w:cs="宋体"/>
                <w:color w:val="auto"/>
                <w:kern w:val="0"/>
                <w:sz w:val="22"/>
                <w:szCs w:val="22"/>
              </w:rPr>
              <w:br w:type="textWrapping"/>
            </w:r>
            <w:r>
              <w:rPr>
                <w:rFonts w:hint="eastAsia" w:ascii="仿宋" w:hAnsi="仿宋" w:eastAsia="仿宋" w:cs="宋体"/>
                <w:color w:val="auto"/>
                <w:kern w:val="0"/>
                <w:sz w:val="22"/>
                <w:szCs w:val="22"/>
              </w:rPr>
              <w:t>（4分)</w:t>
            </w: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自评公开</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4</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4</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　</w:t>
            </w:r>
          </w:p>
        </w:tc>
      </w:tr>
      <w:tr>
        <w:tblPrEx>
          <w:tblCellMar>
            <w:top w:w="0" w:type="dxa"/>
            <w:left w:w="108" w:type="dxa"/>
            <w:bottom w:w="0" w:type="dxa"/>
            <w:right w:w="108" w:type="dxa"/>
          </w:tblCellMar>
        </w:tblPrEx>
        <w:trPr>
          <w:trHeight w:val="1227" w:hRule="atLeast"/>
        </w:trPr>
        <w:tc>
          <w:tcPr>
            <w:tcW w:w="676"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782"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整改反馈</w:t>
            </w:r>
            <w:r>
              <w:rPr>
                <w:rFonts w:hint="eastAsia" w:ascii="仿宋" w:hAnsi="仿宋" w:eastAsia="仿宋" w:cs="宋体"/>
                <w:color w:val="auto"/>
                <w:kern w:val="0"/>
                <w:sz w:val="22"/>
                <w:szCs w:val="22"/>
              </w:rPr>
              <w:br w:type="textWrapping"/>
            </w:r>
            <w:r>
              <w:rPr>
                <w:rFonts w:hint="eastAsia" w:ascii="仿宋" w:hAnsi="仿宋" w:eastAsia="仿宋" w:cs="宋体"/>
                <w:color w:val="auto"/>
                <w:kern w:val="0"/>
                <w:sz w:val="22"/>
                <w:szCs w:val="22"/>
              </w:rPr>
              <w:t>（10分）</w:t>
            </w: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结果整改</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6</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6</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　</w:t>
            </w:r>
          </w:p>
        </w:tc>
      </w:tr>
      <w:tr>
        <w:tblPrEx>
          <w:tblCellMar>
            <w:top w:w="0" w:type="dxa"/>
            <w:left w:w="108" w:type="dxa"/>
            <w:bottom w:w="0" w:type="dxa"/>
            <w:right w:w="108" w:type="dxa"/>
          </w:tblCellMar>
        </w:tblPrEx>
        <w:trPr>
          <w:trHeight w:val="1080" w:hRule="atLeast"/>
        </w:trPr>
        <w:tc>
          <w:tcPr>
            <w:tcW w:w="676"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782" w:type="pct"/>
            <w:vMerge w:val="continue"/>
            <w:tcBorders>
              <w:top w:val="nil"/>
              <w:left w:val="single" w:color="000000" w:sz="4" w:space="0"/>
              <w:bottom w:val="single" w:color="000000" w:sz="4" w:space="0"/>
              <w:right w:val="single" w:color="000000" w:sz="4" w:space="0"/>
            </w:tcBorders>
            <w:vAlign w:val="center"/>
          </w:tcPr>
          <w:p>
            <w:pPr>
              <w:widowControl/>
              <w:jc w:val="left"/>
              <w:rPr>
                <w:rFonts w:ascii="仿宋" w:hAnsi="仿宋" w:eastAsia="仿宋" w:cs="宋体"/>
                <w:color w:val="auto"/>
                <w:kern w:val="0"/>
                <w:sz w:val="22"/>
                <w:szCs w:val="22"/>
              </w:rPr>
            </w:pP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应用反馈</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4</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4</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　</w:t>
            </w:r>
          </w:p>
        </w:tc>
      </w:tr>
      <w:tr>
        <w:tblPrEx>
          <w:tblCellMar>
            <w:top w:w="0" w:type="dxa"/>
            <w:left w:w="108" w:type="dxa"/>
            <w:bottom w:w="0" w:type="dxa"/>
            <w:right w:w="108" w:type="dxa"/>
          </w:tblCellMar>
        </w:tblPrEx>
        <w:trPr>
          <w:trHeight w:val="1572" w:hRule="atLeast"/>
        </w:trPr>
        <w:tc>
          <w:tcPr>
            <w:tcW w:w="676" w:type="pct"/>
            <w:tcBorders>
              <w:top w:val="nil"/>
              <w:left w:val="single" w:color="000000" w:sz="4" w:space="0"/>
              <w:bottom w:val="single" w:color="000000" w:sz="4" w:space="0"/>
              <w:right w:val="nil"/>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自评质量（10分）</w:t>
            </w:r>
          </w:p>
        </w:tc>
        <w:tc>
          <w:tcPr>
            <w:tcW w:w="782" w:type="pc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自评质量（10分）</w:t>
            </w:r>
          </w:p>
        </w:tc>
        <w:tc>
          <w:tcPr>
            <w:tcW w:w="1191"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自评准确</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10</w:t>
            </w:r>
          </w:p>
        </w:tc>
        <w:tc>
          <w:tcPr>
            <w:tcW w:w="623"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　</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　</w:t>
            </w:r>
          </w:p>
        </w:tc>
      </w:tr>
      <w:tr>
        <w:tblPrEx>
          <w:tblCellMar>
            <w:top w:w="0" w:type="dxa"/>
            <w:left w:w="108" w:type="dxa"/>
            <w:bottom w:w="0" w:type="dxa"/>
            <w:right w:w="108" w:type="dxa"/>
          </w:tblCellMar>
        </w:tblPrEx>
        <w:trPr>
          <w:trHeight w:val="612" w:hRule="atLeast"/>
        </w:trPr>
        <w:tc>
          <w:tcPr>
            <w:tcW w:w="264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自评总分</w:t>
            </w:r>
          </w:p>
        </w:tc>
        <w:tc>
          <w:tcPr>
            <w:tcW w:w="569" w:type="pct"/>
            <w:tcBorders>
              <w:top w:val="nil"/>
              <w:left w:val="nil"/>
              <w:bottom w:val="single" w:color="000000" w:sz="4" w:space="0"/>
              <w:right w:val="single" w:color="000000" w:sz="4" w:space="0"/>
            </w:tcBorders>
            <w:shd w:val="clear" w:color="auto" w:fill="auto"/>
            <w:vAlign w:val="center"/>
          </w:tcPr>
          <w:p>
            <w:pPr>
              <w:widowControl/>
              <w:jc w:val="center"/>
              <w:rPr>
                <w:rFonts w:ascii="仿宋" w:hAnsi="仿宋" w:eastAsia="仿宋" w:cs="宋体"/>
                <w:color w:val="auto"/>
                <w:kern w:val="0"/>
                <w:sz w:val="22"/>
                <w:szCs w:val="22"/>
              </w:rPr>
            </w:pPr>
            <w:r>
              <w:rPr>
                <w:rFonts w:hint="eastAsia" w:ascii="仿宋" w:hAnsi="仿宋" w:eastAsia="仿宋" w:cs="宋体"/>
                <w:color w:val="auto"/>
                <w:kern w:val="0"/>
                <w:sz w:val="22"/>
                <w:szCs w:val="22"/>
              </w:rPr>
              <w:t>90</w:t>
            </w:r>
          </w:p>
        </w:tc>
        <w:tc>
          <w:tcPr>
            <w:tcW w:w="623" w:type="pct"/>
            <w:tcBorders>
              <w:top w:val="nil"/>
              <w:left w:val="nil"/>
              <w:bottom w:val="single" w:color="000000" w:sz="4" w:space="0"/>
              <w:right w:val="single" w:color="000000" w:sz="4" w:space="0"/>
            </w:tcBorders>
            <w:shd w:val="clear" w:color="auto" w:fill="auto"/>
            <w:vAlign w:val="center"/>
          </w:tcPr>
          <w:p>
            <w:pPr>
              <w:widowControl/>
              <w:jc w:val="right"/>
              <w:rPr>
                <w:rFonts w:ascii="仿宋" w:hAnsi="仿宋" w:eastAsia="仿宋" w:cs="宋体"/>
                <w:color w:val="auto"/>
                <w:kern w:val="0"/>
                <w:sz w:val="22"/>
                <w:szCs w:val="22"/>
              </w:rPr>
            </w:pPr>
            <w:r>
              <w:rPr>
                <w:rFonts w:hint="eastAsia" w:ascii="仿宋" w:hAnsi="仿宋" w:eastAsia="仿宋" w:cs="宋体"/>
                <w:color w:val="auto"/>
                <w:kern w:val="0"/>
                <w:sz w:val="22"/>
                <w:szCs w:val="22"/>
              </w:rPr>
              <w:t>75.29</w:t>
            </w:r>
          </w:p>
        </w:tc>
        <w:tc>
          <w:tcPr>
            <w:tcW w:w="1159" w:type="pct"/>
            <w:tcBorders>
              <w:top w:val="nil"/>
              <w:left w:val="nil"/>
              <w:bottom w:val="single" w:color="000000" w:sz="4" w:space="0"/>
              <w:right w:val="single" w:color="000000" w:sz="4" w:space="0"/>
            </w:tcBorders>
            <w:shd w:val="clear" w:color="auto" w:fill="auto"/>
            <w:vAlign w:val="center"/>
          </w:tcPr>
          <w:p>
            <w:pPr>
              <w:widowControl/>
              <w:jc w:val="left"/>
              <w:rPr>
                <w:rFonts w:ascii="仿宋" w:hAnsi="仿宋" w:eastAsia="仿宋" w:cs="宋体"/>
                <w:color w:val="auto"/>
                <w:kern w:val="0"/>
                <w:sz w:val="22"/>
                <w:szCs w:val="22"/>
              </w:rPr>
            </w:pPr>
            <w:r>
              <w:rPr>
                <w:rFonts w:hint="eastAsia" w:ascii="仿宋" w:hAnsi="仿宋" w:eastAsia="仿宋" w:cs="宋体"/>
                <w:color w:val="auto"/>
                <w:kern w:val="0"/>
                <w:sz w:val="22"/>
                <w:szCs w:val="22"/>
              </w:rPr>
              <w:t>　</w:t>
            </w:r>
          </w:p>
        </w:tc>
      </w:tr>
    </w:tbl>
    <w:p>
      <w:pPr>
        <w:widowControl/>
        <w:adjustRightInd w:val="0"/>
        <w:snapToGrid w:val="0"/>
        <w:spacing w:line="620" w:lineRule="exact"/>
        <w:ind w:firstLine="632" w:firstLineChars="200"/>
        <w:contextualSpacing/>
        <w:jc w:val="left"/>
        <w:rPr>
          <w:rFonts w:ascii="仿宋" w:hAnsi="仿宋" w:eastAsia="仿宋"/>
          <w:color w:val="auto"/>
          <w:kern w:val="0"/>
          <w:szCs w:val="32"/>
          <w:shd w:val="clear" w:color="auto" w:fill="FFFFFF"/>
        </w:rPr>
      </w:pPr>
    </w:p>
    <w:p>
      <w:pPr>
        <w:widowControl/>
        <w:adjustRightInd w:val="0"/>
        <w:snapToGrid w:val="0"/>
        <w:spacing w:line="620" w:lineRule="exact"/>
        <w:ind w:firstLine="632" w:firstLineChars="200"/>
        <w:contextualSpacing/>
        <w:jc w:val="left"/>
        <w:rPr>
          <w:rFonts w:ascii="楷体" w:hAnsi="楷体" w:eastAsia="楷体"/>
          <w:color w:val="auto"/>
          <w:kern w:val="0"/>
          <w:szCs w:val="32"/>
          <w:shd w:val="clear" w:color="auto" w:fill="FFFFFF"/>
          <w:lang w:val="zh-CN"/>
        </w:rPr>
      </w:pPr>
      <w:r>
        <w:rPr>
          <w:rFonts w:ascii="楷体" w:hAnsi="楷体" w:eastAsia="楷体"/>
          <w:color w:val="auto"/>
          <w:kern w:val="0"/>
          <w:szCs w:val="32"/>
          <w:shd w:val="clear" w:color="auto" w:fill="FFFFFF"/>
          <w:lang w:val="zh-CN"/>
        </w:rPr>
        <w:t>（二）存在问题。</w:t>
      </w:r>
    </w:p>
    <w:p>
      <w:pPr>
        <w:widowControl/>
        <w:adjustRightInd w:val="0"/>
        <w:snapToGrid w:val="0"/>
        <w:spacing w:line="620" w:lineRule="exact"/>
        <w:ind w:firstLine="632" w:firstLineChars="200"/>
        <w:contextualSpacing/>
        <w:jc w:val="left"/>
        <w:rPr>
          <w:rFonts w:ascii="仿宋" w:hAnsi="仿宋" w:eastAsia="仿宋"/>
          <w:color w:val="auto"/>
          <w:kern w:val="0"/>
          <w:szCs w:val="32"/>
          <w:shd w:val="clear" w:color="auto" w:fill="FFFFFF"/>
          <w:lang w:val="zh-CN"/>
        </w:rPr>
      </w:pPr>
      <w:r>
        <w:rPr>
          <w:rFonts w:hint="eastAsia" w:ascii="仿宋" w:hAnsi="仿宋" w:eastAsia="仿宋"/>
          <w:color w:val="auto"/>
          <w:kern w:val="0"/>
          <w:szCs w:val="32"/>
          <w:shd w:val="clear" w:color="auto" w:fill="FFFFFF"/>
          <w:lang w:val="zh-CN"/>
        </w:rPr>
        <w:t>1、资金使用进度把控还需加强。2022年受统管改革的影响，加上部分资金使用部门规划不合理，预算资金使用进度较为不理想。</w:t>
      </w:r>
    </w:p>
    <w:p>
      <w:pPr>
        <w:widowControl/>
        <w:adjustRightInd w:val="0"/>
        <w:snapToGrid w:val="0"/>
        <w:spacing w:line="620" w:lineRule="exact"/>
        <w:ind w:firstLine="632" w:firstLineChars="200"/>
        <w:contextualSpacing/>
        <w:jc w:val="left"/>
        <w:rPr>
          <w:rFonts w:ascii="仿宋" w:hAnsi="仿宋" w:eastAsia="仿宋"/>
          <w:color w:val="auto"/>
          <w:kern w:val="0"/>
          <w:szCs w:val="32"/>
          <w:shd w:val="clear" w:color="auto" w:fill="FFFFFF"/>
          <w:lang w:val="zh-CN"/>
        </w:rPr>
      </w:pPr>
      <w:r>
        <w:rPr>
          <w:rFonts w:hint="eastAsia" w:ascii="仿宋" w:hAnsi="仿宋" w:eastAsia="仿宋"/>
          <w:color w:val="auto"/>
          <w:kern w:val="0"/>
          <w:szCs w:val="32"/>
          <w:shd w:val="clear" w:color="auto" w:fill="FFFFFF"/>
          <w:lang w:val="zh-CN"/>
        </w:rPr>
        <w:t>2、项目绩效目标还需优化。特定目标类项目绩效目标的编制，还需进一步优化，使项目绩效目标更加科学化、合理化。</w:t>
      </w:r>
    </w:p>
    <w:p>
      <w:pPr>
        <w:widowControl/>
        <w:adjustRightInd w:val="0"/>
        <w:snapToGrid w:val="0"/>
        <w:spacing w:line="620" w:lineRule="exact"/>
        <w:ind w:firstLine="632" w:firstLineChars="200"/>
        <w:contextualSpacing/>
        <w:jc w:val="left"/>
        <w:rPr>
          <w:rFonts w:ascii="仿宋" w:hAnsi="仿宋" w:eastAsia="仿宋"/>
          <w:color w:val="auto"/>
          <w:kern w:val="0"/>
          <w:szCs w:val="32"/>
          <w:shd w:val="clear" w:color="auto" w:fill="FFFFFF"/>
          <w:lang w:val="zh-CN"/>
        </w:rPr>
      </w:pPr>
      <w:r>
        <w:rPr>
          <w:rFonts w:ascii="仿宋" w:hAnsi="仿宋" w:eastAsia="仿宋"/>
          <w:color w:val="auto"/>
          <w:kern w:val="0"/>
          <w:szCs w:val="32"/>
          <w:shd w:val="clear" w:color="auto" w:fill="FFFFFF"/>
          <w:lang w:val="zh-CN"/>
        </w:rPr>
        <w:t>（三）改进建议。</w:t>
      </w:r>
    </w:p>
    <w:p>
      <w:pPr>
        <w:widowControl/>
        <w:adjustRightInd w:val="0"/>
        <w:snapToGrid w:val="0"/>
        <w:spacing w:line="620" w:lineRule="exact"/>
        <w:ind w:firstLine="632" w:firstLineChars="200"/>
        <w:contextualSpacing/>
        <w:jc w:val="left"/>
        <w:rPr>
          <w:rFonts w:ascii="仿宋" w:hAnsi="仿宋" w:eastAsia="仿宋"/>
          <w:color w:val="auto"/>
          <w:kern w:val="0"/>
          <w:szCs w:val="32"/>
          <w:shd w:val="clear" w:color="auto" w:fill="FFFFFF"/>
          <w:lang w:val="zh-CN"/>
        </w:rPr>
      </w:pPr>
      <w:r>
        <w:rPr>
          <w:rFonts w:hint="eastAsia" w:ascii="仿宋" w:hAnsi="仿宋" w:eastAsia="仿宋"/>
          <w:color w:val="auto"/>
          <w:kern w:val="0"/>
          <w:szCs w:val="32"/>
          <w:shd w:val="clear" w:color="auto" w:fill="FFFFFF"/>
          <w:lang w:val="zh-CN"/>
        </w:rPr>
        <w:t>1、加强对资金的的监控，密切关注各项预算资金的使用情况，敦促资金归口使用部门，及时使用预算资金，确保预算资金使用进度科学合理。</w:t>
      </w:r>
    </w:p>
    <w:p>
      <w:pPr>
        <w:widowControl/>
        <w:adjustRightInd w:val="0"/>
        <w:snapToGrid w:val="0"/>
        <w:spacing w:line="620" w:lineRule="exact"/>
        <w:ind w:firstLine="632" w:firstLineChars="200"/>
        <w:contextualSpacing/>
        <w:jc w:val="left"/>
        <w:rPr>
          <w:rFonts w:ascii="仿宋" w:hAnsi="仿宋" w:eastAsia="仿宋"/>
          <w:color w:val="auto"/>
          <w:kern w:val="0"/>
          <w:szCs w:val="32"/>
          <w:shd w:val="clear" w:color="auto" w:fill="FFFFFF"/>
          <w:lang w:val="zh-CN"/>
        </w:rPr>
      </w:pPr>
      <w:r>
        <w:rPr>
          <w:rFonts w:hint="eastAsia" w:ascii="仿宋" w:hAnsi="仿宋" w:eastAsia="仿宋"/>
          <w:color w:val="auto"/>
          <w:kern w:val="0"/>
          <w:szCs w:val="32"/>
          <w:shd w:val="clear" w:color="auto" w:fill="FFFFFF"/>
          <w:lang w:val="zh-CN"/>
        </w:rPr>
        <w:t>2、加强同资金使用业务部门的沟通交流。绩效目标编制不只是财务人员的工作，而是需要多个部门协同配合，加强沟通，在充分了解项目实质的基础上，科学合理得编制预算绩效目标。</w:t>
      </w:r>
    </w:p>
    <w:p>
      <w:pPr>
        <w:widowControl/>
        <w:adjustRightInd w:val="0"/>
        <w:snapToGrid w:val="0"/>
        <w:spacing w:line="620" w:lineRule="exact"/>
        <w:ind w:firstLine="632" w:firstLineChars="200"/>
        <w:contextualSpacing/>
        <w:jc w:val="left"/>
        <w:rPr>
          <w:rFonts w:ascii="仿宋" w:hAnsi="仿宋" w:eastAsia="仿宋"/>
          <w:color w:val="auto"/>
          <w:kern w:val="0"/>
          <w:szCs w:val="32"/>
          <w:shd w:val="clear" w:color="auto" w:fill="FFFFFF"/>
          <w:lang w:val="zh-CN"/>
        </w:rPr>
      </w:pPr>
    </w:p>
    <w:p>
      <w:pPr>
        <w:widowControl/>
        <w:adjustRightInd w:val="0"/>
        <w:snapToGrid w:val="0"/>
        <w:spacing w:line="620" w:lineRule="exact"/>
        <w:ind w:firstLine="632" w:firstLineChars="200"/>
        <w:contextualSpacing/>
        <w:jc w:val="left"/>
        <w:rPr>
          <w:rFonts w:ascii="仿宋" w:hAnsi="仿宋" w:eastAsia="仿宋" w:cs="宋体"/>
          <w:color w:val="auto"/>
          <w:kern w:val="0"/>
          <w:sz w:val="24"/>
        </w:rPr>
      </w:pPr>
      <w:r>
        <w:rPr>
          <w:rFonts w:ascii="仿宋" w:hAnsi="仿宋" w:eastAsia="仿宋" w:cs="宋体"/>
          <w:color w:val="auto"/>
          <w:kern w:val="0"/>
          <w:szCs w:val="32"/>
        </w:rPr>
        <w:t>附</w:t>
      </w:r>
      <w:r>
        <w:rPr>
          <w:rFonts w:hint="eastAsia" w:ascii="仿宋" w:hAnsi="仿宋" w:eastAsia="仿宋" w:cs="宋体"/>
          <w:color w:val="auto"/>
          <w:kern w:val="0"/>
          <w:szCs w:val="32"/>
        </w:rPr>
        <w:t>表</w:t>
      </w:r>
      <w:r>
        <w:rPr>
          <w:rFonts w:ascii="仿宋" w:hAnsi="仿宋" w:eastAsia="仿宋" w:cs="宋体"/>
          <w:color w:val="auto"/>
          <w:kern w:val="0"/>
          <w:szCs w:val="32"/>
        </w:rPr>
        <w:t>：</w:t>
      </w:r>
      <w:r>
        <w:rPr>
          <w:rFonts w:hint="eastAsia" w:ascii="仿宋" w:hAnsi="仿宋" w:eastAsia="仿宋"/>
          <w:color w:val="auto"/>
          <w:kern w:val="0"/>
          <w:szCs w:val="32"/>
          <w:shd w:val="clear" w:color="auto" w:fill="FFFFFF"/>
        </w:rPr>
        <w:t xml:space="preserve">1. </w:t>
      </w:r>
      <w:r>
        <w:rPr>
          <w:rFonts w:ascii="仿宋" w:hAnsi="仿宋" w:eastAsia="仿宋"/>
          <w:color w:val="auto"/>
          <w:kern w:val="0"/>
          <w:szCs w:val="32"/>
          <w:shd w:val="clear" w:color="auto" w:fill="FFFFFF"/>
        </w:rPr>
        <w:t>部门整体支出绩效自评表</w:t>
      </w:r>
    </w:p>
    <w:p>
      <w:pPr>
        <w:widowControl/>
        <w:numPr>
          <w:ilvl w:val="0"/>
          <w:numId w:val="8"/>
        </w:numPr>
        <w:adjustRightInd w:val="0"/>
        <w:snapToGrid w:val="0"/>
        <w:spacing w:line="580" w:lineRule="exact"/>
        <w:contextualSpacing/>
        <w:jc w:val="left"/>
        <w:rPr>
          <w:rFonts w:ascii="仿宋" w:hAnsi="仿宋" w:eastAsia="仿宋"/>
          <w:color w:val="auto"/>
          <w:kern w:val="0"/>
          <w:szCs w:val="32"/>
          <w:shd w:val="clear" w:color="auto" w:fill="FFFFFF"/>
        </w:rPr>
      </w:pPr>
      <w:r>
        <w:rPr>
          <w:rFonts w:hint="eastAsia" w:ascii="仿宋" w:hAnsi="仿宋" w:eastAsia="仿宋"/>
          <w:color w:val="auto"/>
          <w:kern w:val="0"/>
          <w:szCs w:val="32"/>
          <w:shd w:val="clear" w:color="auto" w:fill="FFFFFF"/>
        </w:rPr>
        <w:t>执行救助金项目绩效目标自评表</w:t>
      </w:r>
    </w:p>
    <w:p>
      <w:pPr>
        <w:widowControl/>
        <w:numPr>
          <w:ilvl w:val="0"/>
          <w:numId w:val="8"/>
        </w:numPr>
        <w:adjustRightInd w:val="0"/>
        <w:snapToGrid w:val="0"/>
        <w:spacing w:line="580" w:lineRule="exact"/>
        <w:contextualSpacing/>
        <w:jc w:val="left"/>
        <w:rPr>
          <w:rFonts w:ascii="仿宋" w:hAnsi="仿宋" w:eastAsia="仿宋"/>
          <w:color w:val="auto"/>
          <w:kern w:val="0"/>
          <w:szCs w:val="32"/>
          <w:shd w:val="clear" w:color="auto" w:fill="FFFFFF"/>
        </w:rPr>
      </w:pPr>
      <w:r>
        <w:rPr>
          <w:rFonts w:hint="eastAsia" w:ascii="仿宋" w:hAnsi="仿宋" w:eastAsia="仿宋"/>
          <w:color w:val="auto"/>
          <w:kern w:val="0"/>
          <w:szCs w:val="32"/>
          <w:shd w:val="clear" w:color="auto" w:fill="FFFFFF"/>
        </w:rPr>
        <w:t>档案数字化扫描项目绩效目标自评表</w:t>
      </w:r>
    </w:p>
    <w:p>
      <w:pPr>
        <w:widowControl/>
        <w:tabs>
          <w:tab w:val="left" w:pos="312"/>
        </w:tabs>
        <w:adjustRightInd w:val="0"/>
        <w:snapToGrid w:val="0"/>
        <w:spacing w:line="580" w:lineRule="exact"/>
        <w:contextualSpacing/>
        <w:jc w:val="left"/>
        <w:rPr>
          <w:rFonts w:ascii="仿宋" w:hAnsi="仿宋" w:eastAsia="仿宋"/>
          <w:color w:val="auto"/>
          <w:kern w:val="0"/>
          <w:szCs w:val="32"/>
          <w:shd w:val="clear" w:color="auto" w:fill="FFFFFF"/>
        </w:rPr>
      </w:pPr>
    </w:p>
    <w:p>
      <w:pPr>
        <w:widowControl/>
        <w:tabs>
          <w:tab w:val="left" w:pos="312"/>
        </w:tabs>
        <w:adjustRightInd w:val="0"/>
        <w:snapToGrid w:val="0"/>
        <w:spacing w:line="580" w:lineRule="exact"/>
        <w:contextualSpacing/>
        <w:jc w:val="left"/>
        <w:rPr>
          <w:rFonts w:ascii="仿宋" w:hAnsi="仿宋" w:eastAsia="仿宋"/>
          <w:color w:val="auto"/>
          <w:kern w:val="0"/>
          <w:szCs w:val="32"/>
          <w:shd w:val="clear" w:color="auto" w:fill="FFFFFF"/>
        </w:rPr>
      </w:pPr>
    </w:p>
    <w:p>
      <w:pPr>
        <w:widowControl/>
        <w:tabs>
          <w:tab w:val="left" w:pos="312"/>
        </w:tabs>
        <w:adjustRightInd w:val="0"/>
        <w:snapToGrid w:val="0"/>
        <w:spacing w:line="580" w:lineRule="exact"/>
        <w:contextualSpacing/>
        <w:jc w:val="left"/>
        <w:rPr>
          <w:rFonts w:ascii="仿宋" w:hAnsi="仿宋" w:eastAsia="仿宋"/>
          <w:color w:val="auto"/>
          <w:kern w:val="0"/>
          <w:szCs w:val="32"/>
          <w:shd w:val="clear" w:color="auto" w:fill="FFFFFF"/>
        </w:rPr>
      </w:pPr>
    </w:p>
    <w:p>
      <w:pPr>
        <w:widowControl/>
        <w:tabs>
          <w:tab w:val="left" w:pos="312"/>
        </w:tabs>
        <w:adjustRightInd w:val="0"/>
        <w:snapToGrid w:val="0"/>
        <w:spacing w:line="580" w:lineRule="exact"/>
        <w:ind w:left="1577"/>
        <w:contextualSpacing/>
        <w:jc w:val="right"/>
        <w:rPr>
          <w:rFonts w:ascii="仿宋" w:hAnsi="仿宋" w:eastAsia="仿宋"/>
          <w:color w:val="auto"/>
          <w:kern w:val="0"/>
          <w:szCs w:val="32"/>
          <w:shd w:val="clear" w:color="auto" w:fill="FFFFFF"/>
        </w:rPr>
      </w:pPr>
      <w:r>
        <w:rPr>
          <w:rFonts w:hint="eastAsia" w:ascii="仿宋" w:hAnsi="仿宋" w:eastAsia="仿宋"/>
          <w:color w:val="auto"/>
          <w:kern w:val="0"/>
          <w:szCs w:val="32"/>
          <w:shd w:val="clear" w:color="auto" w:fill="FFFFFF"/>
        </w:rPr>
        <w:t>蓬溪县人民法院</w:t>
      </w:r>
    </w:p>
    <w:p>
      <w:pPr>
        <w:widowControl/>
        <w:tabs>
          <w:tab w:val="left" w:pos="312"/>
        </w:tabs>
        <w:adjustRightInd w:val="0"/>
        <w:snapToGrid w:val="0"/>
        <w:spacing w:line="580" w:lineRule="exact"/>
        <w:ind w:left="1577"/>
        <w:contextualSpacing/>
        <w:jc w:val="right"/>
        <w:rPr>
          <w:rFonts w:ascii="仿宋" w:hAnsi="仿宋" w:eastAsia="仿宋"/>
          <w:color w:val="auto"/>
          <w:kern w:val="0"/>
          <w:szCs w:val="32"/>
          <w:shd w:val="clear" w:color="auto" w:fill="FFFFFF"/>
        </w:rPr>
      </w:pPr>
      <w:r>
        <w:rPr>
          <w:rFonts w:hint="eastAsia" w:ascii="仿宋" w:hAnsi="仿宋" w:eastAsia="仿宋"/>
          <w:color w:val="auto"/>
          <w:kern w:val="0"/>
          <w:szCs w:val="32"/>
          <w:shd w:val="clear" w:color="auto" w:fill="FFFFFF"/>
        </w:rPr>
        <w:t>2023年4月21日</w:t>
      </w:r>
    </w:p>
    <w:p>
      <w:pPr>
        <w:rPr>
          <w:color w:val="auto"/>
        </w:rPr>
      </w:pPr>
      <w:r>
        <w:rPr>
          <w:color w:val="auto"/>
        </w:rPr>
        <w:br w:type="page"/>
      </w:r>
    </w:p>
    <w:tbl>
      <w:tblPr>
        <w:tblStyle w:val="11"/>
        <w:tblpPr w:leftFromText="180" w:rightFromText="180" w:vertAnchor="text" w:horzAnchor="page" w:tblpX="1256" w:tblpY="221"/>
        <w:tblOverlap w:val="never"/>
        <w:tblW w:w="9725" w:type="dxa"/>
        <w:tblInd w:w="0" w:type="dxa"/>
        <w:tblLayout w:type="fixed"/>
        <w:tblCellMar>
          <w:top w:w="0" w:type="dxa"/>
          <w:left w:w="108" w:type="dxa"/>
          <w:bottom w:w="0" w:type="dxa"/>
          <w:right w:w="108" w:type="dxa"/>
        </w:tblCellMar>
      </w:tblPr>
      <w:tblGrid>
        <w:gridCol w:w="1935"/>
        <w:gridCol w:w="1177"/>
        <w:gridCol w:w="1834"/>
        <w:gridCol w:w="1329"/>
        <w:gridCol w:w="1505"/>
        <w:gridCol w:w="1708"/>
        <w:gridCol w:w="237"/>
      </w:tblGrid>
      <w:tr>
        <w:tblPrEx>
          <w:tblCellMar>
            <w:top w:w="0" w:type="dxa"/>
            <w:left w:w="108" w:type="dxa"/>
            <w:bottom w:w="0" w:type="dxa"/>
            <w:right w:w="108" w:type="dxa"/>
          </w:tblCellMar>
        </w:tblPrEx>
        <w:trPr>
          <w:trHeight w:val="675" w:hRule="atLeast"/>
        </w:trPr>
        <w:tc>
          <w:tcPr>
            <w:tcW w:w="9488" w:type="dxa"/>
            <w:gridSpan w:val="6"/>
            <w:tcBorders>
              <w:top w:val="nil"/>
              <w:left w:val="nil"/>
              <w:bottom w:val="nil"/>
              <w:right w:val="nil"/>
            </w:tcBorders>
            <w:vAlign w:val="center"/>
          </w:tcPr>
          <w:p>
            <w:pPr>
              <w:widowControl/>
              <w:jc w:val="center"/>
              <w:textAlignment w:val="center"/>
              <w:rPr>
                <w:rFonts w:ascii="仿宋" w:hAnsi="仿宋" w:eastAsia="仿宋" w:cs="宋体"/>
                <w:color w:val="auto"/>
                <w:sz w:val="44"/>
                <w:szCs w:val="44"/>
              </w:rPr>
            </w:pPr>
            <w:r>
              <w:rPr>
                <w:rFonts w:hint="eastAsia" w:ascii="仿宋" w:hAnsi="仿宋" w:eastAsia="仿宋" w:cs="宋体"/>
                <w:color w:val="auto"/>
                <w:sz w:val="40"/>
                <w:szCs w:val="44"/>
              </w:rPr>
              <w:t>2022年度特定目标类部门预算项目绩效目标自评表</w:t>
            </w:r>
          </w:p>
        </w:tc>
        <w:tc>
          <w:tcPr>
            <w:tcW w:w="237" w:type="dxa"/>
            <w:tcBorders>
              <w:top w:val="nil"/>
              <w:left w:val="nil"/>
              <w:bottom w:val="nil"/>
              <w:right w:val="nil"/>
            </w:tcBorders>
            <w:vAlign w:val="center"/>
          </w:tcPr>
          <w:p>
            <w:pPr>
              <w:widowControl/>
              <w:jc w:val="center"/>
              <w:textAlignment w:val="center"/>
              <w:rPr>
                <w:rFonts w:ascii="仿宋" w:hAnsi="仿宋" w:eastAsia="仿宋" w:cs="宋体"/>
                <w:b/>
                <w:color w:val="auto"/>
                <w:kern w:val="0"/>
                <w:szCs w:val="32"/>
              </w:rPr>
            </w:pPr>
          </w:p>
        </w:tc>
      </w:tr>
      <w:tr>
        <w:tblPrEx>
          <w:tblCellMar>
            <w:top w:w="0" w:type="dxa"/>
            <w:left w:w="108" w:type="dxa"/>
            <w:bottom w:w="0" w:type="dxa"/>
            <w:right w:w="108" w:type="dxa"/>
          </w:tblCellMar>
        </w:tblPrEx>
        <w:trPr>
          <w:gridAfter w:val="1"/>
          <w:wAfter w:w="237" w:type="dxa"/>
          <w:trHeight w:val="572" w:hRule="atLeast"/>
        </w:trPr>
        <w:tc>
          <w:tcPr>
            <w:tcW w:w="311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主管部门及代码</w:t>
            </w:r>
          </w:p>
        </w:tc>
        <w:tc>
          <w:tcPr>
            <w:tcW w:w="316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textAlignment w:val="center"/>
              <w:rPr>
                <w:rFonts w:ascii="仿宋" w:hAnsi="仿宋" w:eastAsia="仿宋" w:cs="宋体"/>
                <w:color w:val="auto"/>
                <w:sz w:val="24"/>
              </w:rPr>
            </w:pPr>
            <w:r>
              <w:rPr>
                <w:rFonts w:hint="eastAsia" w:ascii="仿宋" w:hAnsi="仿宋" w:eastAsia="仿宋" w:cs="宋体"/>
                <w:color w:val="auto"/>
                <w:sz w:val="24"/>
              </w:rPr>
              <w:t>蓬溪县人民法院 212001</w:t>
            </w: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实施单位</w:t>
            </w:r>
          </w:p>
        </w:tc>
        <w:tc>
          <w:tcPr>
            <w:tcW w:w="1708"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sz w:val="24"/>
              </w:rPr>
              <w:t>蓬溪县人民法院</w:t>
            </w:r>
          </w:p>
        </w:tc>
      </w:tr>
      <w:tr>
        <w:tblPrEx>
          <w:tblCellMar>
            <w:top w:w="0" w:type="dxa"/>
            <w:left w:w="108" w:type="dxa"/>
            <w:bottom w:w="0" w:type="dxa"/>
            <w:right w:w="108" w:type="dxa"/>
          </w:tblCellMar>
        </w:tblPrEx>
        <w:trPr>
          <w:gridAfter w:val="1"/>
          <w:wAfter w:w="237" w:type="dxa"/>
          <w:trHeight w:val="508" w:hRule="atLeast"/>
        </w:trPr>
        <w:tc>
          <w:tcPr>
            <w:tcW w:w="311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项目预算</w:t>
            </w:r>
            <w:r>
              <w:rPr>
                <w:rFonts w:hint="eastAsia" w:ascii="仿宋" w:hAnsi="仿宋" w:eastAsia="仿宋" w:cs="宋体"/>
                <w:color w:val="auto"/>
                <w:kern w:val="0"/>
                <w:sz w:val="24"/>
              </w:rPr>
              <w:br w:type="textWrapping"/>
            </w:r>
            <w:r>
              <w:rPr>
                <w:rFonts w:hint="eastAsia" w:ascii="仿宋" w:hAnsi="仿宋" w:eastAsia="仿宋" w:cs="宋体"/>
                <w:color w:val="auto"/>
                <w:kern w:val="0"/>
                <w:sz w:val="24"/>
              </w:rPr>
              <w:t>执行情况</w:t>
            </w:r>
            <w:r>
              <w:rPr>
                <w:rFonts w:hint="eastAsia" w:ascii="仿宋" w:hAnsi="仿宋" w:eastAsia="仿宋" w:cs="宋体"/>
                <w:color w:val="auto"/>
                <w:kern w:val="0"/>
                <w:sz w:val="24"/>
              </w:rPr>
              <w:br w:type="textWrapping"/>
            </w:r>
            <w:r>
              <w:rPr>
                <w:rFonts w:hint="eastAsia" w:ascii="仿宋" w:hAnsi="仿宋" w:eastAsia="仿宋" w:cs="宋体"/>
                <w:color w:val="auto"/>
                <w:kern w:val="0"/>
                <w:sz w:val="24"/>
              </w:rPr>
              <w:t>（万元）</w:t>
            </w:r>
          </w:p>
        </w:tc>
        <w:tc>
          <w:tcPr>
            <w:tcW w:w="1834"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 xml:space="preserve"> 预算数：</w:t>
            </w:r>
          </w:p>
        </w:tc>
        <w:tc>
          <w:tcPr>
            <w:tcW w:w="1329"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sz w:val="24"/>
              </w:rPr>
              <w:t>30</w:t>
            </w: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 xml:space="preserve"> 执行数：</w:t>
            </w:r>
          </w:p>
        </w:tc>
        <w:tc>
          <w:tcPr>
            <w:tcW w:w="1708"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right"/>
              <w:textAlignment w:val="center"/>
              <w:rPr>
                <w:rFonts w:ascii="仿宋" w:hAnsi="仿宋" w:eastAsia="仿宋" w:cs="宋体"/>
                <w:color w:val="auto"/>
                <w:sz w:val="24"/>
              </w:rPr>
            </w:pPr>
            <w:r>
              <w:rPr>
                <w:rFonts w:hint="eastAsia" w:ascii="仿宋" w:hAnsi="仿宋" w:eastAsia="仿宋" w:cs="宋体"/>
                <w:color w:val="auto"/>
                <w:sz w:val="24"/>
              </w:rPr>
              <w:t>30</w:t>
            </w:r>
          </w:p>
        </w:tc>
      </w:tr>
      <w:tr>
        <w:tblPrEx>
          <w:tblCellMar>
            <w:top w:w="0" w:type="dxa"/>
            <w:left w:w="108" w:type="dxa"/>
            <w:bottom w:w="0" w:type="dxa"/>
            <w:right w:w="108" w:type="dxa"/>
          </w:tblCellMar>
        </w:tblPrEx>
        <w:trPr>
          <w:gridAfter w:val="1"/>
          <w:wAfter w:w="237" w:type="dxa"/>
          <w:trHeight w:val="577" w:hRule="atLeast"/>
        </w:trPr>
        <w:tc>
          <w:tcPr>
            <w:tcW w:w="311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cs="宋体"/>
                <w:color w:val="auto"/>
                <w:sz w:val="24"/>
              </w:rPr>
            </w:pPr>
          </w:p>
        </w:tc>
        <w:tc>
          <w:tcPr>
            <w:tcW w:w="1834"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kern w:val="0"/>
                <w:sz w:val="24"/>
              </w:rPr>
            </w:pPr>
            <w:r>
              <w:rPr>
                <w:rFonts w:hint="eastAsia" w:ascii="仿宋" w:hAnsi="仿宋" w:eastAsia="仿宋" w:cs="宋体"/>
                <w:color w:val="auto"/>
                <w:kern w:val="0"/>
                <w:sz w:val="24"/>
              </w:rPr>
              <w:t>其中：</w:t>
            </w:r>
          </w:p>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财政拨款</w:t>
            </w:r>
          </w:p>
        </w:tc>
        <w:tc>
          <w:tcPr>
            <w:tcW w:w="1329"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sz w:val="24"/>
              </w:rPr>
              <w:t>30</w:t>
            </w: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kern w:val="0"/>
                <w:sz w:val="24"/>
              </w:rPr>
            </w:pPr>
            <w:r>
              <w:rPr>
                <w:rFonts w:hint="eastAsia" w:ascii="仿宋" w:hAnsi="仿宋" w:eastAsia="仿宋" w:cs="宋体"/>
                <w:color w:val="auto"/>
                <w:kern w:val="0"/>
                <w:sz w:val="24"/>
              </w:rPr>
              <w:t>其中：</w:t>
            </w:r>
          </w:p>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财政拨款</w:t>
            </w:r>
          </w:p>
        </w:tc>
        <w:tc>
          <w:tcPr>
            <w:tcW w:w="1708"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textAlignment w:val="center"/>
              <w:rPr>
                <w:rFonts w:ascii="仿宋" w:hAnsi="仿宋" w:eastAsia="仿宋" w:cs="宋体"/>
                <w:color w:val="auto"/>
                <w:sz w:val="24"/>
              </w:rPr>
            </w:pPr>
            <w:r>
              <w:rPr>
                <w:rFonts w:hint="eastAsia" w:ascii="仿宋" w:hAnsi="仿宋" w:eastAsia="仿宋" w:cs="宋体"/>
                <w:color w:val="auto"/>
                <w:sz w:val="24"/>
              </w:rPr>
              <w:t>30</w:t>
            </w:r>
          </w:p>
        </w:tc>
      </w:tr>
      <w:tr>
        <w:tblPrEx>
          <w:tblCellMar>
            <w:top w:w="0" w:type="dxa"/>
            <w:left w:w="108" w:type="dxa"/>
            <w:bottom w:w="0" w:type="dxa"/>
            <w:right w:w="108" w:type="dxa"/>
          </w:tblCellMar>
        </w:tblPrEx>
        <w:trPr>
          <w:gridAfter w:val="1"/>
          <w:wAfter w:w="237" w:type="dxa"/>
          <w:trHeight w:val="341" w:hRule="atLeast"/>
        </w:trPr>
        <w:tc>
          <w:tcPr>
            <w:tcW w:w="311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cs="宋体"/>
                <w:color w:val="auto"/>
                <w:sz w:val="24"/>
              </w:rPr>
            </w:pPr>
          </w:p>
        </w:tc>
        <w:tc>
          <w:tcPr>
            <w:tcW w:w="1834"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其他资金</w:t>
            </w:r>
          </w:p>
        </w:tc>
        <w:tc>
          <w:tcPr>
            <w:tcW w:w="1329"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其他资金</w:t>
            </w:r>
          </w:p>
        </w:tc>
        <w:tc>
          <w:tcPr>
            <w:tcW w:w="1708"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p>
        </w:tc>
      </w:tr>
      <w:tr>
        <w:tblPrEx>
          <w:tblCellMar>
            <w:top w:w="0" w:type="dxa"/>
            <w:left w:w="108" w:type="dxa"/>
            <w:bottom w:w="0" w:type="dxa"/>
            <w:right w:w="108" w:type="dxa"/>
          </w:tblCellMar>
        </w:tblPrEx>
        <w:trPr>
          <w:gridAfter w:val="1"/>
          <w:wAfter w:w="237" w:type="dxa"/>
          <w:trHeight w:val="217" w:hRule="atLeast"/>
        </w:trPr>
        <w:tc>
          <w:tcPr>
            <w:tcW w:w="193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kern w:val="0"/>
                <w:sz w:val="24"/>
              </w:rPr>
            </w:pPr>
            <w:r>
              <w:rPr>
                <w:rFonts w:hint="eastAsia" w:ascii="仿宋" w:hAnsi="仿宋" w:eastAsia="仿宋" w:cs="宋体"/>
                <w:color w:val="auto"/>
                <w:kern w:val="0"/>
                <w:sz w:val="24"/>
              </w:rPr>
              <w:t>年度总体目标</w:t>
            </w:r>
          </w:p>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完成情况</w:t>
            </w:r>
          </w:p>
        </w:tc>
        <w:tc>
          <w:tcPr>
            <w:tcW w:w="43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预期目标</w:t>
            </w:r>
          </w:p>
        </w:tc>
        <w:tc>
          <w:tcPr>
            <w:tcW w:w="321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目标实际完成情况</w:t>
            </w:r>
          </w:p>
        </w:tc>
      </w:tr>
      <w:tr>
        <w:tblPrEx>
          <w:tblCellMar>
            <w:top w:w="0" w:type="dxa"/>
            <w:left w:w="108" w:type="dxa"/>
            <w:bottom w:w="0" w:type="dxa"/>
            <w:right w:w="108" w:type="dxa"/>
          </w:tblCellMar>
        </w:tblPrEx>
        <w:trPr>
          <w:gridAfter w:val="1"/>
          <w:wAfter w:w="237" w:type="dxa"/>
          <w:trHeight w:val="764" w:hRule="atLeast"/>
        </w:trPr>
        <w:tc>
          <w:tcPr>
            <w:tcW w:w="1935"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cs="宋体"/>
                <w:color w:val="auto"/>
                <w:sz w:val="24"/>
              </w:rPr>
            </w:pPr>
          </w:p>
        </w:tc>
        <w:tc>
          <w:tcPr>
            <w:tcW w:w="4340" w:type="dxa"/>
            <w:gridSpan w:val="3"/>
            <w:tcBorders>
              <w:top w:val="single" w:color="000000" w:sz="4" w:space="0"/>
              <w:left w:val="single" w:color="000000" w:sz="4" w:space="0"/>
              <w:bottom w:val="single" w:color="000000" w:sz="4" w:space="0"/>
              <w:right w:val="single" w:color="000000" w:sz="4" w:space="0"/>
            </w:tcBorders>
          </w:tcPr>
          <w:p>
            <w:pPr>
              <w:widowControl/>
              <w:spacing w:line="320" w:lineRule="exact"/>
              <w:jc w:val="left"/>
              <w:textAlignment w:val="top"/>
              <w:rPr>
                <w:rFonts w:ascii="仿宋" w:hAnsi="仿宋" w:eastAsia="仿宋" w:cs="宋体"/>
                <w:color w:val="auto"/>
                <w:sz w:val="24"/>
              </w:rPr>
            </w:pPr>
            <w:r>
              <w:rPr>
                <w:rFonts w:hint="eastAsia" w:ascii="仿宋" w:hAnsi="仿宋" w:eastAsia="仿宋" w:cs="宋体"/>
                <w:color w:val="auto"/>
                <w:sz w:val="24"/>
              </w:rPr>
              <w:t>为有效维护当事人合法权益，保障社会公平正义，促进社会和谐稳定。</w:t>
            </w:r>
          </w:p>
        </w:tc>
        <w:tc>
          <w:tcPr>
            <w:tcW w:w="3213" w:type="dxa"/>
            <w:gridSpan w:val="2"/>
            <w:tcBorders>
              <w:top w:val="single" w:color="000000" w:sz="4" w:space="0"/>
              <w:left w:val="single" w:color="000000" w:sz="4" w:space="0"/>
              <w:bottom w:val="single" w:color="000000" w:sz="4" w:space="0"/>
              <w:right w:val="single" w:color="000000" w:sz="4" w:space="0"/>
            </w:tcBorders>
          </w:tcPr>
          <w:p>
            <w:pPr>
              <w:widowControl/>
              <w:spacing w:line="320" w:lineRule="exact"/>
              <w:jc w:val="left"/>
              <w:textAlignment w:val="top"/>
              <w:rPr>
                <w:rFonts w:ascii="仿宋" w:hAnsi="仿宋" w:eastAsia="仿宋" w:cs="宋体"/>
                <w:color w:val="auto"/>
                <w:sz w:val="24"/>
              </w:rPr>
            </w:pPr>
            <w:r>
              <w:rPr>
                <w:rFonts w:hint="eastAsia" w:ascii="仿宋" w:hAnsi="仿宋" w:eastAsia="仿宋" w:cs="宋体"/>
                <w:color w:val="auto"/>
                <w:sz w:val="24"/>
              </w:rPr>
              <w:t>有效维护了当事人合法权益，保障社会公平正义，促进社会和谐稳定。</w:t>
            </w:r>
          </w:p>
        </w:tc>
      </w:tr>
      <w:tr>
        <w:tblPrEx>
          <w:tblCellMar>
            <w:top w:w="0" w:type="dxa"/>
            <w:left w:w="108" w:type="dxa"/>
            <w:bottom w:w="0" w:type="dxa"/>
            <w:right w:w="108" w:type="dxa"/>
          </w:tblCellMar>
        </w:tblPrEx>
        <w:trPr>
          <w:gridAfter w:val="1"/>
          <w:wAfter w:w="237" w:type="dxa"/>
          <w:trHeight w:val="738" w:hRule="atLeast"/>
        </w:trPr>
        <w:tc>
          <w:tcPr>
            <w:tcW w:w="1935" w:type="dxa"/>
            <w:vMerge w:val="restart"/>
            <w:tcBorders>
              <w:top w:val="single" w:color="000000" w:sz="4" w:space="0"/>
              <w:left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kern w:val="0"/>
                <w:sz w:val="24"/>
              </w:rPr>
            </w:pPr>
            <w:r>
              <w:rPr>
                <w:rFonts w:hint="eastAsia" w:ascii="仿宋" w:hAnsi="仿宋" w:eastAsia="仿宋" w:cs="宋体"/>
                <w:color w:val="auto"/>
                <w:kern w:val="0"/>
                <w:sz w:val="24"/>
              </w:rPr>
              <w:t>年度绩效指标完成情况</w:t>
            </w:r>
          </w:p>
        </w:tc>
        <w:tc>
          <w:tcPr>
            <w:tcW w:w="1177" w:type="dxa"/>
            <w:tcBorders>
              <w:top w:val="single" w:color="000000" w:sz="4" w:space="0"/>
              <w:left w:val="nil"/>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kern w:val="0"/>
                <w:sz w:val="24"/>
              </w:rPr>
            </w:pPr>
            <w:r>
              <w:rPr>
                <w:rFonts w:hint="eastAsia" w:ascii="仿宋" w:hAnsi="仿宋" w:eastAsia="仿宋" w:cs="宋体"/>
                <w:color w:val="auto"/>
                <w:kern w:val="0"/>
                <w:sz w:val="24"/>
              </w:rPr>
              <w:t>一级</w:t>
            </w:r>
          </w:p>
          <w:p>
            <w:pPr>
              <w:widowControl/>
              <w:spacing w:line="320" w:lineRule="exact"/>
              <w:jc w:val="center"/>
              <w:textAlignment w:val="center"/>
              <w:rPr>
                <w:rFonts w:ascii="仿宋" w:hAnsi="仿宋" w:eastAsia="仿宋" w:cs="宋体"/>
                <w:color w:val="auto"/>
                <w:kern w:val="0"/>
                <w:sz w:val="24"/>
              </w:rPr>
            </w:pPr>
            <w:r>
              <w:rPr>
                <w:rFonts w:hint="eastAsia" w:ascii="仿宋" w:hAnsi="仿宋" w:eastAsia="仿宋" w:cs="宋体"/>
                <w:color w:val="auto"/>
                <w:kern w:val="0"/>
                <w:sz w:val="24"/>
              </w:rPr>
              <w:t>指标</w:t>
            </w:r>
          </w:p>
        </w:tc>
        <w:tc>
          <w:tcPr>
            <w:tcW w:w="1834"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kern w:val="0"/>
                <w:sz w:val="24"/>
              </w:rPr>
            </w:pPr>
            <w:r>
              <w:rPr>
                <w:rFonts w:hint="eastAsia" w:ascii="仿宋" w:hAnsi="仿宋" w:eastAsia="仿宋" w:cs="宋体"/>
                <w:color w:val="auto"/>
                <w:kern w:val="0"/>
                <w:sz w:val="24"/>
              </w:rPr>
              <w:t>二级</w:t>
            </w:r>
          </w:p>
          <w:p>
            <w:pPr>
              <w:widowControl/>
              <w:spacing w:line="320" w:lineRule="exact"/>
              <w:jc w:val="center"/>
              <w:textAlignment w:val="center"/>
              <w:rPr>
                <w:rFonts w:ascii="仿宋" w:hAnsi="仿宋" w:eastAsia="仿宋" w:cs="宋体"/>
                <w:color w:val="auto"/>
                <w:kern w:val="0"/>
                <w:sz w:val="24"/>
              </w:rPr>
            </w:pPr>
            <w:r>
              <w:rPr>
                <w:rFonts w:hint="eastAsia" w:ascii="仿宋" w:hAnsi="仿宋" w:eastAsia="仿宋" w:cs="宋体"/>
                <w:color w:val="auto"/>
                <w:kern w:val="0"/>
                <w:sz w:val="24"/>
              </w:rPr>
              <w:t>指标</w:t>
            </w:r>
          </w:p>
        </w:tc>
        <w:tc>
          <w:tcPr>
            <w:tcW w:w="1329"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kern w:val="0"/>
                <w:sz w:val="24"/>
              </w:rPr>
            </w:pPr>
            <w:r>
              <w:rPr>
                <w:rFonts w:hint="eastAsia" w:ascii="仿宋" w:hAnsi="仿宋" w:eastAsia="仿宋" w:cs="宋体"/>
                <w:color w:val="auto"/>
                <w:kern w:val="0"/>
                <w:sz w:val="24"/>
              </w:rPr>
              <w:t>三级</w:t>
            </w:r>
          </w:p>
          <w:p>
            <w:pPr>
              <w:widowControl/>
              <w:spacing w:line="320" w:lineRule="exact"/>
              <w:jc w:val="center"/>
              <w:textAlignment w:val="center"/>
              <w:rPr>
                <w:rFonts w:ascii="仿宋" w:hAnsi="仿宋" w:eastAsia="仿宋" w:cs="宋体"/>
                <w:color w:val="auto"/>
                <w:kern w:val="0"/>
                <w:sz w:val="24"/>
              </w:rPr>
            </w:pPr>
            <w:r>
              <w:rPr>
                <w:rFonts w:hint="eastAsia" w:ascii="仿宋" w:hAnsi="仿宋" w:eastAsia="仿宋" w:cs="宋体"/>
                <w:color w:val="auto"/>
                <w:kern w:val="0"/>
                <w:sz w:val="24"/>
              </w:rPr>
              <w:t>指标</w:t>
            </w: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kern w:val="0"/>
                <w:sz w:val="24"/>
              </w:rPr>
            </w:pPr>
            <w:r>
              <w:rPr>
                <w:rFonts w:hint="eastAsia" w:ascii="仿宋" w:hAnsi="仿宋" w:eastAsia="仿宋" w:cs="宋体"/>
                <w:color w:val="auto"/>
                <w:kern w:val="0"/>
                <w:sz w:val="24"/>
              </w:rPr>
              <w:t>预期指标值</w:t>
            </w:r>
          </w:p>
        </w:tc>
        <w:tc>
          <w:tcPr>
            <w:tcW w:w="1708"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kern w:val="0"/>
                <w:sz w:val="24"/>
              </w:rPr>
            </w:pPr>
            <w:r>
              <w:rPr>
                <w:rFonts w:hint="eastAsia" w:ascii="仿宋" w:hAnsi="仿宋" w:eastAsia="仿宋" w:cs="宋体"/>
                <w:color w:val="auto"/>
                <w:kern w:val="0"/>
                <w:sz w:val="24"/>
              </w:rPr>
              <w:t>实际完成指标值</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宋体"/>
                <w:color w:val="auto"/>
                <w:kern w:val="0"/>
                <w:sz w:val="24"/>
              </w:rPr>
            </w:pPr>
          </w:p>
        </w:tc>
        <w:tc>
          <w:tcPr>
            <w:tcW w:w="1177"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完成</w:t>
            </w:r>
          </w:p>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指标</w:t>
            </w: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数量指标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救助执行对象个数</w:t>
            </w: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45</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44</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宋体"/>
                <w:color w:val="auto"/>
                <w:kern w:val="0"/>
                <w:sz w:val="24"/>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宋体"/>
                <w:color w:val="auto"/>
                <w:kern w:val="0"/>
                <w:sz w:val="24"/>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质量指标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救助完成率</w:t>
            </w: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100%</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100%</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宋体"/>
                <w:color w:val="auto"/>
                <w:kern w:val="0"/>
                <w:sz w:val="24"/>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宋体"/>
                <w:color w:val="auto"/>
                <w:kern w:val="0"/>
                <w:sz w:val="24"/>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时效指标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项目完成时间</w:t>
            </w: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&lt;=1年</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1年</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宋体"/>
                <w:color w:val="auto"/>
                <w:kern w:val="0"/>
                <w:sz w:val="24"/>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宋体"/>
                <w:color w:val="auto"/>
                <w:kern w:val="0"/>
                <w:sz w:val="24"/>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成本指标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项目完成成本</w:t>
            </w: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&gt;=30万</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30万</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宋体"/>
                <w:color w:val="auto"/>
                <w:kern w:val="0"/>
                <w:sz w:val="24"/>
              </w:rPr>
            </w:pPr>
          </w:p>
        </w:tc>
        <w:tc>
          <w:tcPr>
            <w:tcW w:w="1177"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效益</w:t>
            </w:r>
            <w:r>
              <w:rPr>
                <w:rFonts w:hint="eastAsia" w:ascii="仿宋" w:hAnsi="仿宋" w:eastAsia="仿宋" w:cs="宋体"/>
                <w:color w:val="auto"/>
                <w:kern w:val="0"/>
                <w:sz w:val="24"/>
              </w:rPr>
              <w:br w:type="textWrapping"/>
            </w:r>
            <w:r>
              <w:rPr>
                <w:rFonts w:hint="eastAsia" w:ascii="仿宋" w:hAnsi="仿宋" w:eastAsia="仿宋" w:cs="宋体"/>
                <w:color w:val="auto"/>
                <w:kern w:val="0"/>
                <w:sz w:val="24"/>
              </w:rPr>
              <w:t>指标</w:t>
            </w: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经济效益  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宋体"/>
                <w:color w:val="auto"/>
                <w:kern w:val="0"/>
                <w:sz w:val="24"/>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宋体"/>
                <w:color w:val="auto"/>
                <w:kern w:val="0"/>
                <w:sz w:val="24"/>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社会效益  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p>
        </w:tc>
      </w:tr>
      <w:tr>
        <w:tblPrEx>
          <w:tblCellMar>
            <w:top w:w="0" w:type="dxa"/>
            <w:left w:w="108" w:type="dxa"/>
            <w:bottom w:w="0" w:type="dxa"/>
            <w:right w:w="108" w:type="dxa"/>
          </w:tblCellMar>
        </w:tblPrEx>
        <w:trPr>
          <w:gridAfter w:val="1"/>
          <w:wAfter w:w="237" w:type="dxa"/>
          <w:trHeight w:val="577"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宋体"/>
                <w:color w:val="auto"/>
                <w:kern w:val="0"/>
                <w:sz w:val="24"/>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宋体"/>
                <w:color w:val="auto"/>
                <w:kern w:val="0"/>
                <w:sz w:val="24"/>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ind w:left="510" w:leftChars="87" w:hanging="236" w:hangingChars="100"/>
              <w:jc w:val="left"/>
              <w:textAlignment w:val="bottom"/>
              <w:rPr>
                <w:rFonts w:ascii="仿宋" w:hAnsi="仿宋" w:eastAsia="仿宋" w:cs="宋体"/>
                <w:color w:val="auto"/>
                <w:kern w:val="0"/>
                <w:sz w:val="24"/>
              </w:rPr>
            </w:pPr>
            <w:r>
              <w:rPr>
                <w:rFonts w:hint="eastAsia" w:ascii="仿宋" w:hAnsi="仿宋" w:eastAsia="仿宋" w:cs="宋体"/>
                <w:color w:val="auto"/>
                <w:kern w:val="0"/>
                <w:sz w:val="24"/>
              </w:rPr>
              <w:t>生态效益  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宋体"/>
                <w:color w:val="auto"/>
                <w:kern w:val="0"/>
                <w:sz w:val="24"/>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宋体"/>
                <w:color w:val="auto"/>
                <w:kern w:val="0"/>
                <w:sz w:val="24"/>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可持续影响 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社会和谐提升率</w:t>
            </w: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&gt;=50%</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50%</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cs="宋体"/>
                <w:color w:val="auto"/>
                <w:kern w:val="0"/>
                <w:sz w:val="24"/>
              </w:rPr>
            </w:pPr>
          </w:p>
        </w:tc>
        <w:tc>
          <w:tcPr>
            <w:tcW w:w="1177"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满意</w:t>
            </w:r>
            <w:r>
              <w:rPr>
                <w:rFonts w:hint="eastAsia" w:ascii="仿宋" w:hAnsi="仿宋" w:eastAsia="仿宋" w:cs="宋体"/>
                <w:color w:val="auto"/>
                <w:kern w:val="0"/>
                <w:sz w:val="24"/>
              </w:rPr>
              <w:br w:type="textWrapping"/>
            </w:r>
            <w:r>
              <w:rPr>
                <w:rFonts w:hint="eastAsia" w:ascii="仿宋" w:hAnsi="仿宋" w:eastAsia="仿宋" w:cs="宋体"/>
                <w:color w:val="auto"/>
                <w:kern w:val="0"/>
                <w:sz w:val="24"/>
              </w:rPr>
              <w:t>度指标</w:t>
            </w: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满意度</w:t>
            </w:r>
          </w:p>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救助对象满衣服</w:t>
            </w: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&gt;=95%</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宋体"/>
                <w:color w:val="auto"/>
                <w:kern w:val="0"/>
                <w:sz w:val="24"/>
              </w:rPr>
            </w:pPr>
            <w:r>
              <w:rPr>
                <w:rFonts w:hint="eastAsia" w:ascii="仿宋" w:hAnsi="仿宋" w:eastAsia="仿宋" w:cs="宋体"/>
                <w:color w:val="auto"/>
                <w:kern w:val="0"/>
                <w:sz w:val="24"/>
              </w:rPr>
              <w:t>95%</w:t>
            </w:r>
          </w:p>
        </w:tc>
      </w:tr>
    </w:tbl>
    <w:p>
      <w:pPr>
        <w:widowControl/>
        <w:jc w:val="center"/>
        <w:textAlignment w:val="center"/>
        <w:rPr>
          <w:rFonts w:ascii="仿宋" w:hAnsi="仿宋" w:eastAsia="仿宋" w:cs="宋体"/>
          <w:color w:val="auto"/>
          <w:sz w:val="40"/>
          <w:szCs w:val="44"/>
        </w:rPr>
      </w:pPr>
      <w:r>
        <w:rPr>
          <w:rFonts w:hint="eastAsia" w:ascii="仿宋" w:hAnsi="仿宋" w:eastAsia="仿宋" w:cs="宋体"/>
          <w:color w:val="auto"/>
          <w:sz w:val="40"/>
          <w:szCs w:val="44"/>
        </w:rPr>
        <w:br w:type="page"/>
      </w:r>
    </w:p>
    <w:tbl>
      <w:tblPr>
        <w:tblStyle w:val="11"/>
        <w:tblpPr w:leftFromText="180" w:rightFromText="180" w:vertAnchor="text" w:horzAnchor="page" w:tblpX="1256" w:tblpY="1"/>
        <w:tblOverlap w:val="never"/>
        <w:tblW w:w="9725" w:type="dxa"/>
        <w:tblInd w:w="0" w:type="dxa"/>
        <w:tblLayout w:type="fixed"/>
        <w:tblCellMar>
          <w:top w:w="0" w:type="dxa"/>
          <w:left w:w="108" w:type="dxa"/>
          <w:bottom w:w="0" w:type="dxa"/>
          <w:right w:w="108" w:type="dxa"/>
        </w:tblCellMar>
      </w:tblPr>
      <w:tblGrid>
        <w:gridCol w:w="1935"/>
        <w:gridCol w:w="1177"/>
        <w:gridCol w:w="1834"/>
        <w:gridCol w:w="1329"/>
        <w:gridCol w:w="1505"/>
        <w:gridCol w:w="1708"/>
        <w:gridCol w:w="237"/>
      </w:tblGrid>
      <w:tr>
        <w:tblPrEx>
          <w:tblCellMar>
            <w:top w:w="0" w:type="dxa"/>
            <w:left w:w="108" w:type="dxa"/>
            <w:bottom w:w="0" w:type="dxa"/>
            <w:right w:w="108" w:type="dxa"/>
          </w:tblCellMar>
        </w:tblPrEx>
        <w:trPr>
          <w:trHeight w:val="675" w:hRule="atLeast"/>
        </w:trPr>
        <w:tc>
          <w:tcPr>
            <w:tcW w:w="9488" w:type="dxa"/>
            <w:gridSpan w:val="6"/>
            <w:tcBorders>
              <w:top w:val="nil"/>
              <w:left w:val="nil"/>
              <w:bottom w:val="nil"/>
              <w:right w:val="nil"/>
            </w:tcBorders>
            <w:vAlign w:val="center"/>
          </w:tcPr>
          <w:p>
            <w:pPr>
              <w:widowControl/>
              <w:jc w:val="center"/>
              <w:textAlignment w:val="center"/>
              <w:rPr>
                <w:rFonts w:ascii="仿宋" w:hAnsi="仿宋" w:eastAsia="仿宋" w:cs="宋体"/>
                <w:color w:val="auto"/>
                <w:sz w:val="44"/>
                <w:szCs w:val="44"/>
              </w:rPr>
            </w:pPr>
            <w:r>
              <w:rPr>
                <w:rFonts w:hint="eastAsia" w:ascii="仿宋" w:hAnsi="仿宋" w:eastAsia="仿宋" w:cs="宋体"/>
                <w:color w:val="auto"/>
                <w:sz w:val="40"/>
                <w:szCs w:val="44"/>
              </w:rPr>
              <w:t>2022年度特定目标类部门预算项目绩效目标自评表</w:t>
            </w:r>
          </w:p>
        </w:tc>
        <w:tc>
          <w:tcPr>
            <w:tcW w:w="237" w:type="dxa"/>
            <w:tcBorders>
              <w:top w:val="nil"/>
              <w:left w:val="nil"/>
              <w:bottom w:val="nil"/>
              <w:right w:val="nil"/>
            </w:tcBorders>
            <w:vAlign w:val="center"/>
          </w:tcPr>
          <w:p>
            <w:pPr>
              <w:widowControl/>
              <w:jc w:val="center"/>
              <w:textAlignment w:val="center"/>
              <w:rPr>
                <w:rFonts w:ascii="仿宋" w:hAnsi="仿宋" w:eastAsia="仿宋" w:cs="宋体"/>
                <w:b/>
                <w:color w:val="auto"/>
                <w:kern w:val="0"/>
                <w:szCs w:val="32"/>
              </w:rPr>
            </w:pPr>
          </w:p>
        </w:tc>
      </w:tr>
      <w:tr>
        <w:tblPrEx>
          <w:tblCellMar>
            <w:top w:w="0" w:type="dxa"/>
            <w:left w:w="108" w:type="dxa"/>
            <w:bottom w:w="0" w:type="dxa"/>
            <w:right w:w="108" w:type="dxa"/>
          </w:tblCellMar>
        </w:tblPrEx>
        <w:trPr>
          <w:gridAfter w:val="1"/>
          <w:wAfter w:w="237" w:type="dxa"/>
          <w:trHeight w:val="572" w:hRule="atLeast"/>
        </w:trPr>
        <w:tc>
          <w:tcPr>
            <w:tcW w:w="311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主管部门及代码</w:t>
            </w:r>
          </w:p>
        </w:tc>
        <w:tc>
          <w:tcPr>
            <w:tcW w:w="316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textAlignment w:val="center"/>
              <w:rPr>
                <w:rFonts w:ascii="仿宋" w:hAnsi="仿宋" w:eastAsia="仿宋" w:cs="宋体"/>
                <w:color w:val="auto"/>
                <w:sz w:val="24"/>
              </w:rPr>
            </w:pPr>
            <w:r>
              <w:rPr>
                <w:rFonts w:hint="eastAsia" w:ascii="仿宋" w:hAnsi="仿宋" w:eastAsia="仿宋" w:cs="宋体"/>
                <w:color w:val="auto"/>
                <w:sz w:val="24"/>
              </w:rPr>
              <w:t>蓬溪县人民法院 212001</w:t>
            </w: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实施单位</w:t>
            </w:r>
          </w:p>
        </w:tc>
        <w:tc>
          <w:tcPr>
            <w:tcW w:w="1708"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sz w:val="24"/>
              </w:rPr>
              <w:t>蓬溪县人民法院</w:t>
            </w:r>
          </w:p>
        </w:tc>
      </w:tr>
      <w:tr>
        <w:tblPrEx>
          <w:tblCellMar>
            <w:top w:w="0" w:type="dxa"/>
            <w:left w:w="108" w:type="dxa"/>
            <w:bottom w:w="0" w:type="dxa"/>
            <w:right w:w="108" w:type="dxa"/>
          </w:tblCellMar>
        </w:tblPrEx>
        <w:trPr>
          <w:gridAfter w:val="1"/>
          <w:wAfter w:w="237" w:type="dxa"/>
          <w:trHeight w:val="508" w:hRule="atLeast"/>
        </w:trPr>
        <w:tc>
          <w:tcPr>
            <w:tcW w:w="311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项目预算</w:t>
            </w:r>
            <w:r>
              <w:rPr>
                <w:rFonts w:hint="eastAsia" w:ascii="仿宋" w:hAnsi="仿宋" w:eastAsia="仿宋" w:cs="宋体"/>
                <w:color w:val="auto"/>
                <w:kern w:val="0"/>
                <w:sz w:val="24"/>
              </w:rPr>
              <w:br w:type="textWrapping"/>
            </w:r>
            <w:r>
              <w:rPr>
                <w:rFonts w:hint="eastAsia" w:ascii="仿宋" w:hAnsi="仿宋" w:eastAsia="仿宋" w:cs="宋体"/>
                <w:color w:val="auto"/>
                <w:kern w:val="0"/>
                <w:sz w:val="24"/>
              </w:rPr>
              <w:t>执行情况</w:t>
            </w:r>
            <w:r>
              <w:rPr>
                <w:rFonts w:hint="eastAsia" w:ascii="仿宋" w:hAnsi="仿宋" w:eastAsia="仿宋" w:cs="宋体"/>
                <w:color w:val="auto"/>
                <w:kern w:val="0"/>
                <w:sz w:val="24"/>
              </w:rPr>
              <w:br w:type="textWrapping"/>
            </w:r>
            <w:r>
              <w:rPr>
                <w:rFonts w:hint="eastAsia" w:ascii="仿宋" w:hAnsi="仿宋" w:eastAsia="仿宋" w:cs="宋体"/>
                <w:color w:val="auto"/>
                <w:kern w:val="0"/>
                <w:sz w:val="24"/>
              </w:rPr>
              <w:t>（万元）</w:t>
            </w:r>
          </w:p>
        </w:tc>
        <w:tc>
          <w:tcPr>
            <w:tcW w:w="1834"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 xml:space="preserve"> 预算数：</w:t>
            </w:r>
          </w:p>
        </w:tc>
        <w:tc>
          <w:tcPr>
            <w:tcW w:w="1329"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sz w:val="24"/>
              </w:rPr>
              <w:t>18</w:t>
            </w: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 xml:space="preserve"> 执行数：</w:t>
            </w:r>
          </w:p>
        </w:tc>
        <w:tc>
          <w:tcPr>
            <w:tcW w:w="1708"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right"/>
              <w:textAlignment w:val="center"/>
              <w:rPr>
                <w:rFonts w:ascii="仿宋" w:hAnsi="仿宋" w:eastAsia="仿宋" w:cs="宋体"/>
                <w:color w:val="auto"/>
                <w:sz w:val="24"/>
              </w:rPr>
            </w:pPr>
            <w:r>
              <w:rPr>
                <w:rFonts w:hint="eastAsia" w:ascii="仿宋" w:hAnsi="仿宋" w:eastAsia="仿宋" w:cs="宋体"/>
                <w:color w:val="auto"/>
                <w:sz w:val="24"/>
              </w:rPr>
              <w:t>18</w:t>
            </w:r>
          </w:p>
        </w:tc>
      </w:tr>
      <w:tr>
        <w:tblPrEx>
          <w:tblCellMar>
            <w:top w:w="0" w:type="dxa"/>
            <w:left w:w="108" w:type="dxa"/>
            <w:bottom w:w="0" w:type="dxa"/>
            <w:right w:w="108" w:type="dxa"/>
          </w:tblCellMar>
        </w:tblPrEx>
        <w:trPr>
          <w:gridAfter w:val="1"/>
          <w:wAfter w:w="237" w:type="dxa"/>
          <w:trHeight w:val="577" w:hRule="atLeast"/>
        </w:trPr>
        <w:tc>
          <w:tcPr>
            <w:tcW w:w="311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cs="宋体"/>
                <w:color w:val="auto"/>
                <w:sz w:val="24"/>
              </w:rPr>
            </w:pPr>
          </w:p>
        </w:tc>
        <w:tc>
          <w:tcPr>
            <w:tcW w:w="1834"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kern w:val="0"/>
                <w:sz w:val="24"/>
              </w:rPr>
            </w:pPr>
            <w:r>
              <w:rPr>
                <w:rFonts w:hint="eastAsia" w:ascii="仿宋" w:hAnsi="仿宋" w:eastAsia="仿宋" w:cs="宋体"/>
                <w:color w:val="auto"/>
                <w:kern w:val="0"/>
                <w:sz w:val="24"/>
              </w:rPr>
              <w:t>其中：</w:t>
            </w:r>
          </w:p>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财政拨款</w:t>
            </w:r>
          </w:p>
        </w:tc>
        <w:tc>
          <w:tcPr>
            <w:tcW w:w="1329"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sz w:val="24"/>
              </w:rPr>
              <w:t>18</w:t>
            </w: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kern w:val="0"/>
                <w:sz w:val="24"/>
              </w:rPr>
            </w:pPr>
            <w:r>
              <w:rPr>
                <w:rFonts w:hint="eastAsia" w:ascii="仿宋" w:hAnsi="仿宋" w:eastAsia="仿宋" w:cs="宋体"/>
                <w:color w:val="auto"/>
                <w:kern w:val="0"/>
                <w:sz w:val="24"/>
              </w:rPr>
              <w:t>其中：</w:t>
            </w:r>
          </w:p>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财政拨款</w:t>
            </w:r>
          </w:p>
        </w:tc>
        <w:tc>
          <w:tcPr>
            <w:tcW w:w="1708"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textAlignment w:val="center"/>
              <w:rPr>
                <w:rFonts w:ascii="仿宋" w:hAnsi="仿宋" w:eastAsia="仿宋" w:cs="宋体"/>
                <w:color w:val="auto"/>
                <w:sz w:val="24"/>
              </w:rPr>
            </w:pPr>
            <w:r>
              <w:rPr>
                <w:rFonts w:hint="eastAsia" w:ascii="仿宋" w:hAnsi="仿宋" w:eastAsia="仿宋" w:cs="宋体"/>
                <w:color w:val="auto"/>
                <w:sz w:val="24"/>
              </w:rPr>
              <w:t>18</w:t>
            </w:r>
          </w:p>
        </w:tc>
      </w:tr>
      <w:tr>
        <w:tblPrEx>
          <w:tblCellMar>
            <w:top w:w="0" w:type="dxa"/>
            <w:left w:w="108" w:type="dxa"/>
            <w:bottom w:w="0" w:type="dxa"/>
            <w:right w:w="108" w:type="dxa"/>
          </w:tblCellMar>
        </w:tblPrEx>
        <w:trPr>
          <w:gridAfter w:val="1"/>
          <w:wAfter w:w="237" w:type="dxa"/>
          <w:trHeight w:val="341" w:hRule="atLeast"/>
        </w:trPr>
        <w:tc>
          <w:tcPr>
            <w:tcW w:w="3112"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cs="宋体"/>
                <w:color w:val="auto"/>
                <w:sz w:val="24"/>
              </w:rPr>
            </w:pPr>
          </w:p>
        </w:tc>
        <w:tc>
          <w:tcPr>
            <w:tcW w:w="1834"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其他资金</w:t>
            </w:r>
          </w:p>
        </w:tc>
        <w:tc>
          <w:tcPr>
            <w:tcW w:w="1329"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left"/>
              <w:textAlignment w:val="center"/>
              <w:rPr>
                <w:rFonts w:ascii="仿宋" w:hAnsi="仿宋" w:eastAsia="仿宋" w:cs="宋体"/>
                <w:color w:val="auto"/>
                <w:sz w:val="24"/>
              </w:rPr>
            </w:pPr>
            <w:r>
              <w:rPr>
                <w:rFonts w:hint="eastAsia" w:ascii="仿宋" w:hAnsi="仿宋" w:eastAsia="仿宋" w:cs="宋体"/>
                <w:color w:val="auto"/>
                <w:kern w:val="0"/>
                <w:sz w:val="24"/>
              </w:rPr>
              <w:t>其他资金</w:t>
            </w:r>
          </w:p>
        </w:tc>
        <w:tc>
          <w:tcPr>
            <w:tcW w:w="1708"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p>
        </w:tc>
      </w:tr>
      <w:tr>
        <w:tblPrEx>
          <w:tblCellMar>
            <w:top w:w="0" w:type="dxa"/>
            <w:left w:w="108" w:type="dxa"/>
            <w:bottom w:w="0" w:type="dxa"/>
            <w:right w:w="108" w:type="dxa"/>
          </w:tblCellMar>
        </w:tblPrEx>
        <w:trPr>
          <w:gridAfter w:val="1"/>
          <w:wAfter w:w="237" w:type="dxa"/>
          <w:trHeight w:val="217" w:hRule="atLeast"/>
        </w:trPr>
        <w:tc>
          <w:tcPr>
            <w:tcW w:w="193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kern w:val="0"/>
                <w:sz w:val="24"/>
              </w:rPr>
            </w:pPr>
            <w:r>
              <w:rPr>
                <w:rFonts w:hint="eastAsia" w:ascii="仿宋" w:hAnsi="仿宋" w:eastAsia="仿宋" w:cs="宋体"/>
                <w:color w:val="auto"/>
                <w:kern w:val="0"/>
                <w:sz w:val="24"/>
              </w:rPr>
              <w:t>年度总体目标</w:t>
            </w:r>
          </w:p>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完成情况</w:t>
            </w:r>
          </w:p>
        </w:tc>
        <w:tc>
          <w:tcPr>
            <w:tcW w:w="434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预期目标</w:t>
            </w:r>
          </w:p>
        </w:tc>
        <w:tc>
          <w:tcPr>
            <w:tcW w:w="321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宋体"/>
                <w:color w:val="auto"/>
                <w:sz w:val="24"/>
              </w:rPr>
            </w:pPr>
            <w:r>
              <w:rPr>
                <w:rFonts w:hint="eastAsia" w:ascii="仿宋" w:hAnsi="仿宋" w:eastAsia="仿宋" w:cs="宋体"/>
                <w:color w:val="auto"/>
                <w:kern w:val="0"/>
                <w:sz w:val="24"/>
              </w:rPr>
              <w:t>目标实际完成情况</w:t>
            </w:r>
          </w:p>
        </w:tc>
      </w:tr>
      <w:tr>
        <w:tblPrEx>
          <w:tblCellMar>
            <w:top w:w="0" w:type="dxa"/>
            <w:left w:w="108" w:type="dxa"/>
            <w:bottom w:w="0" w:type="dxa"/>
            <w:right w:w="108" w:type="dxa"/>
          </w:tblCellMar>
        </w:tblPrEx>
        <w:trPr>
          <w:gridAfter w:val="1"/>
          <w:wAfter w:w="237" w:type="dxa"/>
          <w:trHeight w:val="764" w:hRule="atLeast"/>
        </w:trPr>
        <w:tc>
          <w:tcPr>
            <w:tcW w:w="1935" w:type="dxa"/>
            <w:vMerge w:val="continue"/>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cs="宋体"/>
                <w:color w:val="auto"/>
                <w:sz w:val="24"/>
              </w:rPr>
            </w:pPr>
          </w:p>
        </w:tc>
        <w:tc>
          <w:tcPr>
            <w:tcW w:w="4340" w:type="dxa"/>
            <w:gridSpan w:val="3"/>
            <w:tcBorders>
              <w:top w:val="single" w:color="000000" w:sz="4" w:space="0"/>
              <w:left w:val="single" w:color="000000" w:sz="4" w:space="0"/>
              <w:bottom w:val="single" w:color="000000" w:sz="4" w:space="0"/>
              <w:right w:val="single" w:color="000000" w:sz="4" w:space="0"/>
            </w:tcBorders>
          </w:tcPr>
          <w:p>
            <w:pPr>
              <w:widowControl/>
              <w:spacing w:line="320" w:lineRule="exact"/>
              <w:jc w:val="left"/>
              <w:textAlignment w:val="top"/>
              <w:rPr>
                <w:rFonts w:ascii="仿宋" w:hAnsi="仿宋" w:eastAsia="仿宋" w:cs="宋体"/>
                <w:color w:val="auto"/>
                <w:sz w:val="24"/>
              </w:rPr>
            </w:pPr>
            <w:r>
              <w:rPr>
                <w:rFonts w:hint="eastAsia" w:ascii="仿宋" w:hAnsi="仿宋" w:eastAsia="仿宋" w:cs="宋体"/>
                <w:color w:val="auto"/>
                <w:sz w:val="24"/>
              </w:rPr>
              <w:t>做好档案数字化工作，提升档案管理水平。</w:t>
            </w:r>
          </w:p>
        </w:tc>
        <w:tc>
          <w:tcPr>
            <w:tcW w:w="3213" w:type="dxa"/>
            <w:gridSpan w:val="2"/>
            <w:tcBorders>
              <w:top w:val="single" w:color="000000" w:sz="4" w:space="0"/>
              <w:left w:val="single" w:color="000000" w:sz="4" w:space="0"/>
              <w:bottom w:val="single" w:color="000000" w:sz="4" w:space="0"/>
              <w:right w:val="single" w:color="000000" w:sz="4" w:space="0"/>
            </w:tcBorders>
          </w:tcPr>
          <w:p>
            <w:pPr>
              <w:widowControl/>
              <w:spacing w:line="320" w:lineRule="exact"/>
              <w:jc w:val="left"/>
              <w:textAlignment w:val="top"/>
              <w:rPr>
                <w:rFonts w:ascii="仿宋" w:hAnsi="仿宋" w:eastAsia="仿宋" w:cs="宋体"/>
                <w:color w:val="auto"/>
                <w:sz w:val="24"/>
              </w:rPr>
            </w:pPr>
            <w:r>
              <w:rPr>
                <w:rFonts w:hint="eastAsia" w:ascii="仿宋" w:hAnsi="仿宋" w:eastAsia="仿宋" w:cs="宋体"/>
                <w:color w:val="auto"/>
                <w:sz w:val="24"/>
              </w:rPr>
              <w:t>提升了档案数字化管理水平</w:t>
            </w:r>
          </w:p>
        </w:tc>
      </w:tr>
      <w:tr>
        <w:tblPrEx>
          <w:tblCellMar>
            <w:top w:w="0" w:type="dxa"/>
            <w:left w:w="108" w:type="dxa"/>
            <w:bottom w:w="0" w:type="dxa"/>
            <w:right w:w="108" w:type="dxa"/>
          </w:tblCellMar>
        </w:tblPrEx>
        <w:trPr>
          <w:gridAfter w:val="1"/>
          <w:wAfter w:w="237" w:type="dxa"/>
          <w:trHeight w:val="738" w:hRule="atLeast"/>
        </w:trPr>
        <w:tc>
          <w:tcPr>
            <w:tcW w:w="1935" w:type="dxa"/>
            <w:vMerge w:val="restart"/>
            <w:tcBorders>
              <w:top w:val="single" w:color="000000" w:sz="4" w:space="0"/>
              <w:left w:val="single" w:color="000000" w:sz="4" w:space="0"/>
              <w:right w:val="single" w:color="000000" w:sz="4" w:space="0"/>
            </w:tcBorders>
            <w:vAlign w:val="center"/>
          </w:tcPr>
          <w:p>
            <w:pPr>
              <w:widowControl/>
              <w:spacing w:line="320" w:lineRule="exact"/>
              <w:jc w:val="center"/>
              <w:textAlignment w:val="center"/>
              <w:rPr>
                <w:rFonts w:ascii="仿宋" w:hAnsi="仿宋" w:eastAsia="仿宋" w:cs="仿宋_GB2312"/>
                <w:color w:val="auto"/>
                <w:sz w:val="28"/>
                <w:szCs w:val="28"/>
              </w:rPr>
            </w:pPr>
            <w:r>
              <w:rPr>
                <w:rFonts w:hint="eastAsia" w:ascii="仿宋" w:hAnsi="仿宋" w:eastAsia="仿宋" w:cs="仿宋_GB2312"/>
                <w:color w:val="auto"/>
                <w:kern w:val="0"/>
                <w:sz w:val="28"/>
                <w:szCs w:val="28"/>
              </w:rPr>
              <w:t>年度绩效指标完成情况</w:t>
            </w:r>
          </w:p>
        </w:tc>
        <w:tc>
          <w:tcPr>
            <w:tcW w:w="1177" w:type="dxa"/>
            <w:tcBorders>
              <w:top w:val="single" w:color="000000" w:sz="4" w:space="0"/>
              <w:left w:val="nil"/>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仿宋_GB2312"/>
                <w:color w:val="auto"/>
                <w:kern w:val="0"/>
                <w:sz w:val="28"/>
                <w:szCs w:val="28"/>
              </w:rPr>
            </w:pPr>
            <w:r>
              <w:rPr>
                <w:rFonts w:hint="eastAsia" w:ascii="仿宋" w:hAnsi="仿宋" w:eastAsia="仿宋" w:cs="仿宋_GB2312"/>
                <w:color w:val="auto"/>
                <w:kern w:val="0"/>
                <w:sz w:val="28"/>
                <w:szCs w:val="28"/>
              </w:rPr>
              <w:t>一级</w:t>
            </w:r>
          </w:p>
          <w:p>
            <w:pPr>
              <w:widowControl/>
              <w:spacing w:line="320" w:lineRule="exact"/>
              <w:jc w:val="center"/>
              <w:textAlignment w:val="center"/>
              <w:rPr>
                <w:rFonts w:ascii="仿宋" w:hAnsi="仿宋" w:eastAsia="仿宋" w:cs="仿宋_GB2312"/>
                <w:color w:val="auto"/>
                <w:sz w:val="28"/>
                <w:szCs w:val="28"/>
              </w:rPr>
            </w:pPr>
            <w:r>
              <w:rPr>
                <w:rFonts w:hint="eastAsia" w:ascii="仿宋" w:hAnsi="仿宋" w:eastAsia="仿宋" w:cs="仿宋_GB2312"/>
                <w:color w:val="auto"/>
                <w:kern w:val="0"/>
                <w:sz w:val="28"/>
                <w:szCs w:val="28"/>
              </w:rPr>
              <w:t>指标</w:t>
            </w:r>
          </w:p>
        </w:tc>
        <w:tc>
          <w:tcPr>
            <w:tcW w:w="1834"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仿宋_GB2312"/>
                <w:color w:val="auto"/>
                <w:kern w:val="0"/>
                <w:sz w:val="28"/>
                <w:szCs w:val="28"/>
              </w:rPr>
            </w:pPr>
            <w:r>
              <w:rPr>
                <w:rFonts w:hint="eastAsia" w:ascii="仿宋" w:hAnsi="仿宋" w:eastAsia="仿宋" w:cs="仿宋_GB2312"/>
                <w:color w:val="auto"/>
                <w:kern w:val="0"/>
                <w:sz w:val="28"/>
                <w:szCs w:val="28"/>
              </w:rPr>
              <w:t>二级</w:t>
            </w:r>
          </w:p>
          <w:p>
            <w:pPr>
              <w:widowControl/>
              <w:spacing w:line="320" w:lineRule="exact"/>
              <w:jc w:val="center"/>
              <w:textAlignment w:val="center"/>
              <w:rPr>
                <w:rFonts w:ascii="仿宋" w:hAnsi="仿宋" w:eastAsia="仿宋" w:cs="仿宋_GB2312"/>
                <w:color w:val="auto"/>
                <w:sz w:val="28"/>
                <w:szCs w:val="28"/>
              </w:rPr>
            </w:pPr>
            <w:r>
              <w:rPr>
                <w:rFonts w:hint="eastAsia" w:ascii="仿宋" w:hAnsi="仿宋" w:eastAsia="仿宋" w:cs="仿宋_GB2312"/>
                <w:color w:val="auto"/>
                <w:kern w:val="0"/>
                <w:sz w:val="28"/>
                <w:szCs w:val="28"/>
              </w:rPr>
              <w:t>指标</w:t>
            </w:r>
          </w:p>
        </w:tc>
        <w:tc>
          <w:tcPr>
            <w:tcW w:w="1329"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仿宋_GB2312"/>
                <w:color w:val="auto"/>
                <w:kern w:val="0"/>
                <w:sz w:val="28"/>
                <w:szCs w:val="28"/>
              </w:rPr>
            </w:pPr>
            <w:r>
              <w:rPr>
                <w:rFonts w:hint="eastAsia" w:ascii="仿宋" w:hAnsi="仿宋" w:eastAsia="仿宋" w:cs="仿宋_GB2312"/>
                <w:color w:val="auto"/>
                <w:kern w:val="0"/>
                <w:sz w:val="28"/>
                <w:szCs w:val="28"/>
              </w:rPr>
              <w:t>三级</w:t>
            </w:r>
          </w:p>
          <w:p>
            <w:pPr>
              <w:widowControl/>
              <w:spacing w:line="320" w:lineRule="exact"/>
              <w:jc w:val="center"/>
              <w:textAlignment w:val="center"/>
              <w:rPr>
                <w:rFonts w:ascii="仿宋" w:hAnsi="仿宋" w:eastAsia="仿宋" w:cs="仿宋_GB2312"/>
                <w:color w:val="auto"/>
                <w:sz w:val="28"/>
                <w:szCs w:val="28"/>
              </w:rPr>
            </w:pPr>
            <w:r>
              <w:rPr>
                <w:rFonts w:hint="eastAsia" w:ascii="仿宋" w:hAnsi="仿宋" w:eastAsia="仿宋" w:cs="仿宋_GB2312"/>
                <w:color w:val="auto"/>
                <w:kern w:val="0"/>
                <w:sz w:val="28"/>
                <w:szCs w:val="28"/>
              </w:rPr>
              <w:t>指标</w:t>
            </w:r>
          </w:p>
        </w:tc>
        <w:tc>
          <w:tcPr>
            <w:tcW w:w="1505"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仿宋_GB2312"/>
                <w:color w:val="auto"/>
                <w:sz w:val="28"/>
                <w:szCs w:val="28"/>
              </w:rPr>
            </w:pPr>
            <w:r>
              <w:rPr>
                <w:rFonts w:hint="eastAsia" w:ascii="仿宋" w:hAnsi="仿宋" w:eastAsia="仿宋" w:cs="仿宋_GB2312"/>
                <w:color w:val="auto"/>
                <w:kern w:val="0"/>
                <w:sz w:val="28"/>
                <w:szCs w:val="28"/>
              </w:rPr>
              <w:t>预期指标值</w:t>
            </w:r>
          </w:p>
        </w:tc>
        <w:tc>
          <w:tcPr>
            <w:tcW w:w="1708" w:type="dxa"/>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center"/>
              <w:rPr>
                <w:rFonts w:ascii="仿宋" w:hAnsi="仿宋" w:eastAsia="仿宋" w:cs="仿宋_GB2312"/>
                <w:color w:val="auto"/>
                <w:sz w:val="28"/>
                <w:szCs w:val="28"/>
              </w:rPr>
            </w:pPr>
            <w:r>
              <w:rPr>
                <w:rFonts w:hint="eastAsia" w:ascii="仿宋" w:hAnsi="仿宋" w:eastAsia="仿宋" w:cs="仿宋_GB2312"/>
                <w:color w:val="auto"/>
                <w:kern w:val="0"/>
                <w:sz w:val="28"/>
                <w:szCs w:val="28"/>
              </w:rPr>
              <w:t>实际完成指标值</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仿宋_GB2312"/>
                <w:color w:val="auto"/>
                <w:sz w:val="28"/>
                <w:szCs w:val="28"/>
              </w:rPr>
            </w:pPr>
          </w:p>
        </w:tc>
        <w:tc>
          <w:tcPr>
            <w:tcW w:w="1177"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bottom"/>
              <w:rPr>
                <w:rFonts w:ascii="仿宋" w:hAnsi="仿宋" w:eastAsia="仿宋" w:cs="仿宋_GB2312"/>
                <w:color w:val="auto"/>
                <w:kern w:val="0"/>
                <w:sz w:val="28"/>
                <w:szCs w:val="28"/>
              </w:rPr>
            </w:pPr>
            <w:r>
              <w:rPr>
                <w:rFonts w:hint="eastAsia" w:ascii="仿宋" w:hAnsi="仿宋" w:eastAsia="仿宋" w:cs="仿宋_GB2312"/>
                <w:color w:val="auto"/>
                <w:kern w:val="0"/>
                <w:sz w:val="28"/>
                <w:szCs w:val="28"/>
              </w:rPr>
              <w:t>完成</w:t>
            </w:r>
          </w:p>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指标</w:t>
            </w: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数量指标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档案扫描页数</w:t>
            </w: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&gt;=70万页</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93.56万页</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仿宋_GB2312"/>
                <w:color w:val="auto"/>
                <w:sz w:val="28"/>
                <w:szCs w:val="28"/>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仿宋_GB2312"/>
                <w:color w:val="auto"/>
                <w:sz w:val="28"/>
                <w:szCs w:val="28"/>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质量指标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档案验收合格率</w:t>
            </w: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&gt;=90%</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90%</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仿宋_GB2312"/>
                <w:color w:val="auto"/>
                <w:sz w:val="28"/>
                <w:szCs w:val="28"/>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仿宋_GB2312"/>
                <w:color w:val="auto"/>
                <w:sz w:val="28"/>
                <w:szCs w:val="28"/>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时效指标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项目完成时间</w:t>
            </w: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&lt;=1年</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1年</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仿宋_GB2312"/>
                <w:color w:val="auto"/>
                <w:sz w:val="28"/>
                <w:szCs w:val="28"/>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仿宋_GB2312"/>
                <w:color w:val="auto"/>
                <w:sz w:val="28"/>
                <w:szCs w:val="28"/>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成本指标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项目完成成本</w:t>
            </w: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&lt;=18万元</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18万元</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仿宋_GB2312"/>
                <w:color w:val="auto"/>
                <w:sz w:val="28"/>
                <w:szCs w:val="28"/>
              </w:rPr>
            </w:pPr>
          </w:p>
        </w:tc>
        <w:tc>
          <w:tcPr>
            <w:tcW w:w="1177"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效益</w:t>
            </w:r>
            <w:r>
              <w:rPr>
                <w:rFonts w:hint="eastAsia" w:ascii="仿宋" w:hAnsi="仿宋" w:eastAsia="仿宋" w:cs="仿宋_GB2312"/>
                <w:color w:val="auto"/>
                <w:kern w:val="0"/>
                <w:sz w:val="28"/>
                <w:szCs w:val="28"/>
              </w:rPr>
              <w:br w:type="textWrapping"/>
            </w:r>
            <w:r>
              <w:rPr>
                <w:rFonts w:hint="eastAsia" w:ascii="仿宋" w:hAnsi="仿宋" w:eastAsia="仿宋" w:cs="仿宋_GB2312"/>
                <w:color w:val="auto"/>
                <w:kern w:val="0"/>
                <w:sz w:val="28"/>
                <w:szCs w:val="28"/>
              </w:rPr>
              <w:t>指标</w:t>
            </w: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经济效益  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仿宋_GB2312"/>
                <w:color w:val="auto"/>
                <w:sz w:val="28"/>
                <w:szCs w:val="28"/>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仿宋_GB2312"/>
                <w:color w:val="auto"/>
                <w:sz w:val="28"/>
                <w:szCs w:val="28"/>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社会效益  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p>
        </w:tc>
      </w:tr>
      <w:tr>
        <w:tblPrEx>
          <w:tblCellMar>
            <w:top w:w="0" w:type="dxa"/>
            <w:left w:w="108" w:type="dxa"/>
            <w:bottom w:w="0" w:type="dxa"/>
            <w:right w:w="108" w:type="dxa"/>
          </w:tblCellMar>
        </w:tblPrEx>
        <w:trPr>
          <w:gridAfter w:val="1"/>
          <w:wAfter w:w="237" w:type="dxa"/>
          <w:trHeight w:val="577"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仿宋_GB2312"/>
                <w:color w:val="auto"/>
                <w:sz w:val="28"/>
                <w:szCs w:val="28"/>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仿宋_GB2312"/>
                <w:color w:val="auto"/>
                <w:sz w:val="28"/>
                <w:szCs w:val="28"/>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ind w:left="550" w:leftChars="87" w:hanging="276" w:hangingChars="100"/>
              <w:jc w:val="left"/>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生态效益  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right w:val="single" w:color="000000" w:sz="4" w:space="0"/>
            </w:tcBorders>
            <w:vAlign w:val="center"/>
          </w:tcPr>
          <w:p>
            <w:pPr>
              <w:spacing w:line="320" w:lineRule="exact"/>
              <w:jc w:val="center"/>
              <w:rPr>
                <w:rFonts w:ascii="仿宋" w:hAnsi="仿宋" w:eastAsia="仿宋" w:cs="仿宋_GB2312"/>
                <w:color w:val="auto"/>
                <w:sz w:val="28"/>
                <w:szCs w:val="28"/>
              </w:rPr>
            </w:pPr>
          </w:p>
        </w:tc>
        <w:tc>
          <w:tcPr>
            <w:tcW w:w="1177" w:type="dxa"/>
            <w:vMerge w:val="continue"/>
            <w:tcBorders>
              <w:top w:val="single" w:color="000000" w:sz="4" w:space="0"/>
              <w:left w:val="single" w:color="000000" w:sz="4" w:space="0"/>
              <w:bottom w:val="single" w:color="000000" w:sz="4" w:space="0"/>
              <w:right w:val="single" w:color="000000" w:sz="4" w:space="0"/>
            </w:tcBorders>
            <w:vAlign w:val="bottom"/>
          </w:tcPr>
          <w:p>
            <w:pPr>
              <w:spacing w:line="320" w:lineRule="exact"/>
              <w:jc w:val="center"/>
              <w:rPr>
                <w:rFonts w:ascii="仿宋" w:hAnsi="仿宋" w:eastAsia="仿宋" w:cs="仿宋_GB2312"/>
                <w:color w:val="auto"/>
                <w:sz w:val="28"/>
                <w:szCs w:val="28"/>
              </w:rPr>
            </w:pP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可持续影响 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jc w:val="center"/>
              <w:rPr>
                <w:rFonts w:ascii="仿宋" w:hAnsi="仿宋" w:eastAsia="仿宋" w:cs="宋体"/>
                <w:color w:val="auto"/>
                <w:sz w:val="20"/>
                <w:szCs w:val="20"/>
              </w:rPr>
            </w:pPr>
            <w:r>
              <w:rPr>
                <w:rFonts w:hint="eastAsia" w:ascii="仿宋" w:hAnsi="仿宋" w:eastAsia="仿宋"/>
                <w:color w:val="auto"/>
                <w:sz w:val="20"/>
                <w:szCs w:val="20"/>
              </w:rPr>
              <w:t>档案可持续效果提升率</w:t>
            </w:r>
          </w:p>
          <w:p>
            <w:pPr>
              <w:widowControl/>
              <w:spacing w:line="320" w:lineRule="exact"/>
              <w:jc w:val="center"/>
              <w:textAlignment w:val="bottom"/>
              <w:rPr>
                <w:rFonts w:ascii="仿宋" w:hAnsi="仿宋" w:eastAsia="仿宋" w:cs="仿宋_GB2312"/>
                <w:color w:val="auto"/>
                <w:sz w:val="28"/>
                <w:szCs w:val="28"/>
              </w:rPr>
            </w:pP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&gt;=90%</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90%</w:t>
            </w:r>
          </w:p>
        </w:tc>
      </w:tr>
      <w:tr>
        <w:tblPrEx>
          <w:tblCellMar>
            <w:top w:w="0" w:type="dxa"/>
            <w:left w:w="108" w:type="dxa"/>
            <w:bottom w:w="0" w:type="dxa"/>
            <w:right w:w="108" w:type="dxa"/>
          </w:tblCellMar>
        </w:tblPrEx>
        <w:trPr>
          <w:gridAfter w:val="1"/>
          <w:wAfter w:w="237" w:type="dxa"/>
          <w:trHeight w:val="480" w:hRule="atLeast"/>
        </w:trPr>
        <w:tc>
          <w:tcPr>
            <w:tcW w:w="1935" w:type="dxa"/>
            <w:vMerge w:val="continue"/>
            <w:tcBorders>
              <w:left w:val="single" w:color="000000" w:sz="4" w:space="0"/>
              <w:bottom w:val="single" w:color="000000" w:sz="4" w:space="0"/>
              <w:right w:val="single" w:color="000000" w:sz="4" w:space="0"/>
            </w:tcBorders>
            <w:vAlign w:val="center"/>
          </w:tcPr>
          <w:p>
            <w:pPr>
              <w:spacing w:line="320" w:lineRule="exact"/>
              <w:jc w:val="center"/>
              <w:rPr>
                <w:rFonts w:ascii="仿宋" w:hAnsi="仿宋" w:eastAsia="仿宋" w:cs="仿宋_GB2312"/>
                <w:color w:val="auto"/>
                <w:sz w:val="28"/>
                <w:szCs w:val="28"/>
              </w:rPr>
            </w:pPr>
          </w:p>
        </w:tc>
        <w:tc>
          <w:tcPr>
            <w:tcW w:w="1177"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满意</w:t>
            </w:r>
            <w:r>
              <w:rPr>
                <w:rFonts w:hint="eastAsia" w:ascii="仿宋" w:hAnsi="仿宋" w:eastAsia="仿宋" w:cs="仿宋_GB2312"/>
                <w:color w:val="auto"/>
                <w:kern w:val="0"/>
                <w:sz w:val="28"/>
                <w:szCs w:val="28"/>
              </w:rPr>
              <w:br w:type="textWrapping"/>
            </w:r>
            <w:r>
              <w:rPr>
                <w:rFonts w:hint="eastAsia" w:ascii="仿宋" w:hAnsi="仿宋" w:eastAsia="仿宋" w:cs="仿宋_GB2312"/>
                <w:color w:val="auto"/>
                <w:kern w:val="0"/>
                <w:sz w:val="28"/>
                <w:szCs w:val="28"/>
              </w:rPr>
              <w:t>度指标</w:t>
            </w:r>
          </w:p>
        </w:tc>
        <w:tc>
          <w:tcPr>
            <w:tcW w:w="1834"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kern w:val="0"/>
                <w:sz w:val="28"/>
                <w:szCs w:val="28"/>
              </w:rPr>
            </w:pPr>
            <w:r>
              <w:rPr>
                <w:rFonts w:hint="eastAsia" w:ascii="仿宋" w:hAnsi="仿宋" w:eastAsia="仿宋" w:cs="仿宋_GB2312"/>
                <w:color w:val="auto"/>
                <w:kern w:val="0"/>
                <w:sz w:val="28"/>
                <w:szCs w:val="28"/>
              </w:rPr>
              <w:t>满意度</w:t>
            </w:r>
          </w:p>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kern w:val="0"/>
                <w:sz w:val="28"/>
                <w:szCs w:val="28"/>
              </w:rPr>
              <w:t>指标</w:t>
            </w:r>
          </w:p>
        </w:tc>
        <w:tc>
          <w:tcPr>
            <w:tcW w:w="1329"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档案利用者满意度</w:t>
            </w:r>
          </w:p>
        </w:tc>
        <w:tc>
          <w:tcPr>
            <w:tcW w:w="1505"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&gt;=85%</w:t>
            </w:r>
          </w:p>
        </w:tc>
        <w:tc>
          <w:tcPr>
            <w:tcW w:w="1708" w:type="dxa"/>
            <w:tcBorders>
              <w:top w:val="single" w:color="000000" w:sz="4" w:space="0"/>
              <w:left w:val="single" w:color="000000" w:sz="4" w:space="0"/>
              <w:bottom w:val="single" w:color="000000" w:sz="4" w:space="0"/>
              <w:right w:val="single" w:color="000000" w:sz="4" w:space="0"/>
            </w:tcBorders>
            <w:vAlign w:val="bottom"/>
          </w:tcPr>
          <w:p>
            <w:pPr>
              <w:widowControl/>
              <w:spacing w:line="320" w:lineRule="exact"/>
              <w:jc w:val="center"/>
              <w:textAlignment w:val="bottom"/>
              <w:rPr>
                <w:rFonts w:ascii="仿宋" w:hAnsi="仿宋" w:eastAsia="仿宋" w:cs="仿宋_GB2312"/>
                <w:color w:val="auto"/>
                <w:sz w:val="28"/>
                <w:szCs w:val="28"/>
              </w:rPr>
            </w:pPr>
            <w:r>
              <w:rPr>
                <w:rFonts w:hint="eastAsia" w:ascii="仿宋" w:hAnsi="仿宋" w:eastAsia="仿宋" w:cs="仿宋_GB2312"/>
                <w:color w:val="auto"/>
                <w:sz w:val="28"/>
                <w:szCs w:val="28"/>
              </w:rPr>
              <w:t>85%</w:t>
            </w:r>
          </w:p>
        </w:tc>
      </w:tr>
    </w:tbl>
    <w:p>
      <w:pPr>
        <w:pStyle w:val="9"/>
        <w:spacing w:line="576" w:lineRule="exact"/>
        <w:jc w:val="both"/>
        <w:rPr>
          <w:rFonts w:hint="eastAsia" w:ascii="方正小标宋简体" w:hAnsi="方正小标宋简体" w:eastAsia="方正小标宋简体" w:cs="方正小标宋简体"/>
          <w:color w:val="auto"/>
          <w:kern w:val="44"/>
          <w:sz w:val="44"/>
          <w:szCs w:val="44"/>
          <w:highlight w:val="none"/>
          <w:u w:val="none"/>
        </w:rPr>
      </w:pPr>
      <w:r>
        <w:rPr>
          <w:rFonts w:ascii="仿宋" w:hAnsi="仿宋" w:eastAsia="仿宋"/>
          <w:color w:val="auto"/>
          <w:kern w:val="0"/>
          <w:szCs w:val="32"/>
          <w:shd w:val="clear" w:color="auto" w:fill="FFFFFF"/>
          <w:lang w:val="zh-CN"/>
        </w:rPr>
        <w:br w:type="page"/>
      </w:r>
    </w:p>
    <w:p>
      <w:pPr>
        <w:pStyle w:val="9"/>
        <w:spacing w:line="576" w:lineRule="exact"/>
        <w:rPr>
          <w:rFonts w:hint="eastAsia" w:ascii="仿宋_GB2312" w:eastAsia="仿宋_GB2312" w:cs="黑体"/>
          <w:color w:val="auto"/>
          <w:sz w:val="32"/>
          <w:szCs w:val="32"/>
          <w:highlight w:val="none"/>
        </w:rPr>
      </w:pPr>
      <w:r>
        <w:rPr>
          <w:rFonts w:hint="eastAsia" w:ascii="方正小标宋简体" w:hAnsi="方正小标宋简体" w:eastAsia="方正小标宋简体" w:cs="方正小标宋简体"/>
          <w:color w:val="auto"/>
          <w:kern w:val="44"/>
          <w:sz w:val="44"/>
          <w:szCs w:val="44"/>
          <w:highlight w:val="none"/>
          <w:u w:val="none"/>
        </w:rPr>
        <w:fldChar w:fldCharType="begin"/>
      </w:r>
      <w:r>
        <w:rPr>
          <w:rStyle w:val="25"/>
          <w:rFonts w:hint="eastAsia" w:ascii="方正小标宋简体" w:hAnsi="方正小标宋简体" w:eastAsia="方正小标宋简体" w:cs="方正小标宋简体"/>
          <w:color w:val="auto"/>
          <w:kern w:val="44"/>
          <w:sz w:val="44"/>
          <w:szCs w:val="44"/>
          <w:highlight w:val="none"/>
          <w:u w:val="none"/>
        </w:rPr>
        <w:instrText xml:space="preserve"> HYPERLINK "" \l "_Toc15396618#_Toc15396618" </w:instrText>
      </w:r>
      <w:r>
        <w:rPr>
          <w:rFonts w:hint="eastAsia" w:ascii="方正小标宋简体" w:hAnsi="方正小标宋简体" w:eastAsia="方正小标宋简体" w:cs="方正小标宋简体"/>
          <w:color w:val="auto"/>
          <w:kern w:val="44"/>
          <w:sz w:val="44"/>
          <w:szCs w:val="44"/>
          <w:highlight w:val="none"/>
          <w:u w:val="none"/>
        </w:rPr>
        <w:fldChar w:fldCharType="separate"/>
      </w:r>
      <w:r>
        <w:rPr>
          <w:rStyle w:val="25"/>
          <w:rFonts w:hint="eastAsia" w:ascii="方正小标宋简体" w:hAnsi="方正小标宋简体" w:eastAsia="方正小标宋简体" w:cs="方正小标宋简体"/>
          <w:color w:val="auto"/>
          <w:kern w:val="44"/>
          <w:sz w:val="44"/>
          <w:szCs w:val="44"/>
          <w:highlight w:val="none"/>
          <w:u w:val="none"/>
        </w:rPr>
        <w:t>第五部分 附表</w:t>
      </w:r>
      <w:r>
        <w:rPr>
          <w:rStyle w:val="25"/>
          <w:rFonts w:hint="eastAsia" w:ascii="方正小标宋简体" w:hAnsi="方正小标宋简体" w:eastAsia="方正小标宋简体" w:cs="方正小标宋简体"/>
          <w:color w:val="auto"/>
          <w:kern w:val="44"/>
          <w:sz w:val="44"/>
          <w:szCs w:val="44"/>
          <w:highlight w:val="none"/>
          <w:u w:val="none"/>
        </w:rPr>
        <w:tab/>
      </w:r>
      <w:r>
        <w:rPr>
          <w:rFonts w:hint="eastAsia" w:ascii="方正小标宋简体" w:hAnsi="方正小标宋简体" w:eastAsia="方正小标宋简体" w:cs="方正小标宋简体"/>
          <w:color w:val="auto"/>
          <w:kern w:val="44"/>
          <w:sz w:val="44"/>
          <w:szCs w:val="44"/>
          <w:highlight w:val="none"/>
          <w:u w:val="none"/>
        </w:rPr>
        <w:fldChar w:fldCharType="end"/>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一、收入支出决算总表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二、收入决算表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三、支出决算表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四、财政拨款收入支出决算总表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五、财政拨款支出决算明细表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六、一般公共预算财政拨款支出决算表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七、一般公共预算财政拨款支出决算明细表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八、一般公共预算财政拨款基本支出决算明细表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九、一般公共预算财政拨款项目支出决算表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十、政府性基金预算财政拨款收入支出决算表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十一、国有资本经营预算财政拨款收入支出决算表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十二、国有资本经营预算财政拨款支出决算表</w:t>
      </w:r>
    </w:p>
    <w:p>
      <w:pPr>
        <w:pStyle w:val="10"/>
        <w:tabs>
          <w:tab w:val="right" w:leader="dot" w:pos="8296"/>
        </w:tabs>
        <w:adjustRightInd w:val="0"/>
        <w:snapToGrid w:val="0"/>
        <w:spacing w:line="440" w:lineRule="exact"/>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十三、财政拨款“三公”经费支出决算表</w:t>
      </w:r>
    </w:p>
    <w:p>
      <w:pPr>
        <w:spacing w:line="576" w:lineRule="exact"/>
        <w:rPr>
          <w:rFonts w:hint="eastAsia" w:ascii="仿宋" w:hAnsi="仿宋" w:eastAsia="仿宋"/>
          <w:color w:val="auto"/>
        </w:rPr>
      </w:pPr>
    </w:p>
    <w:p>
      <w:pPr>
        <w:spacing w:line="576" w:lineRule="exact"/>
        <w:jc w:val="left"/>
        <w:rPr>
          <w:rFonts w:ascii="仿宋_GB2312" w:hAnsi="仿宋_GB2312" w:cs="仿宋_GB2312"/>
          <w:color w:val="auto"/>
        </w:rPr>
      </w:pPr>
    </w:p>
    <w:p>
      <w:pPr>
        <w:spacing w:line="576" w:lineRule="exact"/>
        <w:rPr>
          <w:rFonts w:ascii="仿宋_GB2312" w:hAnsi="仿宋_GB2312" w:cs="仿宋_GB2312"/>
          <w:color w:val="auto"/>
        </w:rPr>
      </w:pPr>
      <w:r>
        <w:rPr>
          <w:rFonts w:hint="eastAsia" w:ascii="仿宋_GB2312" w:hAnsi="仿宋_GB2312"/>
          <w:color w:val="auto"/>
        </w:rPr>
        <w:t xml:space="preserve"> </w:t>
      </w:r>
    </w:p>
    <w:bookmarkEnd w:id="47"/>
    <w:sectPr>
      <w:footerReference r:id="rId3" w:type="default"/>
      <w:footerReference r:id="rId4" w:type="even"/>
      <w:pgSz w:w="11906" w:h="16838"/>
      <w:pgMar w:top="2098" w:right="1474" w:bottom="1587" w:left="1588" w:header="851" w:footer="1701" w:gutter="0"/>
      <w:pgNumType w:fmt="numberInDash" w:start="1"/>
      <w:cols w:space="720" w:num="1"/>
      <w:titlePg/>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script"/>
    <w:pitch w:val="default"/>
    <w:sig w:usb0="00000000" w:usb1="00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ind w:left="320" w:leftChars="100" w:right="320" w:rightChars="100"/>
      <w:rPr>
        <w:rStyle w:val="15"/>
        <w:rFonts w:ascii="宋体" w:hAnsi="宋体" w:eastAsia="宋体"/>
        <w:sz w:val="28"/>
        <w:szCs w:val="28"/>
      </w:rPr>
    </w:pPr>
    <w:r>
      <w:rPr>
        <w:rFonts w:ascii="宋体" w:hAnsi="宋体" w:eastAsia="宋体"/>
        <w:sz w:val="28"/>
        <w:szCs w:val="28"/>
      </w:rPr>
      <w:fldChar w:fldCharType="begin"/>
    </w:r>
    <w:r>
      <w:rPr>
        <w:rStyle w:val="15"/>
        <w:rFonts w:ascii="宋体" w:hAnsi="宋体" w:eastAsia="宋体"/>
        <w:sz w:val="28"/>
        <w:szCs w:val="28"/>
      </w:rPr>
      <w:instrText xml:space="preserve">PAGE  </w:instrText>
    </w:r>
    <w:r>
      <w:rPr>
        <w:rFonts w:ascii="宋体" w:hAnsi="宋体" w:eastAsia="宋体"/>
        <w:sz w:val="28"/>
        <w:szCs w:val="28"/>
      </w:rPr>
      <w:fldChar w:fldCharType="separate"/>
    </w:r>
    <w:r>
      <w:rPr>
        <w:rStyle w:val="15"/>
        <w:rFonts w:ascii="宋体" w:hAnsi="宋体" w:eastAsia="宋体"/>
        <w:sz w:val="28"/>
        <w:szCs w:val="28"/>
      </w:rPr>
      <w:t>- 27 -</w:t>
    </w:r>
    <w:r>
      <w:rPr>
        <w:rFonts w:ascii="宋体" w:hAnsi="宋体" w:eastAsia="宋体"/>
        <w:sz w:val="28"/>
        <w:szCs w:val="28"/>
      </w:rPr>
      <w:fldChar w:fldCharType="end"/>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5"/>
      </w:rPr>
    </w:pPr>
    <w:r>
      <w:fldChar w:fldCharType="begin"/>
    </w:r>
    <w:r>
      <w:rPr>
        <w:rStyle w:val="15"/>
      </w:rPr>
      <w:instrText xml:space="preserve">PAGE  </w:instrText>
    </w:r>
    <w:r>
      <w:fldChar w:fldCharType="end"/>
    </w:r>
  </w:p>
  <w:p>
    <w:pPr>
      <w:pStyle w:val="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C3D5F7"/>
    <w:multiLevelType w:val="singleLevel"/>
    <w:tmpl w:val="98C3D5F7"/>
    <w:lvl w:ilvl="0" w:tentative="0">
      <w:start w:val="1"/>
      <w:numFmt w:val="decimal"/>
      <w:suff w:val="nothing"/>
      <w:lvlText w:val="（%1）"/>
      <w:lvlJc w:val="left"/>
    </w:lvl>
  </w:abstractNum>
  <w:abstractNum w:abstractNumId="1">
    <w:nsid w:val="01D8C7FC"/>
    <w:multiLevelType w:val="singleLevel"/>
    <w:tmpl w:val="01D8C7FC"/>
    <w:lvl w:ilvl="0" w:tentative="0">
      <w:start w:val="1"/>
      <w:numFmt w:val="decimal"/>
      <w:lvlText w:val="%1."/>
      <w:lvlJc w:val="left"/>
      <w:pPr>
        <w:tabs>
          <w:tab w:val="left" w:pos="312"/>
        </w:tabs>
      </w:pPr>
    </w:lvl>
  </w:abstractNum>
  <w:abstractNum w:abstractNumId="2">
    <w:nsid w:val="5695FB13"/>
    <w:multiLevelType w:val="singleLevel"/>
    <w:tmpl w:val="5695FB13"/>
    <w:lvl w:ilvl="0" w:tentative="0">
      <w:start w:val="1"/>
      <w:numFmt w:val="chineseCounting"/>
      <w:pStyle w:val="36"/>
      <w:suff w:val="nothing"/>
      <w:lvlText w:val="%1、"/>
      <w:lvlJc w:val="left"/>
      <w:pPr>
        <w:ind w:firstLine="420"/>
      </w:pPr>
      <w:rPr>
        <w:rFonts w:hint="eastAsia" w:cs="Times New Roman"/>
      </w:rPr>
    </w:lvl>
  </w:abstractNum>
  <w:abstractNum w:abstractNumId="3">
    <w:nsid w:val="569C64E0"/>
    <w:multiLevelType w:val="singleLevel"/>
    <w:tmpl w:val="569C64E0"/>
    <w:lvl w:ilvl="0" w:tentative="0">
      <w:start w:val="1"/>
      <w:numFmt w:val="chineseCounting"/>
      <w:pStyle w:val="30"/>
      <w:suff w:val="nothing"/>
      <w:lvlText w:val="（%1）"/>
      <w:lvlJc w:val="left"/>
      <w:pPr>
        <w:ind w:firstLine="420"/>
      </w:pPr>
      <w:rPr>
        <w:rFonts w:hint="eastAsia" w:cs="Times New Roman"/>
      </w:rPr>
    </w:lvl>
  </w:abstractNum>
  <w:abstractNum w:abstractNumId="4">
    <w:nsid w:val="569DE84A"/>
    <w:multiLevelType w:val="singleLevel"/>
    <w:tmpl w:val="569DE84A"/>
    <w:lvl w:ilvl="0" w:tentative="0">
      <w:start w:val="1"/>
      <w:numFmt w:val="decimal"/>
      <w:pStyle w:val="21"/>
      <w:suff w:val="nothing"/>
      <w:lvlText w:val="%1．"/>
      <w:lvlJc w:val="left"/>
      <w:pPr>
        <w:ind w:firstLine="400"/>
      </w:pPr>
      <w:rPr>
        <w:rFonts w:hint="default" w:cs="Times New Roman"/>
      </w:rPr>
    </w:lvl>
  </w:abstractNum>
  <w:abstractNum w:abstractNumId="5">
    <w:nsid w:val="674F1A9D"/>
    <w:multiLevelType w:val="singleLevel"/>
    <w:tmpl w:val="674F1A9D"/>
    <w:lvl w:ilvl="0" w:tentative="0">
      <w:start w:val="2"/>
      <w:numFmt w:val="decimal"/>
      <w:lvlText w:val="%1."/>
      <w:lvlJc w:val="left"/>
      <w:pPr>
        <w:tabs>
          <w:tab w:val="left" w:pos="312"/>
        </w:tabs>
        <w:ind w:left="1577" w:firstLine="0"/>
      </w:pPr>
    </w:lvl>
  </w:abstractNum>
  <w:abstractNum w:abstractNumId="6">
    <w:nsid w:val="6BA27737"/>
    <w:multiLevelType w:val="multilevel"/>
    <w:tmpl w:val="6BA27737"/>
    <w:lvl w:ilvl="0" w:tentative="0">
      <w:start w:val="1"/>
      <w:numFmt w:val="japaneseCounting"/>
      <w:lvlText w:val="%1、"/>
      <w:lvlJc w:val="left"/>
      <w:pPr>
        <w:ind w:left="1360" w:hanging="720"/>
      </w:pPr>
      <w:rPr>
        <w:rFonts w:hint="default" w:ascii="Times New Roman" w:hAnsi="Times New Roman" w:cs="Times New Roman"/>
        <w:b w:val="0"/>
        <w:bCs w:val="0"/>
        <w:lang w:val="en-US"/>
      </w:rPr>
    </w:lvl>
    <w:lvl w:ilvl="1" w:tentative="0">
      <w:start w:val="1"/>
      <w:numFmt w:val="lowerLetter"/>
      <w:lvlText w:val="%2)"/>
      <w:lvlJc w:val="left"/>
      <w:pPr>
        <w:ind w:left="1480" w:hanging="420"/>
      </w:pPr>
      <w:rPr>
        <w:rFonts w:hint="default" w:ascii="Times New Roman" w:hAnsi="Times New Roman" w:cs="Times New Roman"/>
      </w:rPr>
    </w:lvl>
    <w:lvl w:ilvl="2" w:tentative="0">
      <w:start w:val="1"/>
      <w:numFmt w:val="lowerRoman"/>
      <w:lvlText w:val="%3."/>
      <w:lvlJc w:val="right"/>
      <w:pPr>
        <w:ind w:left="1900" w:hanging="420"/>
      </w:pPr>
      <w:rPr>
        <w:rFonts w:hint="default" w:ascii="Times New Roman" w:hAnsi="Times New Roman" w:cs="Times New Roman"/>
      </w:rPr>
    </w:lvl>
    <w:lvl w:ilvl="3" w:tentative="0">
      <w:start w:val="1"/>
      <w:numFmt w:val="decimal"/>
      <w:lvlText w:val="%4."/>
      <w:lvlJc w:val="left"/>
      <w:pPr>
        <w:ind w:left="2320" w:hanging="420"/>
      </w:pPr>
      <w:rPr>
        <w:rFonts w:hint="default" w:ascii="Times New Roman" w:hAnsi="Times New Roman" w:cs="Times New Roman"/>
      </w:rPr>
    </w:lvl>
    <w:lvl w:ilvl="4" w:tentative="0">
      <w:start w:val="1"/>
      <w:numFmt w:val="lowerLetter"/>
      <w:lvlText w:val="%5)"/>
      <w:lvlJc w:val="left"/>
      <w:pPr>
        <w:ind w:left="2740" w:hanging="420"/>
      </w:pPr>
      <w:rPr>
        <w:rFonts w:hint="default" w:ascii="Times New Roman" w:hAnsi="Times New Roman" w:cs="Times New Roman"/>
      </w:rPr>
    </w:lvl>
    <w:lvl w:ilvl="5" w:tentative="0">
      <w:start w:val="1"/>
      <w:numFmt w:val="lowerRoman"/>
      <w:lvlText w:val="%6."/>
      <w:lvlJc w:val="right"/>
      <w:pPr>
        <w:ind w:left="3160" w:hanging="420"/>
      </w:pPr>
      <w:rPr>
        <w:rFonts w:hint="default" w:ascii="Times New Roman" w:hAnsi="Times New Roman" w:cs="Times New Roman"/>
      </w:rPr>
    </w:lvl>
    <w:lvl w:ilvl="6" w:tentative="0">
      <w:start w:val="1"/>
      <w:numFmt w:val="decimal"/>
      <w:lvlText w:val="%7."/>
      <w:lvlJc w:val="left"/>
      <w:pPr>
        <w:ind w:left="3580" w:hanging="420"/>
      </w:pPr>
      <w:rPr>
        <w:rFonts w:hint="default" w:ascii="Times New Roman" w:hAnsi="Times New Roman" w:cs="Times New Roman"/>
      </w:rPr>
    </w:lvl>
    <w:lvl w:ilvl="7" w:tentative="0">
      <w:start w:val="1"/>
      <w:numFmt w:val="lowerLetter"/>
      <w:lvlText w:val="%8)"/>
      <w:lvlJc w:val="left"/>
      <w:pPr>
        <w:ind w:left="4000" w:hanging="420"/>
      </w:pPr>
      <w:rPr>
        <w:rFonts w:hint="default" w:ascii="Times New Roman" w:hAnsi="Times New Roman" w:cs="Times New Roman"/>
      </w:rPr>
    </w:lvl>
    <w:lvl w:ilvl="8" w:tentative="0">
      <w:start w:val="1"/>
      <w:numFmt w:val="lowerRoman"/>
      <w:lvlText w:val="%9."/>
      <w:lvlJc w:val="right"/>
      <w:pPr>
        <w:ind w:left="4420" w:hanging="420"/>
      </w:pPr>
      <w:rPr>
        <w:rFonts w:hint="default" w:ascii="Times New Roman" w:hAnsi="Times New Roman" w:cs="Times New Roman"/>
      </w:rPr>
    </w:lvl>
  </w:abstractNum>
  <w:abstractNum w:abstractNumId="7">
    <w:nsid w:val="7A77F525"/>
    <w:multiLevelType w:val="singleLevel"/>
    <w:tmpl w:val="7A77F525"/>
    <w:lvl w:ilvl="0" w:tentative="0">
      <w:start w:val="2"/>
      <w:numFmt w:val="decimal"/>
      <w:lvlText w:val="%1."/>
      <w:lvlJc w:val="left"/>
      <w:pPr>
        <w:tabs>
          <w:tab w:val="left" w:pos="312"/>
        </w:tabs>
      </w:pPr>
    </w:lvl>
  </w:abstractNum>
  <w:num w:numId="1">
    <w:abstractNumId w:val="4"/>
  </w:num>
  <w:num w:numId="2">
    <w:abstractNumId w:val="3"/>
  </w:num>
  <w:num w:numId="3">
    <w:abstractNumId w:val="2"/>
  </w:num>
  <w:num w:numId="4">
    <w:abstractNumId w:val="6"/>
    <w:lvlOverride w:ilvl="0">
      <w:startOverride w:val="1"/>
    </w:lvlOverride>
  </w:num>
  <w:num w:numId="5">
    <w:abstractNumId w:val="7"/>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FkNTgwODJiN2FjNTIzZWEwMzVmMGE0NmE0N2M4MGUifQ=="/>
  </w:docVars>
  <w:rsids>
    <w:rsidRoot w:val="427133D4"/>
    <w:rsid w:val="000047E5"/>
    <w:rsid w:val="00005776"/>
    <w:rsid w:val="00015BF5"/>
    <w:rsid w:val="00017D7B"/>
    <w:rsid w:val="0002256B"/>
    <w:rsid w:val="00026A9B"/>
    <w:rsid w:val="0003215E"/>
    <w:rsid w:val="000343F7"/>
    <w:rsid w:val="0004566D"/>
    <w:rsid w:val="00050114"/>
    <w:rsid w:val="000503C5"/>
    <w:rsid w:val="00050C66"/>
    <w:rsid w:val="000514B6"/>
    <w:rsid w:val="00053FC9"/>
    <w:rsid w:val="000601C0"/>
    <w:rsid w:val="00064F5F"/>
    <w:rsid w:val="0007014A"/>
    <w:rsid w:val="00070AE1"/>
    <w:rsid w:val="0007126A"/>
    <w:rsid w:val="00075451"/>
    <w:rsid w:val="0007761C"/>
    <w:rsid w:val="00082E89"/>
    <w:rsid w:val="00083ADF"/>
    <w:rsid w:val="000842EB"/>
    <w:rsid w:val="00094045"/>
    <w:rsid w:val="00095704"/>
    <w:rsid w:val="00096802"/>
    <w:rsid w:val="000A0978"/>
    <w:rsid w:val="000A1B83"/>
    <w:rsid w:val="000A735E"/>
    <w:rsid w:val="000C121F"/>
    <w:rsid w:val="000C1B6B"/>
    <w:rsid w:val="000D1C46"/>
    <w:rsid w:val="000E0021"/>
    <w:rsid w:val="000E5937"/>
    <w:rsid w:val="000F1926"/>
    <w:rsid w:val="000F1BF4"/>
    <w:rsid w:val="000F60A3"/>
    <w:rsid w:val="00101858"/>
    <w:rsid w:val="0010408B"/>
    <w:rsid w:val="00105DC9"/>
    <w:rsid w:val="00116D6E"/>
    <w:rsid w:val="001208CA"/>
    <w:rsid w:val="00121C50"/>
    <w:rsid w:val="00123B8D"/>
    <w:rsid w:val="001341EE"/>
    <w:rsid w:val="001344CB"/>
    <w:rsid w:val="00136873"/>
    <w:rsid w:val="00136D26"/>
    <w:rsid w:val="00137ED8"/>
    <w:rsid w:val="00141BD1"/>
    <w:rsid w:val="00143888"/>
    <w:rsid w:val="00144B2B"/>
    <w:rsid w:val="00145536"/>
    <w:rsid w:val="0014687B"/>
    <w:rsid w:val="00153870"/>
    <w:rsid w:val="00154CCB"/>
    <w:rsid w:val="00156A34"/>
    <w:rsid w:val="00166761"/>
    <w:rsid w:val="00166940"/>
    <w:rsid w:val="00167D37"/>
    <w:rsid w:val="00170EEA"/>
    <w:rsid w:val="00180881"/>
    <w:rsid w:val="00192E01"/>
    <w:rsid w:val="001A6439"/>
    <w:rsid w:val="001A72EA"/>
    <w:rsid w:val="001B1570"/>
    <w:rsid w:val="001B532C"/>
    <w:rsid w:val="001C1F51"/>
    <w:rsid w:val="001C2CE9"/>
    <w:rsid w:val="001C3295"/>
    <w:rsid w:val="001C731C"/>
    <w:rsid w:val="001D0809"/>
    <w:rsid w:val="001D427E"/>
    <w:rsid w:val="001D514F"/>
    <w:rsid w:val="001F010C"/>
    <w:rsid w:val="001F6C79"/>
    <w:rsid w:val="00211F08"/>
    <w:rsid w:val="00216BC5"/>
    <w:rsid w:val="00216E9F"/>
    <w:rsid w:val="00221ACE"/>
    <w:rsid w:val="00221ED2"/>
    <w:rsid w:val="00225209"/>
    <w:rsid w:val="0022673E"/>
    <w:rsid w:val="002278F1"/>
    <w:rsid w:val="002338ED"/>
    <w:rsid w:val="002469B0"/>
    <w:rsid w:val="002469D0"/>
    <w:rsid w:val="00253DEB"/>
    <w:rsid w:val="00257363"/>
    <w:rsid w:val="00261384"/>
    <w:rsid w:val="00262650"/>
    <w:rsid w:val="0026542E"/>
    <w:rsid w:val="00271E91"/>
    <w:rsid w:val="00272BF6"/>
    <w:rsid w:val="00275E9D"/>
    <w:rsid w:val="0027796B"/>
    <w:rsid w:val="0028286A"/>
    <w:rsid w:val="002861B5"/>
    <w:rsid w:val="00290D3E"/>
    <w:rsid w:val="0029504A"/>
    <w:rsid w:val="002A003A"/>
    <w:rsid w:val="002A22F6"/>
    <w:rsid w:val="002A798A"/>
    <w:rsid w:val="002A7F88"/>
    <w:rsid w:val="002A7FCA"/>
    <w:rsid w:val="002B0A68"/>
    <w:rsid w:val="002B3012"/>
    <w:rsid w:val="002B71A1"/>
    <w:rsid w:val="002C2FFB"/>
    <w:rsid w:val="002C4B12"/>
    <w:rsid w:val="002C5BB2"/>
    <w:rsid w:val="002D337C"/>
    <w:rsid w:val="002D4F7D"/>
    <w:rsid w:val="002F4AAD"/>
    <w:rsid w:val="002F56A3"/>
    <w:rsid w:val="002F7E82"/>
    <w:rsid w:val="00300632"/>
    <w:rsid w:val="003006B9"/>
    <w:rsid w:val="00301271"/>
    <w:rsid w:val="00304356"/>
    <w:rsid w:val="0030527A"/>
    <w:rsid w:val="003103F5"/>
    <w:rsid w:val="00314D6D"/>
    <w:rsid w:val="00323AF3"/>
    <w:rsid w:val="00323E17"/>
    <w:rsid w:val="00327A3E"/>
    <w:rsid w:val="003305AD"/>
    <w:rsid w:val="0033362C"/>
    <w:rsid w:val="00342E13"/>
    <w:rsid w:val="00345A00"/>
    <w:rsid w:val="00345F97"/>
    <w:rsid w:val="0034638E"/>
    <w:rsid w:val="00347462"/>
    <w:rsid w:val="0034777A"/>
    <w:rsid w:val="0035372F"/>
    <w:rsid w:val="0035403E"/>
    <w:rsid w:val="00357C26"/>
    <w:rsid w:val="00361485"/>
    <w:rsid w:val="00364C0A"/>
    <w:rsid w:val="003661E4"/>
    <w:rsid w:val="0037224D"/>
    <w:rsid w:val="00372FA9"/>
    <w:rsid w:val="003767A7"/>
    <w:rsid w:val="00385B85"/>
    <w:rsid w:val="00385CEC"/>
    <w:rsid w:val="00395B1E"/>
    <w:rsid w:val="003964E4"/>
    <w:rsid w:val="003B55FE"/>
    <w:rsid w:val="003B61ED"/>
    <w:rsid w:val="003C489F"/>
    <w:rsid w:val="003F17FC"/>
    <w:rsid w:val="003F233A"/>
    <w:rsid w:val="003F2616"/>
    <w:rsid w:val="003F5516"/>
    <w:rsid w:val="004021F0"/>
    <w:rsid w:val="00404F6A"/>
    <w:rsid w:val="00422C53"/>
    <w:rsid w:val="00423102"/>
    <w:rsid w:val="00424BC3"/>
    <w:rsid w:val="00431BCC"/>
    <w:rsid w:val="00433BD4"/>
    <w:rsid w:val="0043796C"/>
    <w:rsid w:val="00437A22"/>
    <w:rsid w:val="004428DB"/>
    <w:rsid w:val="0044466E"/>
    <w:rsid w:val="00444B63"/>
    <w:rsid w:val="0044797C"/>
    <w:rsid w:val="004609AD"/>
    <w:rsid w:val="00463EBB"/>
    <w:rsid w:val="0047212F"/>
    <w:rsid w:val="0047251E"/>
    <w:rsid w:val="00482DE9"/>
    <w:rsid w:val="00485A94"/>
    <w:rsid w:val="0049107D"/>
    <w:rsid w:val="004968ED"/>
    <w:rsid w:val="004979E3"/>
    <w:rsid w:val="004A4943"/>
    <w:rsid w:val="004C17E0"/>
    <w:rsid w:val="004C21EB"/>
    <w:rsid w:val="004C32CB"/>
    <w:rsid w:val="004D1A95"/>
    <w:rsid w:val="004D4E19"/>
    <w:rsid w:val="004D5D81"/>
    <w:rsid w:val="004D6E11"/>
    <w:rsid w:val="004E2418"/>
    <w:rsid w:val="00500897"/>
    <w:rsid w:val="0050208E"/>
    <w:rsid w:val="0050523F"/>
    <w:rsid w:val="005115F5"/>
    <w:rsid w:val="0051303C"/>
    <w:rsid w:val="00513BBB"/>
    <w:rsid w:val="00515BC0"/>
    <w:rsid w:val="00515EF2"/>
    <w:rsid w:val="005166BD"/>
    <w:rsid w:val="005239B1"/>
    <w:rsid w:val="005266E2"/>
    <w:rsid w:val="005271B8"/>
    <w:rsid w:val="00534228"/>
    <w:rsid w:val="00534714"/>
    <w:rsid w:val="005444D5"/>
    <w:rsid w:val="00547EDA"/>
    <w:rsid w:val="00554FC6"/>
    <w:rsid w:val="00555FA3"/>
    <w:rsid w:val="005560C2"/>
    <w:rsid w:val="0055617E"/>
    <w:rsid w:val="00560778"/>
    <w:rsid w:val="005669F9"/>
    <w:rsid w:val="00567321"/>
    <w:rsid w:val="005673A5"/>
    <w:rsid w:val="00572C38"/>
    <w:rsid w:val="00584AEC"/>
    <w:rsid w:val="00590F4E"/>
    <w:rsid w:val="00593AC2"/>
    <w:rsid w:val="00596FD3"/>
    <w:rsid w:val="00597431"/>
    <w:rsid w:val="005A244D"/>
    <w:rsid w:val="005B0B2A"/>
    <w:rsid w:val="005B6875"/>
    <w:rsid w:val="005B6916"/>
    <w:rsid w:val="005C23D0"/>
    <w:rsid w:val="005C3CB7"/>
    <w:rsid w:val="005C3F90"/>
    <w:rsid w:val="005C4D8C"/>
    <w:rsid w:val="005D523D"/>
    <w:rsid w:val="005D5804"/>
    <w:rsid w:val="005E5B8A"/>
    <w:rsid w:val="005E5F48"/>
    <w:rsid w:val="005F19B3"/>
    <w:rsid w:val="0060047D"/>
    <w:rsid w:val="00601261"/>
    <w:rsid w:val="006133B0"/>
    <w:rsid w:val="00620D95"/>
    <w:rsid w:val="00622126"/>
    <w:rsid w:val="00627C45"/>
    <w:rsid w:val="00632E77"/>
    <w:rsid w:val="00632ECA"/>
    <w:rsid w:val="00635CCD"/>
    <w:rsid w:val="006442DE"/>
    <w:rsid w:val="00645AB3"/>
    <w:rsid w:val="00652FDF"/>
    <w:rsid w:val="006603D7"/>
    <w:rsid w:val="00663939"/>
    <w:rsid w:val="0066427D"/>
    <w:rsid w:val="00666624"/>
    <w:rsid w:val="00673067"/>
    <w:rsid w:val="00676BEB"/>
    <w:rsid w:val="00677F10"/>
    <w:rsid w:val="006806E4"/>
    <w:rsid w:val="006808BF"/>
    <w:rsid w:val="0069074B"/>
    <w:rsid w:val="006937B8"/>
    <w:rsid w:val="006A628C"/>
    <w:rsid w:val="006A6DAB"/>
    <w:rsid w:val="006B2110"/>
    <w:rsid w:val="006B6B17"/>
    <w:rsid w:val="006C6A5B"/>
    <w:rsid w:val="006D6A95"/>
    <w:rsid w:val="006F11A0"/>
    <w:rsid w:val="006F684A"/>
    <w:rsid w:val="007048B0"/>
    <w:rsid w:val="00712853"/>
    <w:rsid w:val="00715E40"/>
    <w:rsid w:val="00721619"/>
    <w:rsid w:val="00723F09"/>
    <w:rsid w:val="0072409F"/>
    <w:rsid w:val="00727319"/>
    <w:rsid w:val="00727C0A"/>
    <w:rsid w:val="00731BD9"/>
    <w:rsid w:val="00733CDE"/>
    <w:rsid w:val="00736654"/>
    <w:rsid w:val="007369F9"/>
    <w:rsid w:val="00737BFD"/>
    <w:rsid w:val="00737CC1"/>
    <w:rsid w:val="00740D72"/>
    <w:rsid w:val="0074119A"/>
    <w:rsid w:val="007413E8"/>
    <w:rsid w:val="00752E61"/>
    <w:rsid w:val="00752FE4"/>
    <w:rsid w:val="00754C0E"/>
    <w:rsid w:val="0075539F"/>
    <w:rsid w:val="007672CA"/>
    <w:rsid w:val="00775130"/>
    <w:rsid w:val="00775C89"/>
    <w:rsid w:val="00775DF2"/>
    <w:rsid w:val="007828F2"/>
    <w:rsid w:val="00784380"/>
    <w:rsid w:val="00786821"/>
    <w:rsid w:val="00786B24"/>
    <w:rsid w:val="007A0CE9"/>
    <w:rsid w:val="007B35FE"/>
    <w:rsid w:val="007B7E12"/>
    <w:rsid w:val="007C0AE6"/>
    <w:rsid w:val="007C147D"/>
    <w:rsid w:val="007C585F"/>
    <w:rsid w:val="007C7FEE"/>
    <w:rsid w:val="007D0297"/>
    <w:rsid w:val="007D2ABD"/>
    <w:rsid w:val="007D3EF0"/>
    <w:rsid w:val="007F1D05"/>
    <w:rsid w:val="007F26A5"/>
    <w:rsid w:val="007F26AB"/>
    <w:rsid w:val="007F297A"/>
    <w:rsid w:val="007F6990"/>
    <w:rsid w:val="007F7BCD"/>
    <w:rsid w:val="00801B7D"/>
    <w:rsid w:val="00801E01"/>
    <w:rsid w:val="00804066"/>
    <w:rsid w:val="008055F4"/>
    <w:rsid w:val="00806403"/>
    <w:rsid w:val="008165E8"/>
    <w:rsid w:val="00821825"/>
    <w:rsid w:val="008253C7"/>
    <w:rsid w:val="00831C1D"/>
    <w:rsid w:val="00840335"/>
    <w:rsid w:val="00841FF4"/>
    <w:rsid w:val="00842141"/>
    <w:rsid w:val="00847BF8"/>
    <w:rsid w:val="008530C1"/>
    <w:rsid w:val="008536F3"/>
    <w:rsid w:val="00853F46"/>
    <w:rsid w:val="00854E0F"/>
    <w:rsid w:val="00855F85"/>
    <w:rsid w:val="0086110E"/>
    <w:rsid w:val="00864980"/>
    <w:rsid w:val="00865F0D"/>
    <w:rsid w:val="00870E5A"/>
    <w:rsid w:val="008717B3"/>
    <w:rsid w:val="00876989"/>
    <w:rsid w:val="008A5903"/>
    <w:rsid w:val="008B27F1"/>
    <w:rsid w:val="008C3EF6"/>
    <w:rsid w:val="008D133D"/>
    <w:rsid w:val="008D1461"/>
    <w:rsid w:val="008D1B56"/>
    <w:rsid w:val="008D7F86"/>
    <w:rsid w:val="008E0ED7"/>
    <w:rsid w:val="008E29F5"/>
    <w:rsid w:val="008E52BC"/>
    <w:rsid w:val="008F0ECB"/>
    <w:rsid w:val="008F2AFC"/>
    <w:rsid w:val="008F31EF"/>
    <w:rsid w:val="008F5D63"/>
    <w:rsid w:val="008F754F"/>
    <w:rsid w:val="008F7BA1"/>
    <w:rsid w:val="00902D10"/>
    <w:rsid w:val="00903BAC"/>
    <w:rsid w:val="00903FA2"/>
    <w:rsid w:val="00906B5E"/>
    <w:rsid w:val="009072EC"/>
    <w:rsid w:val="00910EAA"/>
    <w:rsid w:val="00912346"/>
    <w:rsid w:val="00916F18"/>
    <w:rsid w:val="009269A2"/>
    <w:rsid w:val="00926A1C"/>
    <w:rsid w:val="00930845"/>
    <w:rsid w:val="00930AB5"/>
    <w:rsid w:val="00931309"/>
    <w:rsid w:val="00932294"/>
    <w:rsid w:val="0093436E"/>
    <w:rsid w:val="00934AB0"/>
    <w:rsid w:val="009357B6"/>
    <w:rsid w:val="00935FA8"/>
    <w:rsid w:val="00937161"/>
    <w:rsid w:val="00941B9A"/>
    <w:rsid w:val="0094367D"/>
    <w:rsid w:val="0094456A"/>
    <w:rsid w:val="00952148"/>
    <w:rsid w:val="009522BE"/>
    <w:rsid w:val="00952A78"/>
    <w:rsid w:val="009554B3"/>
    <w:rsid w:val="00957AC5"/>
    <w:rsid w:val="00957F87"/>
    <w:rsid w:val="009654AC"/>
    <w:rsid w:val="00967E0B"/>
    <w:rsid w:val="009713DA"/>
    <w:rsid w:val="00976563"/>
    <w:rsid w:val="00976EA0"/>
    <w:rsid w:val="009800C4"/>
    <w:rsid w:val="0098750F"/>
    <w:rsid w:val="00987954"/>
    <w:rsid w:val="00987DB5"/>
    <w:rsid w:val="009916F1"/>
    <w:rsid w:val="0099265B"/>
    <w:rsid w:val="009A2460"/>
    <w:rsid w:val="009A30EA"/>
    <w:rsid w:val="009A6B0B"/>
    <w:rsid w:val="009B14FD"/>
    <w:rsid w:val="009D5D4B"/>
    <w:rsid w:val="009E163E"/>
    <w:rsid w:val="009E790D"/>
    <w:rsid w:val="009F22CA"/>
    <w:rsid w:val="009F36DB"/>
    <w:rsid w:val="009F4DED"/>
    <w:rsid w:val="009F5E2A"/>
    <w:rsid w:val="009F6499"/>
    <w:rsid w:val="00A02F52"/>
    <w:rsid w:val="00A05E0C"/>
    <w:rsid w:val="00A0691A"/>
    <w:rsid w:val="00A14201"/>
    <w:rsid w:val="00A16D73"/>
    <w:rsid w:val="00A21C96"/>
    <w:rsid w:val="00A23A64"/>
    <w:rsid w:val="00A251F5"/>
    <w:rsid w:val="00A320E0"/>
    <w:rsid w:val="00A321B2"/>
    <w:rsid w:val="00A3635D"/>
    <w:rsid w:val="00A40FFD"/>
    <w:rsid w:val="00A432AA"/>
    <w:rsid w:val="00A45EE7"/>
    <w:rsid w:val="00A50368"/>
    <w:rsid w:val="00A52DCD"/>
    <w:rsid w:val="00A530D0"/>
    <w:rsid w:val="00A54016"/>
    <w:rsid w:val="00A64CA4"/>
    <w:rsid w:val="00A66AC2"/>
    <w:rsid w:val="00A76F65"/>
    <w:rsid w:val="00A8037F"/>
    <w:rsid w:val="00A81643"/>
    <w:rsid w:val="00A85477"/>
    <w:rsid w:val="00A92C97"/>
    <w:rsid w:val="00A9316E"/>
    <w:rsid w:val="00A9633E"/>
    <w:rsid w:val="00AA2528"/>
    <w:rsid w:val="00AA27F1"/>
    <w:rsid w:val="00AA6683"/>
    <w:rsid w:val="00AA78B9"/>
    <w:rsid w:val="00AB1308"/>
    <w:rsid w:val="00AB298A"/>
    <w:rsid w:val="00AB5D40"/>
    <w:rsid w:val="00AB5D98"/>
    <w:rsid w:val="00AB7E64"/>
    <w:rsid w:val="00AC13A0"/>
    <w:rsid w:val="00AD7775"/>
    <w:rsid w:val="00AD7BCB"/>
    <w:rsid w:val="00AE49F5"/>
    <w:rsid w:val="00AF0F23"/>
    <w:rsid w:val="00AF6C83"/>
    <w:rsid w:val="00AF72AC"/>
    <w:rsid w:val="00B04481"/>
    <w:rsid w:val="00B04DD3"/>
    <w:rsid w:val="00B05551"/>
    <w:rsid w:val="00B06E10"/>
    <w:rsid w:val="00B1181B"/>
    <w:rsid w:val="00B146C4"/>
    <w:rsid w:val="00B156D4"/>
    <w:rsid w:val="00B2029A"/>
    <w:rsid w:val="00B22BEA"/>
    <w:rsid w:val="00B24674"/>
    <w:rsid w:val="00B30940"/>
    <w:rsid w:val="00B3467F"/>
    <w:rsid w:val="00B428D8"/>
    <w:rsid w:val="00B55506"/>
    <w:rsid w:val="00B63DB5"/>
    <w:rsid w:val="00B649C1"/>
    <w:rsid w:val="00B81758"/>
    <w:rsid w:val="00B825CD"/>
    <w:rsid w:val="00B90144"/>
    <w:rsid w:val="00B929D1"/>
    <w:rsid w:val="00B95131"/>
    <w:rsid w:val="00B977CE"/>
    <w:rsid w:val="00B97AD2"/>
    <w:rsid w:val="00BA2066"/>
    <w:rsid w:val="00BB4DDD"/>
    <w:rsid w:val="00BC188E"/>
    <w:rsid w:val="00BC556C"/>
    <w:rsid w:val="00BD1531"/>
    <w:rsid w:val="00BD245D"/>
    <w:rsid w:val="00BD3F68"/>
    <w:rsid w:val="00BD5DD4"/>
    <w:rsid w:val="00BD6888"/>
    <w:rsid w:val="00BE4DFD"/>
    <w:rsid w:val="00BF2526"/>
    <w:rsid w:val="00BF3C42"/>
    <w:rsid w:val="00C04DB7"/>
    <w:rsid w:val="00C106AF"/>
    <w:rsid w:val="00C11108"/>
    <w:rsid w:val="00C17CA9"/>
    <w:rsid w:val="00C21232"/>
    <w:rsid w:val="00C31F81"/>
    <w:rsid w:val="00C356F4"/>
    <w:rsid w:val="00C3715C"/>
    <w:rsid w:val="00C41E1F"/>
    <w:rsid w:val="00C42F58"/>
    <w:rsid w:val="00C51F6B"/>
    <w:rsid w:val="00C5208E"/>
    <w:rsid w:val="00C60430"/>
    <w:rsid w:val="00C60DF1"/>
    <w:rsid w:val="00C621B3"/>
    <w:rsid w:val="00C62C20"/>
    <w:rsid w:val="00C63410"/>
    <w:rsid w:val="00C675CB"/>
    <w:rsid w:val="00C77532"/>
    <w:rsid w:val="00C805F0"/>
    <w:rsid w:val="00C80B74"/>
    <w:rsid w:val="00C80DCF"/>
    <w:rsid w:val="00C93769"/>
    <w:rsid w:val="00CA0194"/>
    <w:rsid w:val="00CA2F2A"/>
    <w:rsid w:val="00CA33CE"/>
    <w:rsid w:val="00CA3DF6"/>
    <w:rsid w:val="00CA5703"/>
    <w:rsid w:val="00CA5994"/>
    <w:rsid w:val="00CA5C30"/>
    <w:rsid w:val="00CA5E4D"/>
    <w:rsid w:val="00CB2758"/>
    <w:rsid w:val="00CC04CA"/>
    <w:rsid w:val="00CD02C0"/>
    <w:rsid w:val="00CD1F09"/>
    <w:rsid w:val="00CD20D7"/>
    <w:rsid w:val="00CE01F8"/>
    <w:rsid w:val="00CE4CA3"/>
    <w:rsid w:val="00CE61ED"/>
    <w:rsid w:val="00CE723A"/>
    <w:rsid w:val="00CE752B"/>
    <w:rsid w:val="00D033CB"/>
    <w:rsid w:val="00D04B27"/>
    <w:rsid w:val="00D068E8"/>
    <w:rsid w:val="00D15B74"/>
    <w:rsid w:val="00D34D18"/>
    <w:rsid w:val="00D40A45"/>
    <w:rsid w:val="00D5539D"/>
    <w:rsid w:val="00D57390"/>
    <w:rsid w:val="00D57485"/>
    <w:rsid w:val="00D63A67"/>
    <w:rsid w:val="00D72D2D"/>
    <w:rsid w:val="00D72F3C"/>
    <w:rsid w:val="00D812AE"/>
    <w:rsid w:val="00D83420"/>
    <w:rsid w:val="00D85AC8"/>
    <w:rsid w:val="00D90487"/>
    <w:rsid w:val="00D9261F"/>
    <w:rsid w:val="00D96C1B"/>
    <w:rsid w:val="00DA12A4"/>
    <w:rsid w:val="00DA7192"/>
    <w:rsid w:val="00DB5CA6"/>
    <w:rsid w:val="00DB6C85"/>
    <w:rsid w:val="00DC071F"/>
    <w:rsid w:val="00DC62B5"/>
    <w:rsid w:val="00DC673B"/>
    <w:rsid w:val="00DD1FC2"/>
    <w:rsid w:val="00DD3650"/>
    <w:rsid w:val="00DD3C80"/>
    <w:rsid w:val="00DD637B"/>
    <w:rsid w:val="00DE5ED2"/>
    <w:rsid w:val="00DF4447"/>
    <w:rsid w:val="00DF5321"/>
    <w:rsid w:val="00DF5E9C"/>
    <w:rsid w:val="00DF6E91"/>
    <w:rsid w:val="00E008A3"/>
    <w:rsid w:val="00E01B34"/>
    <w:rsid w:val="00E01EE9"/>
    <w:rsid w:val="00E04FDF"/>
    <w:rsid w:val="00E116E9"/>
    <w:rsid w:val="00E17F36"/>
    <w:rsid w:val="00E20757"/>
    <w:rsid w:val="00E215FC"/>
    <w:rsid w:val="00E2192B"/>
    <w:rsid w:val="00E34E6F"/>
    <w:rsid w:val="00E43C79"/>
    <w:rsid w:val="00E456A9"/>
    <w:rsid w:val="00E50D17"/>
    <w:rsid w:val="00E54E76"/>
    <w:rsid w:val="00E57BDE"/>
    <w:rsid w:val="00E606F9"/>
    <w:rsid w:val="00E62BC9"/>
    <w:rsid w:val="00E63B39"/>
    <w:rsid w:val="00E63F61"/>
    <w:rsid w:val="00E64E30"/>
    <w:rsid w:val="00E71663"/>
    <w:rsid w:val="00E73639"/>
    <w:rsid w:val="00E7485B"/>
    <w:rsid w:val="00E95102"/>
    <w:rsid w:val="00E961E1"/>
    <w:rsid w:val="00EA6D8C"/>
    <w:rsid w:val="00EB0161"/>
    <w:rsid w:val="00EB1D23"/>
    <w:rsid w:val="00EB33E0"/>
    <w:rsid w:val="00EB3A7F"/>
    <w:rsid w:val="00EC2FD2"/>
    <w:rsid w:val="00EC4AE7"/>
    <w:rsid w:val="00EC6583"/>
    <w:rsid w:val="00ED1AF4"/>
    <w:rsid w:val="00ED77D3"/>
    <w:rsid w:val="00EE5ABD"/>
    <w:rsid w:val="00EE5C81"/>
    <w:rsid w:val="00EF2CD7"/>
    <w:rsid w:val="00EF4ADC"/>
    <w:rsid w:val="00EF5CFC"/>
    <w:rsid w:val="00EF703D"/>
    <w:rsid w:val="00EF7FF1"/>
    <w:rsid w:val="00F036E5"/>
    <w:rsid w:val="00F0794A"/>
    <w:rsid w:val="00F12C40"/>
    <w:rsid w:val="00F12EC0"/>
    <w:rsid w:val="00F3090A"/>
    <w:rsid w:val="00F30A2E"/>
    <w:rsid w:val="00F361A8"/>
    <w:rsid w:val="00F36C5F"/>
    <w:rsid w:val="00F44044"/>
    <w:rsid w:val="00F51DCF"/>
    <w:rsid w:val="00F82F81"/>
    <w:rsid w:val="00F91BE2"/>
    <w:rsid w:val="00F9282D"/>
    <w:rsid w:val="00F966EA"/>
    <w:rsid w:val="00FA2DED"/>
    <w:rsid w:val="00FA2F52"/>
    <w:rsid w:val="00FA3451"/>
    <w:rsid w:val="00FA5D56"/>
    <w:rsid w:val="00FB1BEF"/>
    <w:rsid w:val="00FB28AE"/>
    <w:rsid w:val="00FB4126"/>
    <w:rsid w:val="00FC0F93"/>
    <w:rsid w:val="00FC2057"/>
    <w:rsid w:val="00FC655A"/>
    <w:rsid w:val="00FD25EE"/>
    <w:rsid w:val="00FE15DB"/>
    <w:rsid w:val="00FE3217"/>
    <w:rsid w:val="00FE569F"/>
    <w:rsid w:val="00FF735C"/>
    <w:rsid w:val="01602029"/>
    <w:rsid w:val="0180163C"/>
    <w:rsid w:val="01F64D0F"/>
    <w:rsid w:val="03105C95"/>
    <w:rsid w:val="03A72BEC"/>
    <w:rsid w:val="03AB300D"/>
    <w:rsid w:val="03EA43FF"/>
    <w:rsid w:val="041E40FC"/>
    <w:rsid w:val="05143BDB"/>
    <w:rsid w:val="06566D16"/>
    <w:rsid w:val="065A680F"/>
    <w:rsid w:val="06664449"/>
    <w:rsid w:val="069A4D4C"/>
    <w:rsid w:val="0709025E"/>
    <w:rsid w:val="070B300A"/>
    <w:rsid w:val="07C02605"/>
    <w:rsid w:val="08123F24"/>
    <w:rsid w:val="082E5202"/>
    <w:rsid w:val="088A4403"/>
    <w:rsid w:val="092861B7"/>
    <w:rsid w:val="09684744"/>
    <w:rsid w:val="09CF3E95"/>
    <w:rsid w:val="0A1F5F0B"/>
    <w:rsid w:val="0A4B453E"/>
    <w:rsid w:val="0BC55A31"/>
    <w:rsid w:val="0BD10121"/>
    <w:rsid w:val="0C4847EE"/>
    <w:rsid w:val="0C931FA7"/>
    <w:rsid w:val="0CF85DDF"/>
    <w:rsid w:val="0D5C7F8B"/>
    <w:rsid w:val="0D904B48"/>
    <w:rsid w:val="0E1C3D4F"/>
    <w:rsid w:val="0EAF4BC3"/>
    <w:rsid w:val="0EE42581"/>
    <w:rsid w:val="0F3D21CF"/>
    <w:rsid w:val="0F8E37C8"/>
    <w:rsid w:val="1041074C"/>
    <w:rsid w:val="109B53FF"/>
    <w:rsid w:val="10F91F06"/>
    <w:rsid w:val="112F3D99"/>
    <w:rsid w:val="116E32CE"/>
    <w:rsid w:val="125C0BBE"/>
    <w:rsid w:val="12750810"/>
    <w:rsid w:val="13AA5959"/>
    <w:rsid w:val="147D7AA1"/>
    <w:rsid w:val="14BD372B"/>
    <w:rsid w:val="16766F5E"/>
    <w:rsid w:val="18C44287"/>
    <w:rsid w:val="19094ED0"/>
    <w:rsid w:val="19370297"/>
    <w:rsid w:val="19762C7A"/>
    <w:rsid w:val="1ABF7F3C"/>
    <w:rsid w:val="1B195D3C"/>
    <w:rsid w:val="1CC730C6"/>
    <w:rsid w:val="1D350989"/>
    <w:rsid w:val="1D622D65"/>
    <w:rsid w:val="1DEF5848"/>
    <w:rsid w:val="1E9948F0"/>
    <w:rsid w:val="1ECE4BF1"/>
    <w:rsid w:val="1ED16490"/>
    <w:rsid w:val="202A5F3D"/>
    <w:rsid w:val="20D33172"/>
    <w:rsid w:val="2161259C"/>
    <w:rsid w:val="22482F0D"/>
    <w:rsid w:val="22847D6F"/>
    <w:rsid w:val="22E034B6"/>
    <w:rsid w:val="22F407E9"/>
    <w:rsid w:val="23021C41"/>
    <w:rsid w:val="23736CE6"/>
    <w:rsid w:val="23A319CE"/>
    <w:rsid w:val="23C37307"/>
    <w:rsid w:val="242063FA"/>
    <w:rsid w:val="242D5F16"/>
    <w:rsid w:val="25294416"/>
    <w:rsid w:val="256E0A87"/>
    <w:rsid w:val="258306FF"/>
    <w:rsid w:val="25D8109F"/>
    <w:rsid w:val="266B4922"/>
    <w:rsid w:val="2685203A"/>
    <w:rsid w:val="27254D10"/>
    <w:rsid w:val="27F07987"/>
    <w:rsid w:val="288E173B"/>
    <w:rsid w:val="28B92995"/>
    <w:rsid w:val="2AD149A9"/>
    <w:rsid w:val="2B1B139E"/>
    <w:rsid w:val="2B415520"/>
    <w:rsid w:val="2BAD6332"/>
    <w:rsid w:val="2BD67953"/>
    <w:rsid w:val="2C741B2A"/>
    <w:rsid w:val="2D18589E"/>
    <w:rsid w:val="2DC579A8"/>
    <w:rsid w:val="2E77509C"/>
    <w:rsid w:val="2EC22247"/>
    <w:rsid w:val="2F6A59DF"/>
    <w:rsid w:val="308464DA"/>
    <w:rsid w:val="30A61115"/>
    <w:rsid w:val="31117843"/>
    <w:rsid w:val="31AA0F65"/>
    <w:rsid w:val="31F35E36"/>
    <w:rsid w:val="32B74D2B"/>
    <w:rsid w:val="33BC0E3D"/>
    <w:rsid w:val="33DA14EB"/>
    <w:rsid w:val="34AB6505"/>
    <w:rsid w:val="34B85CD0"/>
    <w:rsid w:val="35951B88"/>
    <w:rsid w:val="35C112DF"/>
    <w:rsid w:val="36523A90"/>
    <w:rsid w:val="365D3204"/>
    <w:rsid w:val="378369E4"/>
    <w:rsid w:val="38923622"/>
    <w:rsid w:val="38AF1D74"/>
    <w:rsid w:val="38BD5031"/>
    <w:rsid w:val="3998596C"/>
    <w:rsid w:val="39CB45DC"/>
    <w:rsid w:val="39DC713E"/>
    <w:rsid w:val="3A296D28"/>
    <w:rsid w:val="3A880586"/>
    <w:rsid w:val="3AC2532A"/>
    <w:rsid w:val="3AE01D70"/>
    <w:rsid w:val="3B293588"/>
    <w:rsid w:val="3C713708"/>
    <w:rsid w:val="3C9664FA"/>
    <w:rsid w:val="3E3A42D1"/>
    <w:rsid w:val="3F1A6D69"/>
    <w:rsid w:val="3FE25043"/>
    <w:rsid w:val="40F41E3E"/>
    <w:rsid w:val="41243966"/>
    <w:rsid w:val="427133D4"/>
    <w:rsid w:val="43060CE9"/>
    <w:rsid w:val="435117C9"/>
    <w:rsid w:val="43871668"/>
    <w:rsid w:val="44953D06"/>
    <w:rsid w:val="467001B9"/>
    <w:rsid w:val="46E365D6"/>
    <w:rsid w:val="482374AD"/>
    <w:rsid w:val="49961747"/>
    <w:rsid w:val="4A1E2BCB"/>
    <w:rsid w:val="4B1577B4"/>
    <w:rsid w:val="4B595C86"/>
    <w:rsid w:val="4B7A1FAA"/>
    <w:rsid w:val="4C7D58DD"/>
    <w:rsid w:val="4CF3344D"/>
    <w:rsid w:val="4D357A66"/>
    <w:rsid w:val="4D5302C1"/>
    <w:rsid w:val="4F132029"/>
    <w:rsid w:val="4F4641AC"/>
    <w:rsid w:val="4F53437F"/>
    <w:rsid w:val="4F622668"/>
    <w:rsid w:val="4F6335D6"/>
    <w:rsid w:val="502C27E8"/>
    <w:rsid w:val="507765E7"/>
    <w:rsid w:val="523E560F"/>
    <w:rsid w:val="535337CA"/>
    <w:rsid w:val="547E16F9"/>
    <w:rsid w:val="55202DAA"/>
    <w:rsid w:val="552B6AA0"/>
    <w:rsid w:val="56250F00"/>
    <w:rsid w:val="57CB000D"/>
    <w:rsid w:val="58144BD4"/>
    <w:rsid w:val="596A4F3B"/>
    <w:rsid w:val="5978263A"/>
    <w:rsid w:val="59C303C4"/>
    <w:rsid w:val="5AEC4C0F"/>
    <w:rsid w:val="5B295985"/>
    <w:rsid w:val="5C2B69D9"/>
    <w:rsid w:val="5D1A5667"/>
    <w:rsid w:val="5FA01B57"/>
    <w:rsid w:val="6029590E"/>
    <w:rsid w:val="62E95123"/>
    <w:rsid w:val="63344CDA"/>
    <w:rsid w:val="63993214"/>
    <w:rsid w:val="64646D06"/>
    <w:rsid w:val="655B0E28"/>
    <w:rsid w:val="65EC7EAE"/>
    <w:rsid w:val="665E7CC0"/>
    <w:rsid w:val="67817AEA"/>
    <w:rsid w:val="68633281"/>
    <w:rsid w:val="689B327F"/>
    <w:rsid w:val="6A7F4A73"/>
    <w:rsid w:val="6BB3528F"/>
    <w:rsid w:val="6BD3119C"/>
    <w:rsid w:val="6C4E4BE5"/>
    <w:rsid w:val="6C6B72E7"/>
    <w:rsid w:val="6D147EEF"/>
    <w:rsid w:val="6D4E01FB"/>
    <w:rsid w:val="6D761CA9"/>
    <w:rsid w:val="6D8B6DD7"/>
    <w:rsid w:val="6E0A346B"/>
    <w:rsid w:val="6E83738D"/>
    <w:rsid w:val="6FBD3440"/>
    <w:rsid w:val="701002FF"/>
    <w:rsid w:val="703B5184"/>
    <w:rsid w:val="70603317"/>
    <w:rsid w:val="70B756B4"/>
    <w:rsid w:val="711B7623"/>
    <w:rsid w:val="72B9283A"/>
    <w:rsid w:val="73897135"/>
    <w:rsid w:val="73CC5444"/>
    <w:rsid w:val="73F70762"/>
    <w:rsid w:val="752C57F5"/>
    <w:rsid w:val="75604482"/>
    <w:rsid w:val="75DD70F5"/>
    <w:rsid w:val="761058CD"/>
    <w:rsid w:val="775D6ADC"/>
    <w:rsid w:val="7814486E"/>
    <w:rsid w:val="78BD7F0E"/>
    <w:rsid w:val="78C744F1"/>
    <w:rsid w:val="7ABF3735"/>
    <w:rsid w:val="7B14665D"/>
    <w:rsid w:val="7BC8391A"/>
    <w:rsid w:val="7BD67401"/>
    <w:rsid w:val="7BE3712E"/>
    <w:rsid w:val="7C0A6D20"/>
    <w:rsid w:val="7C632A5C"/>
    <w:rsid w:val="7D444F83"/>
    <w:rsid w:val="7D54194A"/>
    <w:rsid w:val="7D830F5C"/>
    <w:rsid w:val="7DCF100B"/>
    <w:rsid w:val="7E090C2D"/>
    <w:rsid w:val="7E5F5E41"/>
    <w:rsid w:val="7EA55E80"/>
    <w:rsid w:val="7EC60C4C"/>
    <w:rsid w:val="7F356FD1"/>
    <w:rsid w:val="7F7D704A"/>
    <w:rsid w:val="9F273FD6"/>
    <w:rsid w:val="F7FDE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2pt" color="#FF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32"/>
      <w:lang w:val="en-US" w:eastAsia="zh-CN" w:bidi="ar-SA"/>
    </w:rPr>
  </w:style>
  <w:style w:type="paragraph" w:styleId="2">
    <w:name w:val="heading 1"/>
    <w:basedOn w:val="1"/>
    <w:next w:val="1"/>
    <w:qFormat/>
    <w:uiPriority w:val="0"/>
    <w:pPr>
      <w:keepNext/>
      <w:keepLines/>
      <w:ind w:firstLine="640"/>
      <w:outlineLvl w:val="0"/>
    </w:pPr>
    <w:rPr>
      <w:rFonts w:eastAsia="黑体"/>
      <w:b/>
      <w:kern w:val="44"/>
      <w:sz w:val="44"/>
    </w:rPr>
  </w:style>
  <w:style w:type="paragraph" w:styleId="3">
    <w:name w:val="heading 2"/>
    <w:basedOn w:val="1"/>
    <w:next w:val="1"/>
    <w:link w:val="37"/>
    <w:qFormat/>
    <w:uiPriority w:val="0"/>
    <w:pPr>
      <w:keepNext/>
      <w:keepLines/>
      <w:ind w:firstLine="640"/>
      <w:outlineLvl w:val="1"/>
    </w:pPr>
    <w:rPr>
      <w:rFonts w:ascii="Arial" w:hAnsi="Arial" w:eastAsia="楷体_GB2312"/>
      <w:b/>
    </w:rPr>
  </w:style>
  <w:style w:type="paragraph" w:styleId="4">
    <w:name w:val="heading 3"/>
    <w:basedOn w:val="1"/>
    <w:next w:val="1"/>
    <w:qFormat/>
    <w:uiPriority w:val="0"/>
    <w:pPr>
      <w:keepNext/>
      <w:keepLines/>
      <w:ind w:firstLine="640"/>
      <w:outlineLvl w:val="2"/>
    </w:pPr>
    <w:rPr>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spacing w:beforeLines="30"/>
    </w:pPr>
    <w:rPr>
      <w:rFonts w:ascii="仿宋_GB2312" w:hAnsi="Times New Roman"/>
      <w:sz w:val="30"/>
      <w:szCs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semiHidden/>
    <w:qFormat/>
    <w:uiPriority w:val="0"/>
    <w:pPr>
      <w:spacing w:before="93" w:after="100" w:afterAutospacing="1"/>
      <w:jc w:val="center"/>
    </w:pPr>
    <w:rPr>
      <w:rFonts w:ascii="仿宋" w:hAnsi="仿宋" w:eastAsia="仿宋"/>
      <w:sz w:val="28"/>
      <w:szCs w:val="28"/>
    </w:rPr>
  </w:style>
  <w:style w:type="paragraph" w:styleId="10">
    <w:name w:val="toc 2"/>
    <w:basedOn w:val="1"/>
    <w:next w:val="1"/>
    <w:semiHidden/>
    <w:qFormat/>
    <w:uiPriority w:val="0"/>
    <w:pPr>
      <w:spacing w:before="100" w:beforeAutospacing="1" w:after="100" w:afterAutospacing="1"/>
      <w:ind w:left="420" w:leftChars="200"/>
    </w:pPr>
    <w:rPr>
      <w:rFonts w:ascii="Times New Roman" w:hAnsi="Times New Roman" w:eastAsia="宋体"/>
      <w:sz w:val="21"/>
      <w:szCs w:val="21"/>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qFormat/>
    <w:locked/>
    <w:uiPriority w:val="0"/>
    <w:rPr>
      <w:b/>
      <w:bCs/>
    </w:rPr>
  </w:style>
  <w:style w:type="character" w:styleId="15">
    <w:name w:val="page number"/>
    <w:basedOn w:val="13"/>
    <w:qFormat/>
    <w:uiPriority w:val="0"/>
    <w:rPr>
      <w:rFonts w:cs="Times New Roman"/>
    </w:rPr>
  </w:style>
  <w:style w:type="character" w:styleId="16">
    <w:name w:val="Emphasis"/>
    <w:qFormat/>
    <w:locked/>
    <w:uiPriority w:val="0"/>
  </w:style>
  <w:style w:type="character" w:styleId="17">
    <w:name w:val="Hyperlink"/>
    <w:basedOn w:val="13"/>
    <w:qFormat/>
    <w:uiPriority w:val="0"/>
    <w:rPr>
      <w:color w:val="0000FF"/>
      <w:u w:val="single"/>
    </w:rPr>
  </w:style>
  <w:style w:type="paragraph" w:customStyle="1" w:styleId="18">
    <w:name w:val="常用样式（方正仿宋简）"/>
    <w:basedOn w:val="1"/>
    <w:qFormat/>
    <w:uiPriority w:val="0"/>
    <w:pPr>
      <w:spacing w:line="560" w:lineRule="exact"/>
      <w:ind w:firstLine="640" w:firstLineChars="200"/>
    </w:pPr>
    <w:rPr>
      <w:rFonts w:eastAsia="方正仿宋简体"/>
    </w:rPr>
  </w:style>
  <w:style w:type="paragraph" w:customStyle="1" w:styleId="19">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20">
    <w:name w:val="三级标题 Char"/>
    <w:link w:val="21"/>
    <w:qFormat/>
    <w:locked/>
    <w:uiPriority w:val="0"/>
    <w:rPr>
      <w:rFonts w:ascii="Calibri" w:hAnsi="Calibri" w:eastAsia="仿宋_GB2312"/>
      <w:b/>
      <w:sz w:val="32"/>
    </w:rPr>
  </w:style>
  <w:style w:type="paragraph" w:customStyle="1" w:styleId="21">
    <w:name w:val="三级标题"/>
    <w:basedOn w:val="1"/>
    <w:link w:val="20"/>
    <w:qFormat/>
    <w:uiPriority w:val="0"/>
    <w:pPr>
      <w:numPr>
        <w:ilvl w:val="0"/>
        <w:numId w:val="1"/>
      </w:numPr>
      <w:ind w:firstLine="880" w:firstLineChars="200"/>
    </w:pPr>
    <w:rPr>
      <w:b/>
      <w:kern w:val="0"/>
      <w:szCs w:val="20"/>
    </w:rPr>
  </w:style>
  <w:style w:type="character" w:customStyle="1" w:styleId="22">
    <w:name w:val="16"/>
    <w:basedOn w:val="13"/>
    <w:qFormat/>
    <w:uiPriority w:val="0"/>
    <w:rPr>
      <w:rFonts w:hint="default" w:ascii="Times New Roman" w:hAnsi="Times New Roman" w:cs="Times New Roman"/>
      <w:b/>
      <w:bCs/>
      <w:kern w:val="44"/>
      <w:sz w:val="44"/>
      <w:szCs w:val="44"/>
    </w:rPr>
  </w:style>
  <w:style w:type="character" w:customStyle="1" w:styleId="23">
    <w:name w:val="18"/>
    <w:basedOn w:val="13"/>
    <w:qFormat/>
    <w:uiPriority w:val="0"/>
    <w:rPr>
      <w:rFonts w:hint="default" w:ascii="Calibri" w:hAnsi="Calibri"/>
      <w:b/>
      <w:bCs/>
    </w:rPr>
  </w:style>
  <w:style w:type="character" w:customStyle="1" w:styleId="24">
    <w:name w:val="15"/>
    <w:basedOn w:val="13"/>
    <w:qFormat/>
    <w:uiPriority w:val="0"/>
    <w:rPr>
      <w:rFonts w:hint="default" w:ascii="Cambria" w:hAnsi="Cambria" w:eastAsia="宋体" w:cs="黑体"/>
      <w:b/>
      <w:bCs/>
      <w:kern w:val="2"/>
      <w:sz w:val="32"/>
      <w:szCs w:val="32"/>
    </w:rPr>
  </w:style>
  <w:style w:type="character" w:customStyle="1" w:styleId="25">
    <w:name w:val="17"/>
    <w:basedOn w:val="13"/>
    <w:qFormat/>
    <w:uiPriority w:val="0"/>
    <w:rPr>
      <w:rFonts w:hint="default" w:ascii="Calibri" w:hAnsi="Calibri"/>
      <w:color w:val="0000FF"/>
      <w:u w:val="single"/>
    </w:rPr>
  </w:style>
  <w:style w:type="character" w:customStyle="1" w:styleId="26">
    <w:name w:val="公文 Char"/>
    <w:link w:val="27"/>
    <w:qFormat/>
    <w:locked/>
    <w:uiPriority w:val="0"/>
    <w:rPr>
      <w:rFonts w:ascii="Calibri" w:hAnsi="Calibri" w:eastAsia="仿宋_GB2312"/>
    </w:rPr>
  </w:style>
  <w:style w:type="paragraph" w:customStyle="1" w:styleId="27">
    <w:name w:val="公文"/>
    <w:basedOn w:val="21"/>
    <w:link w:val="26"/>
    <w:qFormat/>
    <w:uiPriority w:val="0"/>
    <w:pPr>
      <w:numPr>
        <w:numId w:val="0"/>
      </w:numPr>
      <w:jc w:val="left"/>
    </w:pPr>
    <w:rPr>
      <w:b w:val="0"/>
      <w:sz w:val="20"/>
    </w:rPr>
  </w:style>
  <w:style w:type="paragraph" w:customStyle="1" w:styleId="28">
    <w:name w:val="正标题"/>
    <w:basedOn w:val="1"/>
    <w:qFormat/>
    <w:uiPriority w:val="0"/>
    <w:pPr>
      <w:ind w:left="-160" w:leftChars="-50" w:right="-160" w:rightChars="-50"/>
      <w:jc w:val="center"/>
    </w:pPr>
    <w:rPr>
      <w:rFonts w:eastAsia="方正小标宋简体"/>
      <w:sz w:val="44"/>
    </w:rPr>
  </w:style>
  <w:style w:type="paragraph" w:customStyle="1" w:styleId="29">
    <w:name w:val="列出段落1"/>
    <w:basedOn w:val="1"/>
    <w:qFormat/>
    <w:uiPriority w:val="0"/>
    <w:pPr>
      <w:ind w:firstLine="420" w:firstLineChars="200"/>
    </w:pPr>
    <w:rPr>
      <w:rFonts w:ascii="Times New Roman" w:hAnsi="Times New Roman" w:eastAsia="宋体"/>
      <w:sz w:val="21"/>
      <w:szCs w:val="21"/>
    </w:rPr>
  </w:style>
  <w:style w:type="paragraph" w:customStyle="1" w:styleId="30">
    <w:name w:val="二级标题"/>
    <w:basedOn w:val="1"/>
    <w:qFormat/>
    <w:uiPriority w:val="0"/>
    <w:pPr>
      <w:numPr>
        <w:ilvl w:val="0"/>
        <w:numId w:val="2"/>
      </w:numPr>
      <w:ind w:firstLine="880" w:firstLineChars="200"/>
      <w:jc w:val="left"/>
    </w:pPr>
    <w:rPr>
      <w:rFonts w:eastAsia="楷体_GB2312"/>
      <w:b/>
    </w:rPr>
  </w:style>
  <w:style w:type="paragraph" w:customStyle="1" w:styleId="31">
    <w:name w:val="Char Char3 Char Char Char Char Char Char Char Char"/>
    <w:basedOn w:val="1"/>
    <w:next w:val="1"/>
    <w:qFormat/>
    <w:uiPriority w:val="0"/>
    <w:pPr>
      <w:spacing w:line="240" w:lineRule="atLeast"/>
      <w:ind w:left="420" w:firstLine="420"/>
      <w:jc w:val="left"/>
    </w:pPr>
    <w:rPr>
      <w:rFonts w:ascii="Times New Roman" w:hAnsi="Times New Roman" w:eastAsia="宋体"/>
      <w:kern w:val="0"/>
      <w:sz w:val="21"/>
      <w:szCs w:val="21"/>
    </w:rPr>
  </w:style>
  <w:style w:type="paragraph" w:customStyle="1" w:styleId="32">
    <w:name w:val="Char Char Char Char Char Char Char Char Char Char Char Char Char Char Char Char Char Char Char"/>
    <w:basedOn w:val="1"/>
    <w:qFormat/>
    <w:uiPriority w:val="0"/>
    <w:pPr>
      <w:tabs>
        <w:tab w:val="left" w:pos="907"/>
      </w:tabs>
      <w:ind w:firstLine="400"/>
    </w:pPr>
    <w:rPr>
      <w:rFonts w:ascii="Times New Roman" w:hAnsi="Times New Roman" w:eastAsia="宋体"/>
      <w:sz w:val="24"/>
      <w:szCs w:val="24"/>
    </w:rPr>
  </w:style>
  <w:style w:type="paragraph" w:customStyle="1" w:styleId="33">
    <w:name w:val="正文文本缩进1"/>
    <w:basedOn w:val="1"/>
    <w:qFormat/>
    <w:uiPriority w:val="0"/>
    <w:pPr>
      <w:ind w:left="420" w:leftChars="200"/>
    </w:pPr>
    <w:rPr>
      <w:rFonts w:ascii="Times New Roman" w:hAnsi="Times New Roman" w:eastAsia="宋体"/>
    </w:rPr>
  </w:style>
  <w:style w:type="paragraph" w:customStyle="1" w:styleId="34">
    <w:name w:val="Char Char1 Char Char Char Char Char Char Char Char"/>
    <w:basedOn w:val="1"/>
    <w:next w:val="1"/>
    <w:qFormat/>
    <w:uiPriority w:val="0"/>
    <w:pPr>
      <w:spacing w:line="240" w:lineRule="atLeast"/>
      <w:ind w:left="420" w:firstLine="420"/>
      <w:jc w:val="left"/>
    </w:pPr>
    <w:rPr>
      <w:rFonts w:ascii="Times New Roman" w:hAnsi="Times New Roman" w:eastAsia="宋体"/>
      <w:kern w:val="0"/>
      <w:sz w:val="21"/>
      <w:szCs w:val="21"/>
    </w:rPr>
  </w:style>
  <w:style w:type="paragraph" w:customStyle="1" w:styleId="35">
    <w:name w:val="正文首行缩进 21"/>
    <w:basedOn w:val="33"/>
    <w:qFormat/>
    <w:uiPriority w:val="0"/>
    <w:pPr>
      <w:ind w:firstLine="420" w:firstLineChars="200"/>
    </w:pPr>
    <w:rPr>
      <w:rFonts w:ascii="Calibri" w:hAnsi="Calibri"/>
    </w:rPr>
  </w:style>
  <w:style w:type="paragraph" w:customStyle="1" w:styleId="36">
    <w:name w:val="一级标题"/>
    <w:basedOn w:val="1"/>
    <w:qFormat/>
    <w:uiPriority w:val="0"/>
    <w:pPr>
      <w:numPr>
        <w:ilvl w:val="0"/>
        <w:numId w:val="3"/>
      </w:numPr>
      <w:ind w:firstLine="880" w:firstLineChars="200"/>
      <w:jc w:val="left"/>
    </w:pPr>
    <w:rPr>
      <w:rFonts w:eastAsia="黑体"/>
    </w:rPr>
  </w:style>
  <w:style w:type="character" w:customStyle="1" w:styleId="37">
    <w:name w:val="标题 2 Char"/>
    <w:basedOn w:val="13"/>
    <w:link w:val="3"/>
    <w:qFormat/>
    <w:uiPriority w:val="9"/>
    <w:rPr>
      <w:rFonts w:ascii="Arial" w:hAnsi="Arial" w:eastAsia="楷体_GB2312"/>
      <w:b/>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F:\&#20915;&#31639;&#32479;&#35745;&#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F:\&#20915;&#31639;&#32479;&#35745;&#34920;.xls"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F:\&#20915;&#31639;&#32479;&#35745;&#34920;.xls"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F:\&#20915;&#31639;&#32479;&#35745;&#34920;.xls"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F:\&#20915;&#31639;&#32479;&#35745;&#34920;.xls"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F:\&#20915;&#31639;&#32479;&#35745;&#34920;.xls"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F:\&#20915;&#31639;&#32479;&#35745;&#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barChart>
        <c:barDir val="col"/>
        <c:grouping val="clustered"/>
        <c:varyColors val="false"/>
        <c:ser>
          <c:idx val="0"/>
          <c:order val="0"/>
          <c:tx>
            <c:strRef>
              <c:f>[决算统计表.xls]Sheet1!$P$1</c:f>
              <c:strCache>
                <c:ptCount val="1"/>
                <c:pt idx="0">
                  <c:v>收、支决算总计变动情况图</c:v>
                </c:pt>
              </c:strCache>
            </c:strRef>
          </c:tx>
          <c:spPr>
            <a:solidFill>
              <a:schemeClr val="accent1"/>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f>[决算统计表.xls]Sheet1!$O$2:$O$3</c:f>
              <c:numCache>
                <c:formatCode>General</c:formatCode>
                <c:ptCount val="2"/>
                <c:pt idx="0">
                  <c:v>2022</c:v>
                </c:pt>
                <c:pt idx="1">
                  <c:v>2021</c:v>
                </c:pt>
              </c:numCache>
            </c:numRef>
          </c:cat>
          <c:val>
            <c:numRef>
              <c:f>[决算统计表.xls]Sheet1!$P$2:$P$3</c:f>
              <c:numCache>
                <c:formatCode>General</c:formatCode>
                <c:ptCount val="2"/>
                <c:pt idx="0">
                  <c:v>2529.15</c:v>
                </c:pt>
                <c:pt idx="1">
                  <c:v>3442.12</c:v>
                </c:pt>
              </c:numCache>
            </c:numRef>
          </c:val>
        </c:ser>
        <c:dLbls>
          <c:showLegendKey val="false"/>
          <c:showVal val="true"/>
          <c:showCatName val="false"/>
          <c:showSerName val="false"/>
          <c:showPercent val="false"/>
          <c:showBubbleSize val="false"/>
        </c:dLbls>
        <c:gapWidth val="219"/>
        <c:overlap val="-27"/>
        <c:axId val="397824207"/>
        <c:axId val="746619619"/>
      </c:barChart>
      <c:catAx>
        <c:axId val="397824207"/>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746619619"/>
        <c:crosses val="autoZero"/>
        <c:auto val="true"/>
        <c:lblAlgn val="ctr"/>
        <c:lblOffset val="100"/>
        <c:noMultiLvlLbl val="false"/>
      </c:catAx>
      <c:valAx>
        <c:axId val="746619619"/>
        <c:scaling>
          <c:orientation val="minMax"/>
        </c:scaling>
        <c:delete val="false"/>
        <c:axPos val="l"/>
        <c:majorGridlines>
          <c:spPr>
            <a:ln w="9525" cap="flat" cmpd="sng" algn="ctr">
              <a:solidFill>
                <a:schemeClr val="tx1">
                  <a:lumMod val="15000"/>
                  <a:lumOff val="85000"/>
                </a:schemeClr>
              </a:solidFill>
              <a:round/>
            </a:ln>
            <a:effectLst/>
          </c:spPr>
        </c:majorGridlines>
        <c:numFmt formatCode="General" sourceLinked="true"/>
        <c:majorTickMark val="none"/>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397824207"/>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pieChart>
        <c:varyColors val="true"/>
        <c:ser>
          <c:idx val="0"/>
          <c:order val="0"/>
          <c:tx>
            <c:strRef>
              <c:f>[决算统计表.xls]Sheet1!$B$32</c:f>
              <c:strCache>
                <c:ptCount val="1"/>
                <c:pt idx="0">
                  <c:v>收入决算结构图</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Pt>
            <c:idx val="4"/>
            <c:bubble3D val="false"/>
            <c:spPr>
              <a:solidFill>
                <a:schemeClr val="accent5"/>
              </a:solidFill>
              <a:ln w="19050">
                <a:solidFill>
                  <a:schemeClr val="lt1"/>
                </a:solidFill>
              </a:ln>
              <a:effectLst/>
            </c:spPr>
          </c:dPt>
          <c:dPt>
            <c:idx val="5"/>
            <c:bubble3D val="false"/>
            <c:spPr>
              <a:solidFill>
                <a:schemeClr val="accent6"/>
              </a:solidFill>
              <a:ln w="19050">
                <a:solidFill>
                  <a:schemeClr val="lt1"/>
                </a:solidFill>
              </a:ln>
              <a:effectLst/>
            </c:spPr>
          </c:dPt>
          <c:dPt>
            <c:idx val="6"/>
            <c:bubble3D val="false"/>
            <c:spPr>
              <a:solidFill>
                <a:schemeClr val="accent1">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[决算统计表.xls]Sheet1!$A$33:$A$39</c:f>
              <c:strCache>
                <c:ptCount val="7"/>
                <c:pt idx="0">
                  <c:v>一般公共预算财政拨款</c:v>
                </c:pt>
                <c:pt idx="1">
                  <c:v>府性基金预算财政拨款</c:v>
                </c:pt>
                <c:pt idx="2">
                  <c:v>国有资本经营预算财政拨款</c:v>
                </c:pt>
                <c:pt idx="3">
                  <c:v>事业收入</c:v>
                </c:pt>
                <c:pt idx="4">
                  <c:v>经营收入</c:v>
                </c:pt>
                <c:pt idx="5">
                  <c:v>附属单位上缴收入</c:v>
                </c:pt>
                <c:pt idx="6">
                  <c:v>其他收入</c:v>
                </c:pt>
              </c:strCache>
            </c:strRef>
          </c:cat>
          <c:val>
            <c:numRef>
              <c:f>[决算统计表.xls]Sheet1!$B$33:$B$39</c:f>
              <c:numCache>
                <c:formatCode>General</c:formatCode>
                <c:ptCount val="7"/>
                <c:pt idx="0">
                  <c:v>1936.86</c:v>
                </c:pt>
                <c:pt idx="1">
                  <c:v>0</c:v>
                </c:pt>
                <c:pt idx="2">
                  <c:v>0</c:v>
                </c:pt>
                <c:pt idx="3">
                  <c:v>0</c:v>
                </c:pt>
                <c:pt idx="4">
                  <c:v>0</c:v>
                </c:pt>
                <c:pt idx="5">
                  <c:v>0</c:v>
                </c:pt>
                <c:pt idx="6">
                  <c:v>592.29</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pieChart>
        <c:varyColors val="true"/>
        <c:ser>
          <c:idx val="0"/>
          <c:order val="0"/>
          <c:tx>
            <c:strRef>
              <c:f>[决算统计表.xls]Sheet1!$F$25</c:f>
              <c:strCache>
                <c:ptCount val="1"/>
                <c:pt idx="0">
                  <c:v>支出决算结构图</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[决算统计表.xls]Sheet1!$E$26:$E$27</c:f>
              <c:strCache>
                <c:ptCount val="2"/>
                <c:pt idx="0">
                  <c:v>基本支出</c:v>
                </c:pt>
                <c:pt idx="1">
                  <c:v>项目支出</c:v>
                </c:pt>
              </c:strCache>
            </c:strRef>
          </c:cat>
          <c:val>
            <c:numRef>
              <c:f>[决算统计表.xls]Sheet1!$F$26:$F$27</c:f>
              <c:numCache>
                <c:formatCode>General</c:formatCode>
                <c:ptCount val="2"/>
                <c:pt idx="0">
                  <c:v>2095.68</c:v>
                </c:pt>
                <c:pt idx="1">
                  <c:v>433.47</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财政拨款收、支决算总计变动情况</a:t>
            </a:r>
          </a:p>
        </c:rich>
      </c:tx>
      <c:layout>
        <c:manualLayout>
          <c:xMode val="edge"/>
          <c:yMode val="edge"/>
          <c:x val="0.189847009735744"/>
          <c:y val="0.0233796296296296"/>
        </c:manualLayout>
      </c:layout>
      <c:overlay val="false"/>
      <c:spPr>
        <a:noFill/>
        <a:ln>
          <a:noFill/>
        </a:ln>
        <a:effectLst/>
      </c:spPr>
    </c:title>
    <c:autoTitleDeleted val="false"/>
    <c:plotArea>
      <c:layout/>
      <c:barChart>
        <c:barDir val="col"/>
        <c:grouping val="clustered"/>
        <c:varyColors val="false"/>
        <c:ser>
          <c:idx val="0"/>
          <c:order val="0"/>
          <c:tx>
            <c:strRef>
              <c:f>[决算统计表.xls]Sheet1!$A$2</c:f>
              <c:strCache>
                <c:ptCount val="1"/>
                <c:pt idx="0">
                  <c:v>2021</c:v>
                </c:pt>
              </c:strCache>
            </c:strRef>
          </c:tx>
          <c:spPr>
            <a:solidFill>
              <a:schemeClr val="accent1"/>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[决算统计表.xls]Sheet1!$B$1:$C$1</c:f>
              <c:strCache>
                <c:ptCount val="2"/>
                <c:pt idx="0">
                  <c:v>财政拨款收入</c:v>
                </c:pt>
                <c:pt idx="1">
                  <c:v>财政拨款支出</c:v>
                </c:pt>
              </c:strCache>
            </c:strRef>
          </c:cat>
          <c:val>
            <c:numRef>
              <c:f>[决算统计表.xls]Sheet1!$B$2:$C$2</c:f>
              <c:numCache>
                <c:formatCode>General</c:formatCode>
                <c:ptCount val="2"/>
                <c:pt idx="0">
                  <c:v>3415.89</c:v>
                </c:pt>
                <c:pt idx="1">
                  <c:v>3415.89</c:v>
                </c:pt>
              </c:numCache>
            </c:numRef>
          </c:val>
        </c:ser>
        <c:ser>
          <c:idx val="1"/>
          <c:order val="1"/>
          <c:tx>
            <c:strRef>
              <c:f>[决算统计表.xls]Sheet1!$A$3</c:f>
              <c:strCache>
                <c:ptCount val="1"/>
                <c:pt idx="0">
                  <c:v>2022</c:v>
                </c:pt>
              </c:strCache>
            </c:strRef>
          </c:tx>
          <c:spPr>
            <a:solidFill>
              <a:schemeClr val="accent2"/>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[决算统计表.xls]Sheet1!$B$1:$C$1</c:f>
              <c:strCache>
                <c:ptCount val="2"/>
                <c:pt idx="0">
                  <c:v>财政拨款收入</c:v>
                </c:pt>
                <c:pt idx="1">
                  <c:v>财政拨款支出</c:v>
                </c:pt>
              </c:strCache>
            </c:strRef>
          </c:cat>
          <c:val>
            <c:numRef>
              <c:f>[决算统计表.xls]Sheet1!$B$3:$C$3</c:f>
              <c:numCache>
                <c:formatCode>General</c:formatCode>
                <c:ptCount val="2"/>
                <c:pt idx="0">
                  <c:v>1936.86</c:v>
                </c:pt>
                <c:pt idx="1">
                  <c:v>1936.86</c:v>
                </c:pt>
              </c:numCache>
            </c:numRef>
          </c:val>
        </c:ser>
        <c:dLbls>
          <c:showLegendKey val="false"/>
          <c:showVal val="true"/>
          <c:showCatName val="false"/>
          <c:showSerName val="false"/>
          <c:showPercent val="false"/>
          <c:showBubbleSize val="false"/>
        </c:dLbls>
        <c:gapWidth val="219"/>
        <c:overlap val="-27"/>
        <c:axId val="691196213"/>
        <c:axId val="454794739"/>
      </c:barChart>
      <c:catAx>
        <c:axId val="691196213"/>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54794739"/>
        <c:crosses val="autoZero"/>
        <c:auto val="true"/>
        <c:lblAlgn val="ctr"/>
        <c:lblOffset val="100"/>
        <c:noMultiLvlLbl val="false"/>
      </c:catAx>
      <c:valAx>
        <c:axId val="454794739"/>
        <c:scaling>
          <c:orientation val="minMax"/>
        </c:scaling>
        <c:delete val="false"/>
        <c:axPos val="l"/>
        <c:majorGridlines>
          <c:spPr>
            <a:ln w="9525" cap="flat" cmpd="sng" algn="ctr">
              <a:solidFill>
                <a:schemeClr val="tx1">
                  <a:lumMod val="15000"/>
                  <a:lumOff val="85000"/>
                </a:schemeClr>
              </a:solidFill>
              <a:round/>
            </a:ln>
            <a:effectLst/>
          </c:spPr>
        </c:majorGridlines>
        <c:numFmt formatCode="General" sourceLinked="true"/>
        <c:majorTickMark val="none"/>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691196213"/>
        <c:crosses val="autoZero"/>
        <c:crossBetween val="between"/>
      </c:valAx>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barChart>
        <c:barDir val="col"/>
        <c:grouping val="clustered"/>
        <c:varyColors val="false"/>
        <c:ser>
          <c:idx val="0"/>
          <c:order val="0"/>
          <c:tx>
            <c:strRef>
              <c:f>[决算统计表.xls]Sheet1!$E$15</c:f>
              <c:strCache>
                <c:ptCount val="1"/>
                <c:pt idx="0">
                  <c:v>一般公共预算财政拨款支出决算变动情况</c:v>
                </c:pt>
              </c:strCache>
            </c:strRef>
          </c:tx>
          <c:spPr>
            <a:solidFill>
              <a:schemeClr val="accent1"/>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f>[决算统计表.xls]Sheet1!$D$16:$D$17</c:f>
              <c:numCache>
                <c:formatCode>General</c:formatCode>
                <c:ptCount val="2"/>
                <c:pt idx="0">
                  <c:v>2021</c:v>
                </c:pt>
                <c:pt idx="1">
                  <c:v>2022</c:v>
                </c:pt>
              </c:numCache>
            </c:numRef>
          </c:cat>
          <c:val>
            <c:numRef>
              <c:f>[决算统计表.xls]Sheet1!$E$16:$E$17</c:f>
              <c:numCache>
                <c:formatCode>#,##0.00</c:formatCode>
                <c:ptCount val="2"/>
                <c:pt idx="0">
                  <c:v>3415.89</c:v>
                </c:pt>
                <c:pt idx="1" c:formatCode="General">
                  <c:v>1936.86</c:v>
                </c:pt>
              </c:numCache>
            </c:numRef>
          </c:val>
        </c:ser>
        <c:dLbls>
          <c:showLegendKey val="false"/>
          <c:showVal val="true"/>
          <c:showCatName val="false"/>
          <c:showSerName val="false"/>
          <c:showPercent val="false"/>
          <c:showBubbleSize val="false"/>
        </c:dLbls>
        <c:gapWidth val="219"/>
        <c:overlap val="-27"/>
        <c:axId val="956819810"/>
        <c:axId val="594934213"/>
      </c:barChart>
      <c:catAx>
        <c:axId val="956819810"/>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94934213"/>
        <c:crosses val="autoZero"/>
        <c:auto val="true"/>
        <c:lblAlgn val="ctr"/>
        <c:lblOffset val="100"/>
        <c:noMultiLvlLbl val="false"/>
      </c:catAx>
      <c:valAx>
        <c:axId val="594934213"/>
        <c:scaling>
          <c:orientation val="minMax"/>
        </c:scaling>
        <c:delete val="false"/>
        <c:axPos val="l"/>
        <c:majorGridlines>
          <c:spPr>
            <a:ln w="9525" cap="flat" cmpd="sng" algn="ctr">
              <a:solidFill>
                <a:schemeClr val="tx1">
                  <a:lumMod val="15000"/>
                  <a:lumOff val="85000"/>
                </a:schemeClr>
              </a:solidFill>
              <a:round/>
            </a:ln>
            <a:effectLst/>
          </c:spPr>
        </c:majorGridlines>
        <c:numFmt formatCode="#,##0.00" sourceLinked="true"/>
        <c:majorTickMark val="none"/>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956819810"/>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一般公共预算财政拨款支出决算结构</a:t>
            </a:r>
          </a:p>
        </c:rich>
      </c:tx>
      <c:layout/>
      <c:overlay val="false"/>
      <c:spPr>
        <a:noFill/>
        <a:ln>
          <a:noFill/>
        </a:ln>
        <a:effectLst/>
      </c:spPr>
    </c:title>
    <c:autoTitleDeleted val="false"/>
    <c:plotArea>
      <c:layout/>
      <c:pieChart>
        <c:varyColors val="true"/>
        <c:ser>
          <c:idx val="0"/>
          <c:order val="0"/>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[决算统计表.xls]Sheet1!$A$7:$A$10</c:f>
              <c:strCache>
                <c:ptCount val="4"/>
                <c:pt idx="0">
                  <c:v>公共安全支出</c:v>
                </c:pt>
                <c:pt idx="1">
                  <c:v>社会保障和就业支出</c:v>
                </c:pt>
                <c:pt idx="2">
                  <c:v>住房保障支出</c:v>
                </c:pt>
                <c:pt idx="3">
                  <c:v>卫生健康支出</c:v>
                </c:pt>
              </c:strCache>
            </c:strRef>
          </c:cat>
          <c:val>
            <c:numRef>
              <c:f>[决算统计表.xls]Sheet1!$B$7:$B$10</c:f>
              <c:numCache>
                <c:formatCode>General</c:formatCode>
                <c:ptCount val="4"/>
                <c:pt idx="0">
                  <c:v>1712.44</c:v>
                </c:pt>
                <c:pt idx="1">
                  <c:v>85.76</c:v>
                </c:pt>
                <c:pt idx="2">
                  <c:v>92.82</c:v>
                </c:pt>
                <c:pt idx="3">
                  <c:v>45.85</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pieChart>
        <c:varyColors val="true"/>
        <c:ser>
          <c:idx val="0"/>
          <c:order val="0"/>
          <c:tx>
            <c:strRef>
              <c:f>[决算统计表.xls]Sheet1!$H$6</c:f>
              <c:strCache>
                <c:ptCount val="1"/>
                <c:pt idx="0">
                  <c:v>三公经费</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[决算统计表.xls]Sheet1!$G$7:$G$9</c:f>
              <c:strCache>
                <c:ptCount val="3"/>
                <c:pt idx="0">
                  <c:v>因公出国（境）</c:v>
                </c:pt>
                <c:pt idx="1">
                  <c:v>公务接待费</c:v>
                </c:pt>
                <c:pt idx="2">
                  <c:v>公务用车购置及运行维护</c:v>
                </c:pt>
              </c:strCache>
            </c:strRef>
          </c:cat>
          <c:val>
            <c:numRef>
              <c:f>[决算统计表.xls]Sheet1!$H$7:$H$9</c:f>
              <c:numCache>
                <c:formatCode>General</c:formatCode>
                <c:ptCount val="3"/>
                <c:pt idx="0">
                  <c:v>0</c:v>
                </c:pt>
                <c:pt idx="1">
                  <c:v>1.59</c:v>
                </c:pt>
                <c:pt idx="2">
                  <c:v>34.33</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8255</Words>
  <Characters>9315</Characters>
  <Lines>31</Lines>
  <Paragraphs>23</Paragraphs>
  <TotalTime>30</TotalTime>
  <ScaleCrop>false</ScaleCrop>
  <LinksUpToDate>false</LinksUpToDate>
  <CharactersWithSpaces>9521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2022-10-17T09:46:00Z</dcterms:created>
  <dc:creator>Administrator</dc:creator>
  <cp:lastModifiedBy>user</cp:lastModifiedBy>
  <cp:lastPrinted>2021-08-02T14:18:00Z</cp:lastPrinted>
  <dcterms:modified xsi:type="dcterms:W3CDTF">2023-08-24T16:04:00Z</dcterms:modified>
  <dc:title>遂宁市财政局关于下达2016年</dc:title>
  <cp:revision>287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9C7D13D3862540759665769A0A22BDCC</vt:lpwstr>
  </property>
</Properties>
</file>