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山西</w:t>
      </w:r>
      <w:r>
        <w:rPr>
          <w:rFonts w:hint="eastAsia" w:ascii="方正小标宋简体" w:hAnsi="Times New Roman" w:eastAsia="方正小标宋简体"/>
          <w:bCs/>
          <w:sz w:val="44"/>
          <w:szCs w:val="44"/>
        </w:rPr>
        <w:t>省太原市中</w:t>
      </w:r>
      <w:r>
        <w:rPr>
          <w:rFonts w:hint="eastAsia" w:ascii="方正小标宋简体" w:hAnsi="Times New Roman" w:eastAsia="方正小标宋简体"/>
          <w:sz w:val="44"/>
          <w:szCs w:val="44"/>
        </w:rPr>
        <w:t>级人民法院</w:t>
      </w:r>
    </w:p>
    <w:p>
      <w:pPr>
        <w:spacing w:line="720" w:lineRule="exact"/>
        <w:contextualSpacing/>
        <w:jc w:val="center"/>
        <w:rPr>
          <w:rFonts w:ascii="方正小标宋简体" w:hAnsi="Times New Roman" w:eastAsia="方正小标宋简体"/>
          <w:sz w:val="52"/>
          <w:szCs w:val="44"/>
        </w:rPr>
      </w:pPr>
      <w:r>
        <w:rPr>
          <w:rFonts w:hint="eastAsia" w:ascii="方正小标宋简体" w:hAnsi="Times New Roman" w:eastAsia="方正小标宋简体"/>
          <w:spacing w:val="200"/>
          <w:sz w:val="52"/>
          <w:szCs w:val="44"/>
        </w:rPr>
        <w:t>刑事裁定</w:t>
      </w:r>
      <w:r>
        <w:rPr>
          <w:rFonts w:hint="eastAsia" w:ascii="方正小标宋简体" w:hAnsi="Times New Roman" w:eastAsia="方正小标宋简体"/>
          <w:sz w:val="52"/>
          <w:szCs w:val="44"/>
        </w:rPr>
        <w:t>书</w:t>
      </w:r>
    </w:p>
    <w:p>
      <w:pPr>
        <w:spacing w:line="500" w:lineRule="exact"/>
        <w:ind w:firstLine="640" w:firstLineChars="200"/>
        <w:contextualSpacing/>
        <w:rPr>
          <w:rFonts w:ascii="仿宋_GB2312" w:hAnsi="Times New Roman" w:eastAsia="仿宋_GB2312"/>
          <w:sz w:val="32"/>
          <w:szCs w:val="32"/>
        </w:rPr>
      </w:pPr>
    </w:p>
    <w:p>
      <w:pPr>
        <w:spacing w:line="500" w:lineRule="exact"/>
        <w:ind w:right="632" w:rightChars="301" w:firstLine="640" w:firstLineChars="200"/>
        <w:contextualSpacing/>
        <w:jc w:val="right"/>
        <w:rPr>
          <w:rFonts w:ascii="仿宋_GB2312" w:hAnsi="Times New Roman" w:eastAsia="仿宋_GB2312"/>
          <w:sz w:val="32"/>
          <w:szCs w:val="32"/>
        </w:rPr>
      </w:pPr>
      <w:r>
        <w:rPr>
          <w:rFonts w:hint="eastAsia" w:ascii="仿宋_GB2312" w:hAnsi="Times New Roman" w:eastAsia="仿宋_GB2312"/>
          <w:sz w:val="32"/>
          <w:szCs w:val="32"/>
        </w:rPr>
        <w:t>（2023）晋01刑更234号</w:t>
      </w:r>
    </w:p>
    <w:p>
      <w:pPr>
        <w:spacing w:line="440" w:lineRule="exact"/>
        <w:contextualSpacing/>
        <w:rPr>
          <w:rFonts w:ascii="仿宋_GB2312" w:hAnsi="方正仿宋_GBK" w:eastAsia="仿宋_GB2312" w:cs="方正仿宋_GBK"/>
          <w:sz w:val="32"/>
          <w:szCs w:val="32"/>
        </w:rPr>
      </w:pP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罪犯邓宇龙，男，2000年9月30日出生，汉族，山西省忻州市人，中专文化，原住址山西省忻州市忻府区奇村镇奇村4队606号。现在山西省太原第二监狱服刑。</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山西省忻州市忻府区人民法院于2019年9月24日作出（2019）晋0902刑初154号刑事判决书，以罪犯邓宇龙犯强迫卖淫罪判处有期徒刑六年，并处罚金人民币3000元。刑期起止日期：2018年12月21日至2024年11月12日止。执行机关山西省太原第二监狱提出假释建议，报送本院后，本院于2023年7月11日立案审理，并依法公示，公示期间没有收到异议。本院依法组成合议庭于2023年7月25日公开开庭进行了审理。山西省太原第二监狱刑罚执行科赵丽芳、雷雨飞，山西省太原西峪地区人民检察院张威、王铮出庭履行职务。本案现已审理终结。</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执行机关山西省太原第二监狱认定罪犯邓宇龙已执行原判刑期二分之一以上，在服刑改造期间，能够做到认罪悔罪，基本能够熟记《监狱服刑人员行为规范》，基本能够按规范约束自己的行为，养成较好的行为习惯，在假释考核期内无一次性扣分50分以上或累计扣分达到100分的情形，接受教育改造，积极参加思想、文化、职业技术教育；积极参加劳动，努力完成劳动任务。于2020年10月至2022年6月共获得监狱表扬四次，并有罪犯奖励审批表、罪犯评审鉴定表、“三课成绩单”、罪犯“确有悔改表现”情况说明及本人的认罪悔罪书予以证明。该犯经再犯罪危险评估，得分为28.1分，属于低风险级别；该犯居住地的社区矫正组织有监督管理条件，且该犯假释后生活确有着落。建议对罪犯邓宇龙予以假释。</w:t>
      </w:r>
    </w:p>
    <w:p>
      <w:pPr>
        <w:spacing w:line="460" w:lineRule="exact"/>
        <w:ind w:firstLine="640" w:firstLineChars="200"/>
        <w:contextualSpacing/>
        <w:rPr>
          <w:rFonts w:ascii="Times New Roman" w:hAnsi="Times New Roman" w:eastAsia="仿宋_GB2312"/>
          <w:color w:val="FF0000"/>
          <w:sz w:val="32"/>
          <w:szCs w:val="32"/>
        </w:rPr>
      </w:pPr>
      <w:r>
        <w:rPr>
          <w:rFonts w:hint="eastAsia" w:ascii="Times New Roman" w:hAnsi="Times New Roman" w:eastAsia="仿宋_GB2312"/>
          <w:sz w:val="32"/>
          <w:szCs w:val="32"/>
        </w:rPr>
        <w:t>监督机关山西省太原西峪地区人民检察院认为，经过庭审举证、质证，刑罚执行机关提交的证据来源合法、内容客观真实，能相互印证，且罪犯再犯罪危险评估属于低风险级别，</w:t>
      </w:r>
      <w:r>
        <w:rPr>
          <w:rFonts w:hint="eastAsia" w:ascii="Times New Roman" w:hAnsi="Times New Roman" w:eastAsia="仿宋_GB2312"/>
          <w:color w:val="000000" w:themeColor="text1"/>
          <w:sz w:val="32"/>
          <w:szCs w:val="32"/>
          <w14:textFill>
            <w14:solidFill>
              <w14:schemeClr w14:val="tx1"/>
            </w14:solidFill>
          </w14:textFill>
        </w:rPr>
        <w:t>山西省太原第二监狱所报假释程序符合相关法律规定，本院认为邓宇龙符合假释条件，</w:t>
      </w:r>
      <w:r>
        <w:rPr>
          <w:rFonts w:hint="eastAsia" w:ascii="Times New Roman" w:hAnsi="Times New Roman" w:eastAsia="仿宋_GB2312"/>
          <w:color w:val="000000" w:themeColor="text1"/>
          <w:sz w:val="32"/>
          <w:szCs w:val="32"/>
          <w:lang w:eastAsia="zh-CN"/>
          <w14:textFill>
            <w14:solidFill>
              <w14:schemeClr w14:val="tx1"/>
            </w14:solidFill>
          </w14:textFill>
        </w:rPr>
        <w:t>同意予以假释</w:t>
      </w:r>
      <w:r>
        <w:rPr>
          <w:rFonts w:hint="eastAsia" w:ascii="Times New Roman" w:hAnsi="Times New Roman" w:eastAsia="仿宋_GB2312"/>
          <w:color w:val="000000" w:themeColor="text1"/>
          <w:sz w:val="32"/>
          <w:szCs w:val="32"/>
          <w14:textFill>
            <w14:solidFill>
              <w14:schemeClr w14:val="tx1"/>
            </w14:solidFill>
          </w14:textFill>
        </w:rPr>
        <w:t>。</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经审理查明，</w:t>
      </w:r>
      <w:r>
        <w:rPr>
          <w:rFonts w:hint="eastAsia" w:ascii="Times New Roman" w:hAnsi="Times New Roman" w:eastAsia="仿宋_GB2312"/>
          <w:sz w:val="32"/>
          <w:szCs w:val="32"/>
        </w:rPr>
        <w:t>罪犯邓宇龙已执行原判刑期二分之一以上。</w:t>
      </w:r>
      <w:r>
        <w:rPr>
          <w:rFonts w:ascii="Times New Roman" w:hAnsi="Times New Roman" w:eastAsia="仿宋_GB2312"/>
          <w:sz w:val="32"/>
          <w:szCs w:val="32"/>
        </w:rPr>
        <w:t>在服刑期间</w:t>
      </w:r>
      <w:r>
        <w:rPr>
          <w:rFonts w:hint="eastAsia" w:ascii="Times New Roman" w:hAnsi="Times New Roman" w:eastAsia="仿宋_GB2312"/>
          <w:sz w:val="32"/>
          <w:szCs w:val="32"/>
        </w:rPr>
        <w:t>能</w:t>
      </w:r>
      <w:r>
        <w:rPr>
          <w:rFonts w:ascii="Times New Roman" w:hAnsi="Times New Roman" w:eastAsia="仿宋_GB2312"/>
          <w:sz w:val="32"/>
          <w:szCs w:val="32"/>
        </w:rPr>
        <w:t>认罪悔罪，</w:t>
      </w:r>
      <w:r>
        <w:rPr>
          <w:rFonts w:hint="eastAsia" w:ascii="Times New Roman" w:hAnsi="Times New Roman" w:eastAsia="仿宋_GB2312"/>
          <w:sz w:val="32"/>
          <w:szCs w:val="32"/>
        </w:rPr>
        <w:t>接受教育改造；遵守法律法规及监规，无违规扣分情况；积极参加思想、文化、职业技术教育；积极参加劳动，努力完成劳动任务。于2020年10月至2022年6月共获得监狱表扬四次，罚金3000元已全部缴纳。再犯罪危险评估分值为28.1分，属于低风险级别。忻州市忻府区社区矫正管理局</w:t>
      </w:r>
      <w:r>
        <w:rPr>
          <w:rFonts w:ascii="Times New Roman" w:hAnsi="Times New Roman" w:eastAsia="仿宋_GB2312"/>
          <w:sz w:val="32"/>
          <w:szCs w:val="32"/>
        </w:rPr>
        <w:t>对</w:t>
      </w:r>
      <w:r>
        <w:rPr>
          <w:rFonts w:hint="eastAsia" w:ascii="Times New Roman" w:hAnsi="Times New Roman" w:eastAsia="仿宋_GB2312"/>
          <w:sz w:val="32"/>
          <w:szCs w:val="32"/>
        </w:rPr>
        <w:t>邓宇龙</w:t>
      </w:r>
      <w:r>
        <w:rPr>
          <w:rFonts w:ascii="Times New Roman" w:hAnsi="Times New Roman" w:eastAsia="仿宋_GB2312"/>
          <w:sz w:val="32"/>
          <w:szCs w:val="32"/>
        </w:rPr>
        <w:t>假释后居住社区影响调查评估，认为可适用社区矫正。执行机关出具的提请假释建议书、罪犯奖惩审批表、罪犯评审鉴定表、当地司法机关出具的调查评估意见书等均有证据证实，本院予以确认。</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本院认为，罪犯</w:t>
      </w:r>
      <w:r>
        <w:rPr>
          <w:rFonts w:hint="eastAsia" w:ascii="Times New Roman" w:hAnsi="Times New Roman" w:eastAsia="仿宋_GB2312"/>
          <w:sz w:val="32"/>
          <w:szCs w:val="32"/>
        </w:rPr>
        <w:t>邓宇龙</w:t>
      </w:r>
      <w:r>
        <w:rPr>
          <w:rFonts w:ascii="Times New Roman" w:hAnsi="Times New Roman" w:eastAsia="仿宋_GB2312"/>
          <w:sz w:val="32"/>
          <w:szCs w:val="32"/>
        </w:rPr>
        <w:t>在服刑期间，</w:t>
      </w:r>
      <w:r>
        <w:rPr>
          <w:rFonts w:hint="eastAsia" w:ascii="Times New Roman" w:hAnsi="Times New Roman" w:eastAsia="仿宋_GB2312"/>
          <w:sz w:val="32"/>
          <w:szCs w:val="32"/>
        </w:rPr>
        <w:t>能认真遵守监规，接受教育改造，履行财产性判项，确有悔改表现，结合其犯罪性质、情节等，依法可以认定其没有再犯罪危险，其已执行刑期符合假释要求，没有法定不能假释情形，可以予以假释。对执行机关的假释建议及监督机关的意见，本院予以采纳。</w:t>
      </w:r>
      <w:r>
        <w:rPr>
          <w:rFonts w:ascii="Times New Roman" w:hAnsi="Times New Roman" w:eastAsia="仿宋_GB2312"/>
          <w:sz w:val="32"/>
          <w:szCs w:val="32"/>
        </w:rPr>
        <w:t>依照《中华人民共和国刑法》第八十一条第一款、第八十二条、第八十三条，《中华人民共和国刑事诉讼法》第二百七十三条第二款</w:t>
      </w:r>
      <w:r>
        <w:rPr>
          <w:rFonts w:hint="eastAsia" w:ascii="Times New Roman" w:hAnsi="Times New Roman" w:eastAsia="仿宋_GB2312"/>
          <w:sz w:val="32"/>
          <w:szCs w:val="32"/>
        </w:rPr>
        <w:t>和</w:t>
      </w:r>
      <w:r>
        <w:rPr>
          <w:rFonts w:ascii="Times New Roman" w:hAnsi="Times New Roman" w:eastAsia="仿宋_GB2312"/>
          <w:sz w:val="32"/>
          <w:szCs w:val="32"/>
        </w:rPr>
        <w:t>最高人民法院《关于减刑、假释案件审理程序的规定》第五条第一款</w:t>
      </w:r>
      <w:r>
        <w:rPr>
          <w:rFonts w:hint="eastAsia" w:ascii="Times New Roman" w:hAnsi="Times New Roman" w:eastAsia="仿宋_GB2312"/>
          <w:sz w:val="32"/>
          <w:szCs w:val="32"/>
        </w:rPr>
        <w:t>、第二款，第十六条第一款（第一）项</w:t>
      </w:r>
      <w:r>
        <w:rPr>
          <w:rFonts w:ascii="Times New Roman" w:hAnsi="Times New Roman" w:eastAsia="仿宋_GB2312"/>
          <w:sz w:val="32"/>
          <w:szCs w:val="32"/>
        </w:rPr>
        <w:t>之规定，裁定如下：</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对罪</w:t>
      </w:r>
      <w:r>
        <w:rPr>
          <w:rFonts w:hint="eastAsia" w:ascii="Times New Roman" w:hAnsi="Times New Roman" w:eastAsia="仿宋_GB2312"/>
          <w:sz w:val="32"/>
          <w:szCs w:val="32"/>
        </w:rPr>
        <w:t>犯</w:t>
      </w:r>
      <w:bookmarkStart w:id="0" w:name="_GoBack"/>
      <w:r>
        <w:rPr>
          <w:rFonts w:hint="eastAsia" w:ascii="Times New Roman" w:hAnsi="Times New Roman" w:eastAsia="仿宋_GB2312"/>
          <w:sz w:val="32"/>
          <w:szCs w:val="32"/>
        </w:rPr>
        <w:t>邓宇龙</w:t>
      </w:r>
      <w:bookmarkEnd w:id="0"/>
      <w:r>
        <w:rPr>
          <w:rFonts w:ascii="Times New Roman" w:hAnsi="Times New Roman" w:eastAsia="仿宋_GB2312"/>
          <w:sz w:val="32"/>
          <w:szCs w:val="32"/>
        </w:rPr>
        <w:t>予以假释。(假释考验期限从假释之日起计算至202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11</w:t>
      </w:r>
      <w:r>
        <w:rPr>
          <w:rFonts w:ascii="Times New Roman" w:hAnsi="Times New Roman" w:eastAsia="仿宋_GB2312"/>
          <w:sz w:val="32"/>
          <w:szCs w:val="32"/>
        </w:rPr>
        <w:t>月</w:t>
      </w:r>
      <w:r>
        <w:rPr>
          <w:rFonts w:hint="eastAsia" w:ascii="Times New Roman" w:hAnsi="Times New Roman" w:eastAsia="仿宋_GB2312"/>
          <w:sz w:val="32"/>
          <w:szCs w:val="32"/>
        </w:rPr>
        <w:t>12</w:t>
      </w:r>
      <w:r>
        <w:rPr>
          <w:rFonts w:ascii="Times New Roman" w:hAnsi="Times New Roman" w:eastAsia="仿宋_GB2312"/>
          <w:sz w:val="32"/>
          <w:szCs w:val="32"/>
        </w:rPr>
        <w:t>日止。)</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本裁定送达后即发生法律效力。</w:t>
      </w:r>
    </w:p>
    <w:p>
      <w:pPr>
        <w:spacing w:line="460" w:lineRule="exact"/>
        <w:ind w:firstLine="640" w:firstLineChars="200"/>
        <w:contextualSpacing/>
        <w:rPr>
          <w:rFonts w:ascii="Times New Roman" w:hAnsi="Times New Roman" w:eastAsia="仿宋_GB2312"/>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长      李志斌</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张永明</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张榕麟</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color w:val="auto"/>
          <w:sz w:val="32"/>
          <w:szCs w:val="32"/>
        </w:rPr>
      </w:pPr>
      <w:r>
        <w:rPr>
          <w:rFonts w:hint="eastAsia" w:ascii="仿宋_GB2312" w:hAnsi="方正仿宋_GBK" w:eastAsia="仿宋_GB2312" w:cs="方正仿宋_GBK"/>
          <w:sz w:val="32"/>
          <w:szCs w:val="32"/>
        </w:rPr>
        <w:t>二</w:t>
      </w:r>
      <w:r>
        <w:rPr>
          <w:rFonts w:hint="eastAsia" w:ascii="仿宋_GB2312" w:hAnsi="方正仿宋_GBK" w:eastAsia="方正仿宋_GBK" w:cs="方正仿宋_GBK"/>
          <w:sz w:val="32"/>
          <w:szCs w:val="32"/>
        </w:rPr>
        <w:t>〇</w:t>
      </w:r>
      <w:r>
        <w:rPr>
          <w:rFonts w:hint="eastAsia" w:ascii="仿宋_GB2312" w:hAnsi="方正仿宋_GBK" w:eastAsia="仿宋_GB2312" w:cs="方正仿宋_GBK"/>
          <w:sz w:val="32"/>
          <w:szCs w:val="32"/>
        </w:rPr>
        <w:t>二三</w:t>
      </w:r>
      <w:r>
        <w:rPr>
          <w:rFonts w:hint="eastAsia" w:ascii="仿宋_GB2312" w:hAnsi="方正仿宋_GBK" w:eastAsia="仿宋_GB2312" w:cs="方正仿宋_GBK"/>
          <w:color w:val="auto"/>
          <w:sz w:val="32"/>
          <w:szCs w:val="32"/>
        </w:rPr>
        <w:t>年八月三日</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法  官  助  理      王晓璀</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书    记    员      荣  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3C4D1A38"/>
    <w:rsid w:val="23F379D4"/>
    <w:rsid w:val="3C4D1A38"/>
    <w:rsid w:val="50131BB5"/>
    <w:rsid w:val="58897378"/>
    <w:rsid w:val="59192390"/>
    <w:rsid w:val="6CFF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1378</Words>
  <Characters>1449</Characters>
  <Lines>0</Lines>
  <Paragraphs>0</Paragraphs>
  <TotalTime>0</TotalTime>
  <ScaleCrop>false</ScaleCrop>
  <LinksUpToDate>false</LinksUpToDate>
  <CharactersWithSpaces>1520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2023-08-23T04:54:00Z</dcterms:created>
  <dc:creator>Administrator</dc:creator>
  <cp:lastModifiedBy>Administrator</cp:lastModifiedBy>
  <dcterms:modified xsi:type="dcterms:W3CDTF">2023-08-23T05:00:16Z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D4913686A2BC4E1E8036B00036AE25DC</vt:lpwstr>
  </property>
</Properties>
</file>