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山西省太原市中级人民法院</w:t>
      </w:r>
    </w:p>
    <w:p>
      <w:pPr>
        <w:spacing w:line="720" w:lineRule="exact"/>
        <w:ind w:right="-485" w:rightChars="-244"/>
        <w:jc w:val="center"/>
        <w:rPr>
          <w:rFonts w:ascii="方正小标宋简体" w:hAnsi="Arial Unicode MS" w:eastAsia="方正小标宋简体" w:cs="Arial Unicode MS"/>
          <w:bCs/>
          <w:snapToGrid w:val="0"/>
          <w:color w:val="000000" w:themeColor="text1"/>
          <w:spacing w:val="200"/>
          <w:kern w:val="0"/>
          <w:sz w:val="52"/>
          <w:szCs w:val="52"/>
          <w14:textFill>
            <w14:solidFill>
              <w14:schemeClr w14:val="tx1"/>
            </w14:solidFill>
          </w14:textFill>
        </w:rPr>
      </w:pPr>
      <w:r>
        <w:rPr>
          <w:rFonts w:hint="eastAsia" w:ascii="方正小标宋简体" w:hAnsi="宋体" w:eastAsia="方正小标宋简体"/>
          <w:bCs/>
          <w:snapToGrid w:val="0"/>
          <w:color w:val="000000" w:themeColor="text1"/>
          <w:spacing w:val="200"/>
          <w:kern w:val="0"/>
          <w:sz w:val="52"/>
          <w:szCs w:val="52"/>
          <w14:textFill>
            <w14:solidFill>
              <w14:schemeClr w14:val="tx1"/>
            </w14:solidFill>
          </w14:textFill>
        </w:rPr>
        <w:t>刑事裁定书</w:t>
      </w:r>
    </w:p>
    <w:p>
      <w:pPr>
        <w:spacing w:line="440" w:lineRule="exact"/>
        <w:ind w:firstLine="538" w:firstLineChars="200"/>
        <w:jc w:val="right"/>
        <w:rPr>
          <w:rFonts w:ascii="Arial Unicode MS" w:hAnsi="Arial Unicode MS" w:eastAsia="Arial Unicode MS" w:cs="Arial Unicode MS"/>
          <w:color w:val="000000" w:themeColor="text1"/>
          <w:sz w:val="28"/>
          <w:szCs w:val="28"/>
          <w14:textFill>
            <w14:solidFill>
              <w14:schemeClr w14:val="tx1"/>
            </w14:solidFill>
          </w14:textFill>
        </w:rPr>
      </w:pPr>
    </w:p>
    <w:p>
      <w:pPr>
        <w:spacing w:line="440" w:lineRule="exact"/>
        <w:ind w:right="509" w:rightChars="256" w:firstLine="538" w:firstLineChars="200"/>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3）晋</w:t>
      </w:r>
      <w:r>
        <w:rPr>
          <w:rFonts w:eastAsia="仿宋_GB2312"/>
          <w:color w:val="000000" w:themeColor="text1"/>
          <w:sz w:val="28"/>
          <w:szCs w:val="28"/>
          <w14:textFill>
            <w14:solidFill>
              <w14:schemeClr w14:val="tx1"/>
            </w14:solidFill>
          </w14:textFill>
        </w:rPr>
        <w:t>01</w:t>
      </w:r>
      <w:r>
        <w:rPr>
          <w:rFonts w:hint="eastAsia" w:eastAsia="仿宋_GB2312"/>
          <w:color w:val="000000" w:themeColor="text1"/>
          <w:sz w:val="28"/>
          <w:szCs w:val="28"/>
          <w14:textFill>
            <w14:solidFill>
              <w14:schemeClr w14:val="tx1"/>
            </w14:solidFill>
          </w14:textFill>
        </w:rPr>
        <w:t>刑更161号</w:t>
      </w:r>
    </w:p>
    <w:p>
      <w:pPr>
        <w:spacing w:line="440" w:lineRule="exact"/>
        <w:ind w:firstLine="538" w:firstLineChars="200"/>
        <w:jc w:val="right"/>
        <w:rPr>
          <w:rFonts w:ascii="Arial Unicode MS" w:hAnsi="Arial Unicode MS" w:eastAsia="Arial Unicode MS" w:cs="Arial Unicode MS"/>
          <w:color w:val="000000" w:themeColor="text1"/>
          <w:sz w:val="28"/>
          <w:szCs w:val="28"/>
          <w14:textFill>
            <w14:solidFill>
              <w14:schemeClr w14:val="tx1"/>
            </w14:solidFill>
          </w14:textFill>
        </w:rPr>
      </w:pP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罪犯庞俊友，男，</w:t>
      </w:r>
      <w:r>
        <w:rPr>
          <w:rFonts w:eastAsia="仿宋_GB2312"/>
          <w:color w:val="000000" w:themeColor="text1"/>
          <w:sz w:val="28"/>
          <w:szCs w:val="28"/>
          <w14:textFill>
            <w14:solidFill>
              <w14:schemeClr w14:val="tx1"/>
            </w14:solidFill>
          </w14:textFill>
        </w:rPr>
        <w:t>19</w:t>
      </w:r>
      <w:r>
        <w:rPr>
          <w:rFonts w:hint="eastAsia" w:eastAsia="仿宋_GB2312"/>
          <w:color w:val="000000" w:themeColor="text1"/>
          <w:sz w:val="28"/>
          <w:szCs w:val="28"/>
          <w14:textFill>
            <w14:solidFill>
              <w14:schemeClr w14:val="tx1"/>
            </w14:solidFill>
          </w14:textFill>
        </w:rPr>
        <w:t>87年11月15日出生，汉族，广西壮族自治区玉林市兴业县人，现在山西省太原第二监狱服刑。</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山西省河津市人民法院于</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20年8月28日作出（</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20）晋0882刑初169号刑事判决，以罪犯庞俊友犯盗窃罪，判处有期徒刑6年6个月，并处罚金人民币45000元。刑期起止日期：</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20年5月22日起至</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6年11月21日止。执行机关山西省太原第二监狱于</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3年7月4日提出减刑建议书，报送本院审理。本院依法组成合议庭于2023年7月21日公开开庭进行了审理。山西省太原第二监狱刑罚执行科赵丽芳、焦阳、山西省太原西峪地区人民检察院检察员张正萍、杨慧英出庭履行职务。本案现已审理终结。</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刑罚执行机关认为，罪犯庞俊友在服刑期间深刻认识到自己所犯的罪行，能认罪服法，积极学习国家政策和法律法规，严格遵守监规，接受教育改造。同时，罪犯庞俊友也积极参加政治、文化、技术学习；积极参加劳动，按质按量完成劳动任务。该罪犯于</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21年9月至2022年10月获得监狱表扬3次，并有罪犯奖励审批表、罪犯登记台账及罪犯计分考核评定表、罪犯评审鉴定表、罪犯处遇评定审批表、罪犯三课教育成绩单、罪犯“确有悔改表现”评价表及本人认罪悔罪书、罪犯财产性判项及消费情况登记表、罪犯账户明细、河津市人民法院执行案件结案通知书及山西省货币罚没财物票据予以证明。</w:t>
      </w:r>
    </w:p>
    <w:p>
      <w:pPr>
        <w:spacing w:line="44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监督机关认为，庭审中，刑罚执行机关就罪犯庞俊友本次提请减刑期间的改造情况举证，并由管教干警及同监舍罪犯出庭作证。出庭检察官对罪犯庞俊友进行了讯问，并对刑罚执行机关出示的有关证据进行了质证。罪犯庞俊友对法庭的讯问作了如实陈述。出庭检察官依法对庭审全程实行了监督。执行机关出示的有关证据材料与抄送监督机关审查的材料一致，法庭审理程序合法。对刑罚执行机关报请减刑无异议。</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经审理查明，罪犯庞俊友在服刑期间认罪悔罪，服从管教，遵守监规纪律，积极改造，于</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21年9月至2022年10月获得监狱表扬3次，证实该事实的证据有执行机关出具的罪犯奖励审批表、罪犯登记台账及罪犯计分考核评定表、罪犯评审鉴定表、罪犯处遇评定审批表、罪犯三课教育成绩单、罪犯“确有悔改表现”评价表及本人认罪悔罪书、罪犯财产性判项及消费情况登记表、罪犯账户明细、河津市人民法院执行案件结案通知书及山西省货币罚没财物票据。庭审中，罪犯庞俊友所在监区的管教干警及同监舍罪犯出庭作证，从认罪悔罪、遵守监规、教育改造及劳动改造四个方面，证明其在服刑期间确有悔改表现。</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本院认为，罪犯庞俊友在服刑期间，</w:t>
      </w:r>
      <w:r>
        <w:rPr>
          <w:rFonts w:eastAsia="仿宋_GB2312"/>
          <w:color w:val="000000" w:themeColor="text1"/>
          <w:sz w:val="28"/>
          <w:szCs w:val="28"/>
          <w14:textFill>
            <w14:solidFill>
              <w14:schemeClr w14:val="tx1"/>
            </w14:solidFill>
          </w14:textFill>
        </w:rPr>
        <w:t>认罪悔罪；遵守法律法规及监规，接受教育改造；积极参加思想、文化、职业技术教育；积极参加劳动，努力完成劳动任务，确有悔改表现</w:t>
      </w:r>
      <w:r>
        <w:rPr>
          <w:rFonts w:hint="eastAsia" w:eastAsia="仿宋_GB2312"/>
          <w:color w:val="000000" w:themeColor="text1"/>
          <w:sz w:val="28"/>
          <w:szCs w:val="28"/>
          <w14:textFill>
            <w14:solidFill>
              <w14:schemeClr w14:val="tx1"/>
            </w14:solidFill>
          </w14:textFill>
        </w:rPr>
        <w:t>，罚金已缴纳。根据最高人民法院《关于减刑、假释案件审理程序的规定》第五条第一款：“人民法院审理减刑、假释案件，除应当审查罪犯在执行期间的一贯表现外，还应当综合考虑犯罪的具体情节、原判刑罚情况、财产执行情况、附带民事裁判履行情况、罪犯退赃退赔等情况”和《最高人民法院关于减刑、假释案件具体应用法律的规定》第二条、第三条、第六条的规定，依照《中华人民共和国刑事诉讼法》第二百七十三条第二款和《中华人民共和国刑法》第七十八条之规定，裁定如下：</w:t>
      </w:r>
    </w:p>
    <w:p>
      <w:pPr>
        <w:spacing w:line="420" w:lineRule="exact"/>
        <w:ind w:firstLine="538"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对罪犯</w:t>
      </w:r>
      <w:bookmarkStart w:id="0" w:name="_GoBack"/>
      <w:r>
        <w:rPr>
          <w:rFonts w:hint="eastAsia" w:eastAsia="仿宋_GB2312"/>
          <w:color w:val="000000" w:themeColor="text1"/>
          <w:sz w:val="28"/>
          <w:szCs w:val="28"/>
          <w14:textFill>
            <w14:solidFill>
              <w14:schemeClr w14:val="tx1"/>
            </w14:solidFill>
          </w14:textFill>
        </w:rPr>
        <w:t>庞俊友</w:t>
      </w:r>
      <w:bookmarkEnd w:id="0"/>
      <w:r>
        <w:rPr>
          <w:rFonts w:hint="eastAsia" w:eastAsia="仿宋_GB2312"/>
          <w:color w:val="000000" w:themeColor="text1"/>
          <w:sz w:val="28"/>
          <w:szCs w:val="28"/>
          <w14:textFill>
            <w14:solidFill>
              <w14:schemeClr w14:val="tx1"/>
            </w14:solidFill>
          </w14:textFill>
        </w:rPr>
        <w:t>减去有期徒刑八个月（减刑后的刑期至</w:t>
      </w:r>
      <w:r>
        <w:rPr>
          <w:rFonts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26年3月21日止）。</w:t>
      </w:r>
    </w:p>
    <w:p>
      <w:pPr>
        <w:spacing w:line="420" w:lineRule="exact"/>
        <w:ind w:firstLine="538" w:firstLineChars="200"/>
        <w:rPr>
          <w:rFonts w:ascii="Arial Unicode MS" w:hAnsi="Arial Unicode MS" w:eastAsia="Arial Unicode MS" w:cs="Arial Unicode MS"/>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本裁定送达后即发生法律效力。</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长</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张榕麟</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李志斌</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审</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判</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张永明</w:t>
      </w:r>
    </w:p>
    <w:p>
      <w:pPr>
        <w:spacing w:line="420" w:lineRule="exact"/>
        <w:ind w:right="509" w:rightChars="256"/>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二</w:t>
      </w:r>
      <w:r>
        <w:rPr>
          <w:rFonts w:hint="eastAsia" w:ascii="宋体" w:hAnsi="宋体" w:cs="宋体"/>
          <w:color w:val="000000" w:themeColor="text1"/>
          <w:sz w:val="28"/>
          <w:szCs w:val="28"/>
          <w14:textFill>
            <w14:solidFill>
              <w14:schemeClr w14:val="tx1"/>
            </w14:solidFill>
          </w14:textFill>
        </w:rPr>
        <w:t>〇</w:t>
      </w:r>
      <w:r>
        <w:rPr>
          <w:rFonts w:hint="eastAsia" w:ascii="仿宋_GB2312" w:hAnsi="仿宋_GB2312" w:eastAsia="仿宋_GB2312" w:cs="仿宋_GB2312"/>
          <w:color w:val="000000" w:themeColor="text1"/>
          <w:sz w:val="28"/>
          <w:szCs w:val="28"/>
          <w14:textFill>
            <w14:solidFill>
              <w14:schemeClr w14:val="tx1"/>
            </w14:solidFill>
          </w14:textFill>
        </w:rPr>
        <w:t>二三年七月二十七日</w:t>
      </w:r>
    </w:p>
    <w:p>
      <w:pPr>
        <w:spacing w:line="420" w:lineRule="exact"/>
        <w:ind w:right="509" w:rightChars="256"/>
        <w:jc w:val="righ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法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助</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理</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蔚晓芳</w:t>
      </w:r>
    </w:p>
    <w:p>
      <w:pPr>
        <w:spacing w:line="420" w:lineRule="exact"/>
        <w:ind w:right="509" w:rightChars="256"/>
        <w:jc w:val="right"/>
        <w:rPr>
          <w:rFonts w:eastAsia="仿宋_GB2312"/>
          <w:color w:val="000000" w:themeColor="text1"/>
          <w:kern w:val="0"/>
          <w:sz w:val="28"/>
          <w:szCs w:val="28"/>
          <w14:textFill>
            <w14:solidFill>
              <w14:schemeClr w14:val="tx1"/>
            </w14:solidFill>
          </w14:textFill>
        </w:rPr>
        <w:sectPr>
          <w:pgSz w:w="11906" w:h="16838"/>
          <w:pgMar w:top="2098" w:right="1588" w:bottom="2098" w:left="1588" w:header="851" w:footer="992" w:gutter="0"/>
          <w:cols w:space="720" w:num="1"/>
          <w:docGrid w:type="linesAndChars" w:linePitch="574" w:charSpace="-2374"/>
        </w:sectPr>
      </w:pPr>
      <w:r>
        <w:rPr>
          <w:rFonts w:hint="eastAsia" w:eastAsia="仿宋_GB2312"/>
          <w:color w:val="000000" w:themeColor="text1"/>
          <w:sz w:val="28"/>
          <w:szCs w:val="28"/>
          <w14:textFill>
            <w14:solidFill>
              <w14:schemeClr w14:val="tx1"/>
            </w14:solidFill>
          </w14:textFill>
        </w:rPr>
        <w:t>书</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记</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员</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陈佳欣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75532EC5"/>
    <w:rsid w:val="01E75800"/>
    <w:rsid w:val="0A3342F1"/>
    <w:rsid w:val="13F441F2"/>
    <w:rsid w:val="1FFE35CC"/>
    <w:rsid w:val="21234242"/>
    <w:rsid w:val="27B242E7"/>
    <w:rsid w:val="30231A6C"/>
    <w:rsid w:val="323A50E5"/>
    <w:rsid w:val="365B2B46"/>
    <w:rsid w:val="38C611F4"/>
    <w:rsid w:val="3DFD5D9E"/>
    <w:rsid w:val="3E1B40FE"/>
    <w:rsid w:val="401F66EB"/>
    <w:rsid w:val="42A41F47"/>
    <w:rsid w:val="653B0BF2"/>
    <w:rsid w:val="696C3B7E"/>
    <w:rsid w:val="69E606D4"/>
    <w:rsid w:val="74DE6549"/>
    <w:rsid w:val="75532EC5"/>
    <w:rsid w:val="7BED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1353</Words>
  <Characters>1418</Characters>
  <Lines>0</Lines>
  <Paragraphs>0</Paragraphs>
  <TotalTime>0</TotalTime>
  <ScaleCrop>false</ScaleCrop>
  <LinksUpToDate>false</LinksUpToDate>
  <CharactersWithSpaces>1486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2023-08-23T05:02:00Z</dcterms:created>
  <dc:creator>Administrator</dc:creator>
  <cp:lastModifiedBy>Administrator</cp:lastModifiedBy>
  <dcterms:modified xsi:type="dcterms:W3CDTF">2023-08-23T05:17:04Z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959DC301D3EE4D8D9CC59EDFF9271222</vt:lpwstr>
  </property>
</Properties>
</file>