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w:t>
      </w:r>
      <w:r>
        <w:rPr>
          <w:rFonts w:hint="eastAsia" w:ascii="方正小标宋简体" w:eastAsia="方正小标宋简体"/>
          <w:sz w:val="36"/>
          <w:szCs w:val="36"/>
          <w:lang w:eastAsia="zh-CN"/>
        </w:rPr>
        <w:t>评价</w:t>
      </w:r>
      <w:r>
        <w:rPr>
          <w:rFonts w:hint="eastAsia" w:ascii="方正小标宋简体" w:eastAsia="方正小标宋简体"/>
          <w:sz w:val="36"/>
          <w:szCs w:val="36"/>
        </w:rPr>
        <w:t>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w:t>
      </w:r>
      <w:r>
        <w:rPr>
          <w:rFonts w:hint="eastAsia" w:ascii="楷体_GB2312" w:eastAsia="楷体_GB2312"/>
          <w:sz w:val="32"/>
          <w:szCs w:val="32"/>
          <w:lang w:val="en-US" w:eastAsia="zh-CN"/>
        </w:rPr>
        <w:t>主要职责</w:t>
      </w:r>
      <w:r>
        <w:rPr>
          <w:rFonts w:hint="eastAsia" w:ascii="楷体_GB2312" w:eastAsia="楷体_GB2312"/>
          <w:sz w:val="32"/>
          <w:szCs w:val="32"/>
        </w:rPr>
        <w:t>情况</w:t>
      </w:r>
    </w:p>
    <w:p>
      <w:pPr>
        <w:spacing w:line="600"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lang w:val="en-US" w:eastAsia="zh-CN"/>
        </w:rPr>
        <w:t>1.机构设置情况</w:t>
      </w:r>
    </w:p>
    <w:p>
      <w:pPr>
        <w:tabs>
          <w:tab w:val="left" w:pos="4455"/>
        </w:tabs>
        <w:spacing w:line="560" w:lineRule="exact"/>
        <w:ind w:firstLine="640" w:firstLineChars="200"/>
        <w:outlineLvl w:val="1"/>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根据《中央机构编制委员会办公室 最高人民法院关于积极推进省以下人民法院内设机构改革工作的通知》（法发[2018]8号）和《中共北京市委政法委员会 中共北京市委机构编制委员会办公室 北京市高级人民法院关于印发&lt;北京市基层人民法院内设机构改革方案&gt;的通知》（京政法发[2019]1号）的要求，北京市平谷区人民法院包含1个预算单位，内设机构设置如下：立案庭（诉讼服务中心）、刑事审判庭（未成年人案件审判庭）、民事审判一庭、民事审判二庭、行政审判庭、综合审判庭、执行局、审判管理办公室（研究室）、王辛庄人民法庭、东高村人民法庭、峪口人民法庭、金海湖人民法庭、大华山人民法庭、政治部（机关党委机关纪委）、综合办公室、司法警察大队。</w:t>
      </w:r>
    </w:p>
    <w:p>
      <w:pPr>
        <w:spacing w:line="600" w:lineRule="exact"/>
        <w:ind w:firstLine="640" w:firstLineChars="200"/>
        <w:rPr>
          <w:rFonts w:hint="default" w:ascii="楷体_GB2312" w:eastAsia="楷体_GB2312"/>
          <w:sz w:val="32"/>
          <w:szCs w:val="32"/>
          <w:lang w:val="en-US"/>
        </w:rPr>
      </w:pPr>
      <w:r>
        <w:rPr>
          <w:rFonts w:hint="eastAsia" w:ascii="楷体_GB2312" w:eastAsia="楷体_GB2312"/>
          <w:sz w:val="32"/>
          <w:szCs w:val="32"/>
          <w:lang w:val="en-US" w:eastAsia="zh-CN"/>
        </w:rPr>
        <w:t>2.主要职责</w:t>
      </w:r>
    </w:p>
    <w:p>
      <w:pPr>
        <w:tabs>
          <w:tab w:val="left" w:pos="4455"/>
        </w:tabs>
        <w:spacing w:line="560" w:lineRule="exact"/>
        <w:ind w:firstLine="640" w:firstLineChars="200"/>
        <w:outlineLvl w:val="1"/>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其主要职责是：北京市平谷区人民法院的主要职责是审理辖区内的刑事、民商事、行政一审案件；受理和审查各类告诉、申诉案件，处理来信来访，对其中确有错误的已发生法律效力的判决、裁定，根据审判监督程序进行再审；负责本院已生效的判决书调解书、裁定书和有强制执行效力的非诉讼法律文书的执行。</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（二）部门整体绩效目标设立情况</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部门总体目标：为保障</w:t>
      </w:r>
      <w:r>
        <w:rPr>
          <w:rFonts w:hint="eastAsia" w:ascii="仿宋_GB2312" w:hAnsi="仿宋" w:eastAsia="仿宋_GB2312"/>
          <w:sz w:val="32"/>
          <w:szCs w:val="32"/>
          <w:lang w:val="en-US" w:eastAsia="zh-CN"/>
        </w:rPr>
        <w:t>平谷法院</w:t>
      </w:r>
      <w:r>
        <w:rPr>
          <w:rFonts w:hint="eastAsia" w:ascii="仿宋_GB2312" w:hAnsi="仿宋" w:eastAsia="仿宋_GB2312"/>
          <w:sz w:val="32"/>
          <w:szCs w:val="32"/>
        </w:rPr>
        <w:t>审执工作正常开展，平谷法院将以习近平新时代中国特色社会主义思想为指导，围绕落实首都及平谷区域战略定位，以时不我待、只争朝夕的精神，认真全面做好各项审执工作，紧扣中央和市政府对于平谷的“三区一口岸”定位，为平谷区建设京津冀协同发展桥头堡、建设北京城市副中心后花园、建设宜居宜业宜游生态谷、建设农业科技创新示范区提供更加坚强有力的司法保障。</w:t>
      </w:r>
    </w:p>
    <w:p>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1.牢固树立过紧日子思想。</w:t>
      </w:r>
    </w:p>
    <w:p>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2.厉行节约政策。</w:t>
      </w:r>
    </w:p>
    <w:p>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3.严格按照符合政策范围内执行。</w:t>
      </w:r>
    </w:p>
    <w:p>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4.2022年12月31日前完成全年预算指标支出。</w:t>
      </w:r>
    </w:p>
    <w:p>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5.严格执行中央八项规定，严控三公经费开支。</w:t>
      </w:r>
    </w:p>
    <w:p>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6.做好后勤财力保障，为全院干警做好综合服务。</w:t>
      </w:r>
    </w:p>
    <w:p>
      <w:pPr>
        <w:spacing w:line="60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7.严格把控各项项目支出，做到合理合规。</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（一）收入支出预算安排情况。</w:t>
      </w:r>
    </w:p>
    <w:p>
      <w:pPr>
        <w:spacing w:line="60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auto"/>
          <w:kern w:val="0"/>
          <w:sz w:val="32"/>
          <w:szCs w:val="32"/>
          <w:highlight w:val="none"/>
        </w:rPr>
        <w:t>202</w:t>
      </w: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000000"/>
          <w:kern w:val="0"/>
          <w:sz w:val="32"/>
          <w:szCs w:val="32"/>
          <w:highlight w:val="none"/>
        </w:rPr>
        <w:t>年</w:t>
      </w:r>
      <w:r>
        <w:rPr>
          <w:rFonts w:ascii="仿宋_GB2312" w:hAnsi="宋体" w:eastAsia="仿宋_GB2312" w:cs="宋体"/>
          <w:color w:val="000000"/>
          <w:kern w:val="0"/>
          <w:sz w:val="32"/>
          <w:szCs w:val="32"/>
          <w:highlight w:val="none"/>
        </w:rPr>
        <w:t>全年</w:t>
      </w:r>
      <w:r>
        <w:rPr>
          <w:rFonts w:hint="eastAsia" w:ascii="仿宋_GB2312" w:hAnsi="宋体" w:eastAsia="仿宋_GB2312" w:cs="宋体"/>
          <w:color w:val="000000"/>
          <w:kern w:val="0"/>
          <w:sz w:val="32"/>
          <w:szCs w:val="32"/>
          <w:highlight w:val="none"/>
        </w:rPr>
        <w:t>预算数14,049.51万元</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其中</w:t>
      </w:r>
      <w:r>
        <w:rPr>
          <w:rFonts w:ascii="仿宋_GB2312" w:hAnsi="宋体" w:eastAsia="仿宋_GB2312" w:cs="宋体"/>
          <w:color w:val="000000"/>
          <w:kern w:val="0"/>
          <w:sz w:val="32"/>
          <w:szCs w:val="32"/>
          <w:highlight w:val="none"/>
        </w:rPr>
        <w:t>，基本</w:t>
      </w:r>
      <w:r>
        <w:rPr>
          <w:rFonts w:hint="eastAsia" w:ascii="仿宋_GB2312" w:hAnsi="宋体" w:eastAsia="仿宋_GB2312" w:cs="宋体"/>
          <w:color w:val="000000"/>
          <w:kern w:val="0"/>
          <w:sz w:val="32"/>
          <w:szCs w:val="32"/>
          <w:highlight w:val="none"/>
        </w:rPr>
        <w:t>支出</w:t>
      </w:r>
      <w:r>
        <w:rPr>
          <w:rFonts w:ascii="仿宋_GB2312" w:hAnsi="宋体" w:eastAsia="仿宋_GB2312" w:cs="宋体"/>
          <w:color w:val="000000"/>
          <w:kern w:val="0"/>
          <w:sz w:val="32"/>
          <w:szCs w:val="32"/>
          <w:highlight w:val="none"/>
        </w:rPr>
        <w:t>预算数</w:t>
      </w:r>
      <w:r>
        <w:rPr>
          <w:rFonts w:hint="eastAsia" w:ascii="仿宋_GB2312" w:hAnsi="宋体" w:eastAsia="仿宋_GB2312" w:cs="宋体"/>
          <w:color w:val="000000"/>
          <w:kern w:val="0"/>
          <w:sz w:val="32"/>
          <w:szCs w:val="32"/>
          <w:highlight w:val="none"/>
          <w:lang w:val="en-US" w:eastAsia="zh-CN"/>
        </w:rPr>
        <w:t>11,385.43</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项目支出预算数</w:t>
      </w:r>
      <w:r>
        <w:rPr>
          <w:rFonts w:hint="eastAsia" w:ascii="仿宋_GB2312" w:hAnsi="宋体" w:eastAsia="仿宋_GB2312" w:cs="宋体"/>
          <w:color w:val="000000"/>
          <w:kern w:val="0"/>
          <w:sz w:val="32"/>
          <w:szCs w:val="32"/>
          <w:highlight w:val="none"/>
          <w:lang w:val="en-US" w:eastAsia="zh-CN"/>
        </w:rPr>
        <w:t>2,664.08</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资金总体</w:t>
      </w:r>
      <w:r>
        <w:rPr>
          <w:rFonts w:hint="eastAsia" w:ascii="仿宋_GB2312" w:hAnsi="宋体" w:eastAsia="仿宋_GB2312" w:cs="宋体"/>
          <w:color w:val="000000"/>
          <w:kern w:val="0"/>
          <w:sz w:val="32"/>
          <w:szCs w:val="32"/>
          <w:highlight w:val="none"/>
        </w:rPr>
        <w:t>支出14,561.46</w:t>
      </w:r>
      <w:r>
        <w:rPr>
          <w:rFonts w:ascii="仿宋_GB2312" w:hAnsi="宋体" w:eastAsia="仿宋_GB2312" w:cs="宋体"/>
          <w:color w:val="000000"/>
          <w:kern w:val="0"/>
          <w:sz w:val="32"/>
          <w:szCs w:val="32"/>
          <w:highlight w:val="none"/>
        </w:rPr>
        <w:t>万元，其中，基本支出</w:t>
      </w:r>
      <w:r>
        <w:rPr>
          <w:rFonts w:hint="eastAsia" w:ascii="仿宋_GB2312" w:hAnsi="宋体" w:eastAsia="仿宋_GB2312" w:cs="宋体"/>
          <w:color w:val="000000"/>
          <w:kern w:val="0"/>
          <w:sz w:val="32"/>
          <w:szCs w:val="32"/>
          <w:highlight w:val="none"/>
        </w:rPr>
        <w:t>11,897.49</w:t>
      </w:r>
      <w:r>
        <w:rPr>
          <w:rFonts w:ascii="仿宋_GB2312" w:hAnsi="宋体" w:eastAsia="仿宋_GB2312" w:cs="宋体"/>
          <w:color w:val="000000"/>
          <w:kern w:val="0"/>
          <w:sz w:val="32"/>
          <w:szCs w:val="32"/>
          <w:highlight w:val="none"/>
        </w:rPr>
        <w:t>万元，项目</w:t>
      </w:r>
      <w:r>
        <w:rPr>
          <w:rFonts w:hint="eastAsia" w:ascii="仿宋_GB2312" w:hAnsi="宋体" w:eastAsia="仿宋_GB2312" w:cs="宋体"/>
          <w:color w:val="000000"/>
          <w:kern w:val="0"/>
          <w:sz w:val="32"/>
          <w:szCs w:val="32"/>
          <w:highlight w:val="none"/>
        </w:rPr>
        <w:t>支出2,663.97</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预算</w:t>
      </w:r>
      <w:r>
        <w:rPr>
          <w:rFonts w:ascii="仿宋_GB2312" w:hAnsi="宋体" w:eastAsia="仿宋_GB2312" w:cs="宋体"/>
          <w:color w:val="000000"/>
          <w:kern w:val="0"/>
          <w:sz w:val="32"/>
          <w:szCs w:val="32"/>
          <w:highlight w:val="none"/>
        </w:rPr>
        <w:t>执行率为</w:t>
      </w:r>
      <w:r>
        <w:rPr>
          <w:rFonts w:hint="eastAsia" w:ascii="仿宋_GB2312" w:hAnsi="宋体" w:eastAsia="仿宋_GB2312" w:cs="宋体"/>
          <w:color w:val="000000"/>
          <w:kern w:val="0"/>
          <w:sz w:val="32"/>
          <w:szCs w:val="32"/>
          <w:highlight w:val="none"/>
          <w:lang w:val="en-US" w:eastAsia="zh-CN"/>
        </w:rPr>
        <w:t>96.48%</w:t>
      </w:r>
      <w:r>
        <w:rPr>
          <w:rFonts w:hint="eastAsia" w:ascii="仿宋_GB2312" w:hAnsi="宋体" w:eastAsia="仿宋_GB2312" w:cs="宋体"/>
          <w:color w:val="000000"/>
          <w:kern w:val="0"/>
          <w:sz w:val="32"/>
          <w:szCs w:val="32"/>
          <w:highlight w:val="none"/>
        </w:rPr>
        <w:t>。</w:t>
      </w:r>
    </w:p>
    <w:p>
      <w:pPr>
        <w:spacing w:line="600" w:lineRule="exact"/>
        <w:ind w:left="105" w:leftChars="50" w:firstLine="480" w:firstLineChars="150"/>
        <w:rPr>
          <w:rFonts w:hint="eastAsia" w:ascii="仿宋_GB2312" w:hAnsi="宋体" w:eastAsia="仿宋_GB2312" w:cs="宋体"/>
          <w:color w:val="000000"/>
          <w:kern w:val="0"/>
          <w:sz w:val="32"/>
          <w:szCs w:val="32"/>
        </w:rPr>
      </w:pP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部门总体目标：为保障</w:t>
      </w:r>
      <w:r>
        <w:rPr>
          <w:rFonts w:hint="eastAsia" w:ascii="仿宋_GB2312" w:hAnsi="仿宋" w:eastAsia="仿宋_GB2312"/>
          <w:sz w:val="32"/>
          <w:szCs w:val="32"/>
          <w:highlight w:val="none"/>
          <w:lang w:val="en-US" w:eastAsia="zh-CN"/>
        </w:rPr>
        <w:t>平谷法院</w:t>
      </w:r>
      <w:r>
        <w:rPr>
          <w:rFonts w:hint="eastAsia" w:ascii="仿宋_GB2312" w:hAnsi="仿宋" w:eastAsia="仿宋_GB2312"/>
          <w:sz w:val="32"/>
          <w:szCs w:val="32"/>
          <w:highlight w:val="none"/>
        </w:rPr>
        <w:t>审</w:t>
      </w:r>
      <w:r>
        <w:rPr>
          <w:rFonts w:hint="eastAsia" w:ascii="仿宋_GB2312" w:hAnsi="仿宋" w:eastAsia="仿宋_GB2312"/>
          <w:sz w:val="32"/>
          <w:szCs w:val="32"/>
        </w:rPr>
        <w:t>执工作正常开展，平谷法院将以习近平新时代中国特色社会主义思想为指导，围绕落实首都及平谷区域战略定位，以时不我待、只争朝夕的精神，认真全面做好各项审执工作，紧扣中央和市政府对于平谷的“三区一口岸”定位，为平谷区建设京津冀协同发展桥头堡、建设北京城市副中心后花园、建设宜居宜业宜游生态谷、建设农业科技创新示范区提供更加坚强有力的司法保障。</w:t>
      </w:r>
    </w:p>
    <w:p>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1.牢固树立过紧日子思想。</w:t>
      </w:r>
    </w:p>
    <w:p>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2.厉行节约政策。</w:t>
      </w:r>
    </w:p>
    <w:p>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3.严格按照符合政策范围内执行。</w:t>
      </w:r>
    </w:p>
    <w:p>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4.2022年12月31日前完成全年预算指标支出。</w:t>
      </w:r>
    </w:p>
    <w:p>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5.严格执行中央八项规定，严控三公经费开支。</w:t>
      </w:r>
    </w:p>
    <w:p>
      <w:pPr>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6.做好后勤财力保障，为全院干警做好综合服务。</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sz w:val="32"/>
          <w:szCs w:val="32"/>
          <w:lang w:val="en-US" w:eastAsia="zh-CN"/>
        </w:rPr>
        <w:t>7.严格把控各项项目支出，做到合理合规</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1</w:t>
      </w:r>
      <w:r>
        <w:rPr>
          <w:rFonts w:hint="eastAsia" w:ascii="仿宋_GB2312" w:hAnsi="宋体" w:eastAsia="仿宋_GB2312" w:cs="宋体"/>
          <w:color w:val="000000"/>
          <w:kern w:val="0"/>
          <w:sz w:val="32"/>
          <w:szCs w:val="32"/>
          <w:highlight w:val="none"/>
        </w:rPr>
        <w:t>.社会效益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助力健全自治法治德治融合机制，推动形成办事依法、遇事找法、解决问题用法、化解矛盾靠法的良好法治环境。</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2</w:t>
      </w:r>
      <w:r>
        <w:rPr>
          <w:rFonts w:hint="eastAsia" w:ascii="仿宋_GB2312" w:hAnsi="宋体" w:eastAsia="仿宋_GB2312" w:cs="宋体"/>
          <w:color w:val="000000"/>
          <w:kern w:val="0"/>
          <w:sz w:val="32"/>
          <w:szCs w:val="32"/>
          <w:highlight w:val="none"/>
        </w:rPr>
        <w:t>.可持续</w:t>
      </w:r>
      <w:r>
        <w:rPr>
          <w:rFonts w:ascii="仿宋_GB2312" w:hAnsi="宋体" w:eastAsia="仿宋_GB2312" w:cs="宋体"/>
          <w:color w:val="000000"/>
          <w:kern w:val="0"/>
          <w:sz w:val="32"/>
          <w:szCs w:val="32"/>
          <w:highlight w:val="none"/>
        </w:rPr>
        <w:t>性影响</w:t>
      </w:r>
    </w:p>
    <w:p>
      <w:pPr>
        <w:spacing w:line="600" w:lineRule="exact"/>
        <w:ind w:left="105" w:leftChars="50" w:firstLine="480" w:firstLineChars="15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分清权责。细化完善审判权力和责任清单，逐项列明各类人员的权责内容和履职要求，重点细化规范有序行权、强化审判监督管理等事项。</w:t>
      </w:r>
    </w:p>
    <w:p>
      <w:pPr>
        <w:spacing w:line="600" w:lineRule="exact"/>
        <w:ind w:left="105" w:leftChars="50" w:firstLine="480" w:firstLineChars="15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率先垂范。切实发挥院庭长示范引领和监督指导作用，带头办理疑难复杂案件，处理好放权与监管的关系，加强对案件流程、审判质效、司法作风的管控，确保“十类案件”得到有效监督管理。</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统一尺度。修订审判委员会议事规则，更加注重发挥其宏观管理、统一法律适用功能；定期召开法官会议，深化交流，加强研讨，总结审理要点，提升案件质量。</w:t>
      </w:r>
    </w:p>
    <w:p>
      <w:pPr>
        <w:spacing w:line="600" w:lineRule="exact"/>
        <w:ind w:left="105" w:leftChars="50" w:firstLine="480" w:firstLineChars="15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rPr>
        <w:t>.服务对象</w:t>
      </w:r>
      <w:r>
        <w:rPr>
          <w:rFonts w:ascii="仿宋_GB2312" w:hAnsi="宋体" w:eastAsia="仿宋_GB2312" w:cs="宋体"/>
          <w:color w:val="000000"/>
          <w:kern w:val="0"/>
          <w:sz w:val="32"/>
          <w:szCs w:val="32"/>
          <w:highlight w:val="none"/>
        </w:rPr>
        <w:t>满意度</w:t>
      </w:r>
    </w:p>
    <w:p>
      <w:pPr>
        <w:spacing w:line="600" w:lineRule="exact"/>
        <w:ind w:left="105" w:leftChars="50" w:firstLine="480" w:firstLineChars="150"/>
        <w:rPr>
          <w:rFonts w:hint="default"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大部分项目未留存满意度调查，不便于直观了解项目的服务对象对部门履职效果的满意程度。</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健全完善</w:t>
      </w:r>
      <w:r>
        <w:rPr>
          <w:rFonts w:hint="eastAsia" w:ascii="仿宋_GB2312" w:hAnsi="宋体" w:eastAsia="仿宋_GB2312" w:cs="宋体"/>
          <w:color w:val="000000"/>
          <w:kern w:val="0"/>
          <w:sz w:val="32"/>
          <w:szCs w:val="32"/>
          <w:lang w:val="en-US" w:eastAsia="zh-CN"/>
        </w:rPr>
        <w:t>了</w:t>
      </w:r>
      <w:r>
        <w:rPr>
          <w:rFonts w:hint="eastAsia" w:ascii="仿宋_GB2312" w:hAnsi="宋体" w:eastAsia="仿宋_GB2312" w:cs="宋体"/>
          <w:color w:val="000000"/>
          <w:kern w:val="0"/>
          <w:sz w:val="32"/>
          <w:szCs w:val="32"/>
        </w:rPr>
        <w:t>财务管理制度，规范财务管理，充分发挥财务管理的监督核算</w:t>
      </w:r>
      <w:r>
        <w:rPr>
          <w:rFonts w:hint="eastAsia" w:ascii="仿宋_GB2312" w:hAnsi="宋体" w:eastAsia="仿宋_GB2312" w:cs="宋体"/>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第一，进一步建立健全财务管理制，为财务工作稳定有序的开展提供了有力的制度保障，</w:t>
      </w:r>
      <w:r>
        <w:rPr>
          <w:rFonts w:hint="eastAsia" w:ascii="仿宋_GB2312" w:hAnsi="宋体" w:eastAsia="仿宋_GB2312" w:cs="宋体"/>
          <w:color w:val="000000"/>
          <w:kern w:val="0"/>
          <w:sz w:val="32"/>
          <w:szCs w:val="32"/>
          <w:lang w:val="en-US" w:eastAsia="zh-CN"/>
        </w:rPr>
        <w:t>自建立</w:t>
      </w:r>
      <w:r>
        <w:rPr>
          <w:rFonts w:hint="eastAsia" w:ascii="仿宋_GB2312" w:hAnsi="宋体" w:eastAsia="仿宋_GB2312" w:cs="宋体"/>
          <w:color w:val="000000"/>
          <w:kern w:val="0"/>
          <w:sz w:val="32"/>
          <w:szCs w:val="32"/>
          <w:lang w:eastAsia="zh-CN"/>
        </w:rPr>
        <w:t>以来，</w:t>
      </w:r>
      <w:r>
        <w:rPr>
          <w:rFonts w:hint="eastAsia" w:ascii="仿宋_GB2312" w:hAnsi="宋体" w:eastAsia="仿宋_GB2312" w:cs="宋体"/>
          <w:color w:val="000000"/>
          <w:kern w:val="0"/>
          <w:sz w:val="32"/>
          <w:szCs w:val="32"/>
          <w:highlight w:val="none"/>
          <w:lang w:val="en-US" w:eastAsia="zh-CN"/>
        </w:rPr>
        <w:t>平谷法院</w:t>
      </w:r>
      <w:r>
        <w:rPr>
          <w:rFonts w:hint="eastAsia" w:ascii="仿宋_GB2312" w:hAnsi="宋体" w:eastAsia="仿宋_GB2312" w:cs="宋体"/>
          <w:color w:val="000000"/>
          <w:kern w:val="0"/>
          <w:sz w:val="32"/>
          <w:szCs w:val="32"/>
          <w:highlight w:val="none"/>
          <w:lang w:eastAsia="zh-CN"/>
        </w:rPr>
        <w:t>先后制定了《财务管理制度及三重一大制度》、《计算机网络管理规定》、《信息安全防针与整体策略》《等一系列规章制度，进一步完善和加强财务的管理和监督。同时，</w:t>
      </w:r>
      <w:r>
        <w:rPr>
          <w:rFonts w:hint="eastAsia" w:ascii="仿宋_GB2312" w:hAnsi="宋体" w:eastAsia="仿宋_GB2312" w:cs="宋体"/>
          <w:color w:val="000000"/>
          <w:kern w:val="0"/>
          <w:sz w:val="32"/>
          <w:szCs w:val="32"/>
          <w:lang w:eastAsia="zh-CN"/>
        </w:rPr>
        <w:t>对财务人员进行</w:t>
      </w:r>
      <w:r>
        <w:rPr>
          <w:rFonts w:hint="eastAsia" w:ascii="仿宋_GB2312" w:hAnsi="宋体" w:eastAsia="仿宋_GB2312" w:cs="宋体"/>
          <w:color w:val="000000"/>
          <w:kern w:val="0"/>
          <w:sz w:val="32"/>
          <w:szCs w:val="32"/>
          <w:lang w:val="en-US" w:eastAsia="zh-CN"/>
        </w:rPr>
        <w:t>不相容</w:t>
      </w:r>
      <w:r>
        <w:rPr>
          <w:rFonts w:hint="eastAsia" w:ascii="仿宋_GB2312" w:hAnsi="宋体" w:eastAsia="仿宋_GB2312" w:cs="宋体"/>
          <w:color w:val="000000"/>
          <w:kern w:val="0"/>
          <w:sz w:val="32"/>
          <w:szCs w:val="32"/>
          <w:lang w:eastAsia="zh-CN"/>
        </w:rPr>
        <w:t>岗位</w:t>
      </w:r>
      <w:r>
        <w:rPr>
          <w:rFonts w:hint="eastAsia" w:ascii="仿宋_GB2312" w:hAnsi="宋体" w:eastAsia="仿宋_GB2312" w:cs="宋体"/>
          <w:color w:val="000000"/>
          <w:kern w:val="0"/>
          <w:sz w:val="32"/>
          <w:szCs w:val="32"/>
          <w:lang w:val="en-US" w:eastAsia="zh-CN"/>
        </w:rPr>
        <w:t>设置</w:t>
      </w:r>
      <w:r>
        <w:rPr>
          <w:rFonts w:hint="eastAsia" w:ascii="仿宋_GB2312" w:hAnsi="宋体" w:eastAsia="仿宋_GB2312" w:cs="宋体"/>
          <w:color w:val="000000"/>
          <w:kern w:val="0"/>
          <w:sz w:val="32"/>
          <w:szCs w:val="32"/>
          <w:lang w:eastAsia="zh-CN"/>
        </w:rPr>
        <w:t>，专人专责，</w:t>
      </w:r>
      <w:r>
        <w:rPr>
          <w:rFonts w:hint="eastAsia" w:ascii="仿宋_GB2312" w:hAnsi="宋体" w:eastAsia="仿宋_GB2312" w:cs="宋体"/>
          <w:color w:val="000000"/>
          <w:kern w:val="0"/>
          <w:sz w:val="32"/>
          <w:szCs w:val="32"/>
          <w:lang w:val="en-US" w:eastAsia="zh-CN"/>
        </w:rPr>
        <w:t>会计、出纳</w:t>
      </w:r>
      <w:r>
        <w:rPr>
          <w:rFonts w:hint="eastAsia" w:ascii="仿宋_GB2312" w:hAnsi="宋体" w:eastAsia="仿宋_GB2312" w:cs="宋体"/>
          <w:color w:val="000000"/>
          <w:kern w:val="0"/>
          <w:sz w:val="32"/>
          <w:szCs w:val="32"/>
          <w:lang w:eastAsia="zh-CN"/>
        </w:rPr>
        <w:t>分别</w:t>
      </w:r>
      <w:r>
        <w:rPr>
          <w:rFonts w:hint="eastAsia" w:ascii="仿宋_GB2312" w:hAnsi="宋体" w:eastAsia="仿宋_GB2312" w:cs="宋体"/>
          <w:color w:val="000000"/>
          <w:kern w:val="0"/>
          <w:sz w:val="32"/>
          <w:szCs w:val="32"/>
          <w:lang w:val="en-US" w:eastAsia="zh-CN"/>
        </w:rPr>
        <w:t>设置</w:t>
      </w:r>
      <w:r>
        <w:rPr>
          <w:rFonts w:hint="eastAsia" w:ascii="仿宋_GB2312" w:hAnsi="宋体" w:eastAsia="仿宋_GB2312" w:cs="宋体"/>
          <w:color w:val="000000"/>
          <w:kern w:val="0"/>
          <w:sz w:val="32"/>
          <w:szCs w:val="32"/>
          <w:lang w:eastAsia="zh-CN"/>
        </w:rPr>
        <w:t>，严格按照财务制度遵行，不断提升财务管理工作水平。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第二，加强规范监督财务支出报销程序，增强单位“一把手”监督财务力度。财务支出严格按照先由财务部门按规定认真审核，符合规定的报分管副局长签批，最后由单位”一把手”严格检查把关的管理模式，有效地把好财务支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第三，认真做好年度财务预算工作，严格按预算项目安排支出，做到有预算有安排，有项目有支出，把所有预算外收入列入预算内核算，把所有房租、固定资产清理、政府财务补助、政府奖励资金等收入全部计入预算内核算，不存在小金库，从而有效保障供给，服务于税收管理各个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第四，认真履行大宗物资政府集中采购的规定，在我局大宗物资采购工作中，做到先上会，办好手续后，再由职能部分按政府集中采购的项目、单价，对象进行采购，从而做到了按章办事，按规程办理，没有出现违法。</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进一步加强和规范财政专项资金的管理，确保项目资金合规、合理、真实的使用，按照国家统一的会计制度规定设置会计科目，会计科目核算内容符合会计制度规定范围。我单位对此项资金设置项目明细进行管理及核算，使用的会计制度和核算方法符合专项资金的要求，严格按照财政资金的用途做到了专款专用。</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财务的会计账簿、凭证等财务资料的收集、使用及保管，严格根据财政部的有关规定以及北京市财政局、档案局关于《会计档案案卷质量执行标准》的通知，做到安全、完整。该项目依据项目预算、项目实施计划、经费审批权限，经</w:t>
      </w:r>
      <w:r>
        <w:rPr>
          <w:rFonts w:hint="eastAsia" w:ascii="仿宋_GB2312" w:hAnsi="宋体" w:eastAsia="仿宋_GB2312" w:cs="宋体"/>
          <w:color w:val="000000"/>
          <w:kern w:val="0"/>
          <w:sz w:val="32"/>
          <w:szCs w:val="32"/>
          <w:lang w:val="en-US" w:eastAsia="zh-CN"/>
        </w:rPr>
        <w:t>各级负责人</w:t>
      </w:r>
      <w:r>
        <w:rPr>
          <w:rFonts w:hint="eastAsia" w:ascii="仿宋_GB2312" w:hAnsi="宋体" w:eastAsia="仿宋_GB2312" w:cs="宋体"/>
          <w:color w:val="000000"/>
          <w:kern w:val="0"/>
          <w:sz w:val="32"/>
          <w:szCs w:val="32"/>
        </w:rPr>
        <w:t>签批执后执行。</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（二）资产管理</w:t>
      </w:r>
    </w:p>
    <w:p>
      <w:pPr>
        <w:spacing w:line="600" w:lineRule="exact"/>
        <w:ind w:left="105" w:leftChars="50" w:firstLine="480" w:firstLineChars="150"/>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平谷法院年末资产14,912.24万元，其中流动资产818.25万元、固定资产8,813.51万元，无形资产48.30万元，在建工程5,232.19万元。负债234.54万元，其中流动负债234.54万元。</w:t>
      </w:r>
    </w:p>
    <w:p>
      <w:pPr>
        <w:spacing w:line="600" w:lineRule="exact"/>
        <w:ind w:left="105" w:leftChars="50" w:firstLine="480" w:firstLineChars="150"/>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平谷法院2022年资产主要由固定资产构成，占资产总量的59.1%，流动资产占资产总量的5.49%。</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spacing w:line="600" w:lineRule="exact"/>
        <w:ind w:left="105" w:leftChars="50" w:firstLine="480" w:firstLineChars="15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2022年，平谷法院对2022年度部门项目支出实施了绩效评价，评价项目15个，占部门项目总数的100%，涉及金额2,073.67万元。其中，事后评价项目1个，涉及金额125.00万元，评价得分在90分（含）-100分的1个、评价得分在80-90分（含80分）的0个、评价得分在60-80分（含60分）的0个、评价得分在60分以下的0个；绩效自评项目14个，涉及金额1,948.67万元，评价得分在90分（含90分）以上的14个、评价得分在80-90分（含80分）的0</w:t>
      </w:r>
      <w:bookmarkStart w:id="1" w:name="_GoBack"/>
      <w:bookmarkEnd w:id="1"/>
      <w:r>
        <w:rPr>
          <w:rFonts w:hint="eastAsia" w:ascii="仿宋_GB2312" w:hAnsi="宋体" w:eastAsia="仿宋_GB2312" w:cs="宋体"/>
          <w:color w:val="000000"/>
          <w:kern w:val="0"/>
          <w:sz w:val="32"/>
          <w:szCs w:val="32"/>
          <w:highlight w:val="none"/>
          <w:lang w:val="en-US" w:eastAsia="zh-CN"/>
        </w:rPr>
        <w:t>个、评价得分在60-80分（含60分）的0个、评价得分在60分以下的0个</w:t>
      </w:r>
      <w:r>
        <w:rPr>
          <w:rFonts w:hint="eastAsia" w:ascii="仿宋_GB2312" w:hAnsi="宋体" w:eastAsia="仿宋_GB2312" w:cs="宋体"/>
          <w:color w:val="000000"/>
          <w:kern w:val="0"/>
          <w:sz w:val="32"/>
          <w:szCs w:val="32"/>
          <w:highlight w:val="none"/>
        </w:rPr>
        <w:t>。</w:t>
      </w:r>
    </w:p>
    <w:p>
      <w:pPr>
        <w:spacing w:line="600" w:lineRule="exact"/>
        <w:ind w:left="105" w:leftChars="50" w:firstLine="480" w:firstLineChars="150"/>
        <w:rPr>
          <w:rFonts w:hint="eastAsia" w:ascii="楷体_GB2312" w:eastAsia="楷体_GB2312"/>
          <w:sz w:val="32"/>
          <w:szCs w:val="32"/>
          <w:highlight w:val="none"/>
          <w:lang w:eastAsia="zh-CN"/>
        </w:rPr>
      </w:pPr>
      <w:r>
        <w:rPr>
          <w:rFonts w:hint="eastAsia" w:ascii="楷体_GB2312" w:eastAsia="楷体_GB2312"/>
          <w:sz w:val="32"/>
          <w:szCs w:val="32"/>
          <w:highlight w:val="none"/>
        </w:rPr>
        <w:t>（四）结转结余率</w:t>
      </w:r>
    </w:p>
    <w:p>
      <w:pPr>
        <w:spacing w:line="600" w:lineRule="exact"/>
        <w:ind w:left="105" w:leftChars="50" w:firstLine="480" w:firstLineChars="15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w:t>
      </w:r>
      <w:r>
        <w:rPr>
          <w:rFonts w:hint="eastAsia" w:ascii="仿宋_GB2312" w:hAnsi="宋体" w:eastAsia="仿宋_GB2312" w:cs="宋体"/>
          <w:color w:val="000000"/>
          <w:kern w:val="0"/>
          <w:sz w:val="32"/>
          <w:szCs w:val="32"/>
          <w:highlight w:val="none"/>
          <w:lang w:eastAsia="zh-CN"/>
        </w:rPr>
        <w:t>2022年</w:t>
      </w:r>
      <w:r>
        <w:rPr>
          <w:rFonts w:hint="eastAsia" w:ascii="仿宋_GB2312" w:hAnsi="宋体" w:eastAsia="仿宋_GB2312" w:cs="宋体"/>
          <w:color w:val="000000"/>
          <w:kern w:val="0"/>
          <w:sz w:val="32"/>
          <w:szCs w:val="32"/>
          <w:highlight w:val="none"/>
        </w:rPr>
        <w:t>法院收支结转和结余66.19万元，其中：财政拨款结转结余66.19万元，包括基本支出结转和结余66.14万元，项目经费结转和结余0.05万元。</w:t>
      </w:r>
    </w:p>
    <w:p>
      <w:pPr>
        <w:spacing w:line="600" w:lineRule="exact"/>
        <w:ind w:left="105" w:leftChars="50" w:firstLine="480" w:firstLineChars="15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w:t>
      </w:r>
      <w:r>
        <w:rPr>
          <w:rFonts w:hint="eastAsia" w:ascii="仿宋_GB2312" w:hAnsi="宋体" w:eastAsia="仿宋_GB2312" w:cs="宋体"/>
          <w:color w:val="000000"/>
          <w:kern w:val="0"/>
          <w:sz w:val="32"/>
          <w:szCs w:val="32"/>
          <w:highlight w:val="none"/>
          <w:lang w:eastAsia="zh-CN"/>
        </w:rPr>
        <w:t>2022年</w:t>
      </w:r>
      <w:r>
        <w:rPr>
          <w:rFonts w:hint="eastAsia" w:ascii="仿宋_GB2312" w:hAnsi="宋体" w:eastAsia="仿宋_GB2312" w:cs="宋体"/>
          <w:color w:val="000000"/>
          <w:kern w:val="0"/>
          <w:sz w:val="32"/>
          <w:szCs w:val="32"/>
          <w:highlight w:val="none"/>
          <w:lang w:val="en-US" w:eastAsia="zh-CN"/>
        </w:rPr>
        <w:t>结转结余率0.47%</w:t>
      </w:r>
      <w:r>
        <w:rPr>
          <w:rFonts w:hint="eastAsia" w:ascii="仿宋_GB2312" w:hAnsi="宋体" w:eastAsia="仿宋_GB2312" w:cs="宋体"/>
          <w:color w:val="000000"/>
          <w:kern w:val="0"/>
          <w:sz w:val="32"/>
          <w:szCs w:val="32"/>
          <w:highlight w:val="none"/>
        </w:rPr>
        <w:t>与202</w:t>
      </w:r>
      <w:r>
        <w:rPr>
          <w:rFonts w:hint="eastAsia" w:ascii="仿宋_GB2312" w:hAnsi="宋体" w:eastAsia="仿宋_GB2312" w:cs="宋体"/>
          <w:color w:val="000000"/>
          <w:kern w:val="0"/>
          <w:sz w:val="32"/>
          <w:szCs w:val="32"/>
          <w:highlight w:val="none"/>
          <w:lang w:val="en-US" w:eastAsia="zh-CN"/>
        </w:rPr>
        <w:t>1</w:t>
      </w:r>
      <w:r>
        <w:rPr>
          <w:rFonts w:hint="eastAsia" w:ascii="仿宋_GB2312" w:hAnsi="宋体" w:eastAsia="仿宋_GB2312" w:cs="宋体"/>
          <w:color w:val="000000"/>
          <w:kern w:val="0"/>
          <w:sz w:val="32"/>
          <w:szCs w:val="32"/>
          <w:highlight w:val="none"/>
        </w:rPr>
        <w:t>年年末结转和结余</w:t>
      </w:r>
      <w:r>
        <w:rPr>
          <w:rFonts w:hint="eastAsia" w:ascii="仿宋_GB2312" w:hAnsi="宋体" w:eastAsia="仿宋_GB2312" w:cs="宋体"/>
          <w:color w:val="000000"/>
          <w:kern w:val="0"/>
          <w:sz w:val="32"/>
          <w:szCs w:val="32"/>
          <w:highlight w:val="none"/>
          <w:lang w:val="en-US" w:eastAsia="zh-CN"/>
        </w:rPr>
        <w:t>6.23%相比降低5.76</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val="en-US" w:eastAsia="zh-CN"/>
        </w:rPr>
        <w:t>降低</w:t>
      </w:r>
      <w:r>
        <w:rPr>
          <w:rFonts w:hint="eastAsia" w:ascii="仿宋_GB2312" w:hAnsi="宋体" w:eastAsia="仿宋_GB2312" w:cs="宋体"/>
          <w:color w:val="000000"/>
          <w:kern w:val="0"/>
          <w:sz w:val="32"/>
          <w:szCs w:val="32"/>
          <w:highlight w:val="none"/>
        </w:rPr>
        <w:t>主要原因为</w:t>
      </w:r>
      <w:r>
        <w:rPr>
          <w:rFonts w:hint="eastAsia" w:ascii="仿宋_GB2312" w:hAnsi="宋体" w:eastAsia="仿宋_GB2312" w:cs="宋体"/>
          <w:color w:val="000000"/>
          <w:kern w:val="0"/>
          <w:sz w:val="32"/>
          <w:szCs w:val="32"/>
          <w:highlight w:val="none"/>
          <w:lang w:val="en-US" w:eastAsia="zh-CN"/>
        </w:rPr>
        <w:t>上年度结转资金已按工作计划支出</w:t>
      </w:r>
      <w:r>
        <w:rPr>
          <w:rFonts w:hint="eastAsia" w:ascii="仿宋_GB2312" w:hAnsi="宋体" w:eastAsia="仿宋_GB2312" w:cs="宋体"/>
          <w:color w:val="000000"/>
          <w:kern w:val="0"/>
          <w:sz w:val="32"/>
          <w:szCs w:val="32"/>
          <w:highlight w:val="none"/>
        </w:rPr>
        <w:t>。</w:t>
      </w:r>
    </w:p>
    <w:p>
      <w:pPr>
        <w:spacing w:line="600" w:lineRule="exact"/>
        <w:ind w:left="105" w:leftChars="50" w:firstLine="480" w:firstLineChars="150"/>
        <w:rPr>
          <w:rFonts w:ascii="楷体_GB2312" w:eastAsia="楷体_GB2312"/>
          <w:sz w:val="32"/>
          <w:szCs w:val="32"/>
          <w:highlight w:val="none"/>
        </w:rPr>
      </w:pPr>
      <w:r>
        <w:rPr>
          <w:rFonts w:hint="eastAsia" w:ascii="楷体_GB2312" w:eastAsia="楷体_GB2312"/>
          <w:sz w:val="32"/>
          <w:szCs w:val="32"/>
          <w:highlight w:val="none"/>
        </w:rPr>
        <w:t>（五）部门</w:t>
      </w:r>
      <w:r>
        <w:rPr>
          <w:rFonts w:ascii="楷体_GB2312" w:eastAsia="楷体_GB2312"/>
          <w:sz w:val="32"/>
          <w:szCs w:val="32"/>
          <w:highlight w:val="none"/>
        </w:rPr>
        <w:t>预决算差异率</w:t>
      </w:r>
    </w:p>
    <w:p>
      <w:pPr>
        <w:spacing w:line="600" w:lineRule="exact"/>
        <w:ind w:firstLine="640" w:firstLineChars="200"/>
        <w:rPr>
          <w:rFonts w:hint="default"/>
          <w:lang w:val="en-US"/>
        </w:rPr>
      </w:pPr>
      <w:r>
        <w:rPr>
          <w:rFonts w:hint="eastAsia" w:ascii="仿宋_GB2312" w:hAnsi="宋体" w:eastAsia="仿宋_GB2312" w:cs="宋体"/>
          <w:color w:val="000000"/>
          <w:kern w:val="0"/>
          <w:sz w:val="32"/>
          <w:szCs w:val="32"/>
          <w:highlight w:val="none"/>
          <w:lang w:val="en-US" w:eastAsia="zh-CN"/>
        </w:rPr>
        <w:t>平谷法院2022年预算收入13,459.10万元，决算收入14,037.30万元，预决算差异率4.3%。主要是新招录人员比计划多。</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经</w:t>
      </w:r>
      <w:r>
        <w:rPr>
          <w:rFonts w:hint="eastAsia" w:ascii="仿宋_GB2312" w:hAnsi="宋体" w:eastAsia="仿宋_GB2312" w:cs="宋体"/>
          <w:color w:val="000000"/>
          <w:kern w:val="0"/>
          <w:sz w:val="32"/>
          <w:szCs w:val="32"/>
          <w:lang w:val="en-US" w:eastAsia="zh-CN"/>
        </w:rPr>
        <w:t>内部</w:t>
      </w:r>
      <w:r>
        <w:rPr>
          <w:rFonts w:hint="eastAsia" w:ascii="仿宋_GB2312" w:hAnsi="宋体" w:eastAsia="仿宋_GB2312" w:cs="宋体"/>
          <w:color w:val="000000"/>
          <w:kern w:val="0"/>
          <w:sz w:val="32"/>
          <w:szCs w:val="32"/>
        </w:rPr>
        <w:t>评议,</w:t>
      </w:r>
      <w:r>
        <w:rPr>
          <w:rFonts w:hint="eastAsia" w:ascii="仿宋_GB2312" w:hAnsi="宋体" w:eastAsia="仿宋_GB2312" w:cs="宋体"/>
          <w:color w:val="000000"/>
          <w:kern w:val="0"/>
          <w:sz w:val="32"/>
          <w:szCs w:val="32"/>
          <w:lang w:val="en-US" w:eastAsia="zh-CN"/>
        </w:rPr>
        <w:t>部门支出绩效评价</w:t>
      </w:r>
      <w:r>
        <w:rPr>
          <w:rFonts w:hint="eastAsia" w:ascii="仿宋_GB2312" w:hAnsi="宋体" w:eastAsia="仿宋_GB2312" w:cs="宋体"/>
          <w:color w:val="000000"/>
          <w:kern w:val="0"/>
          <w:sz w:val="32"/>
          <w:szCs w:val="32"/>
        </w:rPr>
        <w:t>综合得</w:t>
      </w:r>
      <w:r>
        <w:rPr>
          <w:rFonts w:hint="eastAsia" w:ascii="仿宋_GB2312" w:hAnsi="宋体" w:eastAsia="仿宋_GB2312" w:cs="宋体"/>
          <w:color w:val="000000"/>
          <w:kern w:val="0"/>
          <w:sz w:val="32"/>
          <w:szCs w:val="32"/>
          <w:highlight w:val="none"/>
        </w:rPr>
        <w:t>分9</w:t>
      </w:r>
      <w:r>
        <w:rPr>
          <w:rFonts w:hint="eastAsia" w:ascii="仿宋_GB2312" w:hAnsi="宋体" w:eastAsia="仿宋_GB2312" w:cs="宋体"/>
          <w:color w:val="000000"/>
          <w:kern w:val="0"/>
          <w:sz w:val="32"/>
          <w:szCs w:val="32"/>
          <w:highlight w:val="none"/>
          <w:lang w:val="en-US" w:eastAsia="zh-CN"/>
        </w:rPr>
        <w:t>4.00</w:t>
      </w:r>
      <w:r>
        <w:rPr>
          <w:rFonts w:hint="eastAsia" w:ascii="仿宋_GB2312" w:hAnsi="宋体" w:eastAsia="仿宋_GB2312" w:cs="宋体"/>
          <w:color w:val="000000"/>
          <w:kern w:val="0"/>
          <w:sz w:val="32"/>
          <w:szCs w:val="32"/>
          <w:highlight w:val="none"/>
        </w:rPr>
        <w:t>分</w:t>
      </w:r>
      <w:r>
        <w:rPr>
          <w:rFonts w:hint="eastAsia" w:ascii="仿宋_GB2312" w:hAnsi="宋体" w:eastAsia="仿宋_GB2312" w:cs="宋体"/>
          <w:color w:val="000000"/>
          <w:kern w:val="0"/>
          <w:sz w:val="32"/>
          <w:szCs w:val="32"/>
        </w:rPr>
        <w:t>,绩效评定结论为“优秀”。</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（二）存在的问题及原因分析</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（1）部分项目未留存服务对象满意度支撑资料</w:t>
      </w:r>
      <w:r>
        <w:rPr>
          <w:rFonts w:hint="eastAsia" w:ascii="仿宋_GB2312" w:hAnsi="宋体" w:eastAsia="仿宋_GB2312" w:cs="宋体"/>
          <w:color w:val="000000"/>
          <w:kern w:val="0"/>
          <w:sz w:val="32"/>
          <w:szCs w:val="32"/>
          <w:lang w:eastAsia="zh-CN"/>
        </w:rPr>
        <w:t>。</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部分项目未留存服务对象满意度支撑资料，主要是项目实施部门绩效意识不强，绩效跟踪管理不到位。</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lang w:eastAsia="zh-CN"/>
        </w:rPr>
        <w:t>）绩效目标设定部分指标较不合理</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部分项目绩效目标设定还需进一步完善。绩效目标设定的年度指标值与实际执行值差距较大；年初成本指标分类与过程执行成本分类不一致等问题。主要是由于绩效管理工作专业性较强,单位及项目管理部门缺少专业人才,绩效管理培训不足。</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 xml:space="preserve"> （一）强化理论制度学习，提升绩效管理能力</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各部门、各单位要认真学习《中共中央国务院关于全面实施预算绩效管理的意见》（中发〔2018〕34号）、《中共北京市委北京市人民政府关于全面实施预算绩效管理的实施意见》（京发〔2019〕12号）精神、《北京市退役军人事务局预算绩效管理办法》，准确把握全面预算绩效管理工作要求，强化项目实施主体责任，加强组织领导，充实预算绩效管理人员力量，完善绩效管理制度建设，实现预算绩效管理的常态化和制度化。</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（二）抓好整改落实，做好年度绩效项目管理工作</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机关各处室、各预算单位针对年度绩效跟踪提出的问题，举一反三，认真查找本部门、本单位纳入年度绩效管理的项目中存在的不足，认真加以整改落实，切实提高项目管理水平。</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（三）推进项目绩效管理和预算管理进一步融合</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预算编制阶段，绩效目标随预算同步审核、同步批复；预算调整时，项目绩效目标随预算调整同步调整，同步审批；项目绩效评价结果，作为以后年度预算安排的重要依据。</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（四）做好宣传培训</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大力宣传绩效理念和成本意识,为全面实施预算绩效管理营造良好的舆论环境。围绕政策、制度、方法和操作流程等,开展不同层次、多种形式的预算绩效管理培训,提高预算绩效管理人员的业务素质和能力水平。</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（五）开展绩效运行跟踪全过程监控。</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将财政监督预算绩效运行工作融入日常预算管理工作之中,充分发挥财政监控职能和国库资金拨付监管作用,建立起以财政监督检查为手段、以规范约束绩效运行为目的跟踪监控机制。</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（六）加强项目各个阶段的档案管理</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完善各阶段相关文件、资料的归档、保管等管理,以便满足后续的项目审计、项目决算、项目绩效评价等管理需求的调阅。</w:t>
      </w:r>
    </w:p>
    <w:p>
      <w:pPr>
        <w:pStyle w:val="2"/>
        <w:rPr>
          <w:rFonts w:hint="eastAsia" w:ascii="仿宋_GB2312" w:hAnsi="宋体" w:eastAsia="仿宋_GB2312" w:cs="宋体"/>
          <w:color w:val="000000"/>
          <w:kern w:val="0"/>
          <w:sz w:val="32"/>
          <w:szCs w:val="32"/>
          <w:lang w:eastAsia="zh-CN"/>
        </w:rPr>
      </w:pPr>
    </w:p>
    <w:p>
      <w:pPr>
        <w:pStyle w:val="3"/>
        <w:rPr>
          <w:sz w:val="32"/>
          <w:szCs w:val="32"/>
          <w:highlight w:val="none"/>
        </w:rPr>
      </w:pPr>
      <w:bookmarkStart w:id="0" w:name="_Toc103006301"/>
      <w:r>
        <w:rPr>
          <w:rFonts w:hint="eastAsia"/>
          <w:sz w:val="32"/>
          <w:szCs w:val="32"/>
          <w:highlight w:val="none"/>
        </w:rPr>
        <w:t>七、附件</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年整体绩效评价指标体系评分</w:t>
      </w:r>
      <w:r>
        <w:rPr>
          <w:rFonts w:hint="eastAsia" w:ascii="仿宋_GB2312" w:hAnsi="仿宋_GB2312" w:eastAsia="仿宋_GB2312" w:cs="仿宋_GB2312"/>
          <w:sz w:val="32"/>
          <w:szCs w:val="32"/>
          <w:highlight w:val="none"/>
          <w:lang w:eastAsia="zh-CN"/>
        </w:rPr>
        <w:t>表</w:t>
      </w:r>
    </w:p>
    <w:p>
      <w:pPr>
        <w:pStyle w:val="2"/>
        <w:rPr>
          <w:rFonts w:hint="eastAsia"/>
          <w:lang w:eastAsia="zh-CN"/>
        </w:rPr>
        <w:sectPr>
          <w:footerReference r:id="rId3" w:type="default"/>
          <w:pgSz w:w="11906" w:h="16838"/>
          <w:pgMar w:top="1440" w:right="1800" w:bottom="1440" w:left="1800" w:header="851" w:footer="964" w:gutter="0"/>
          <w:pgNumType w:fmt="decimal" w:start="1"/>
          <w:cols w:space="425" w:num="1"/>
          <w:docGrid w:type="lines" w:linePitch="435" w:charSpace="0"/>
        </w:sectPr>
      </w:pPr>
    </w:p>
    <w:tbl>
      <w:tblPr>
        <w:tblStyle w:val="7"/>
        <w:tblW w:w="15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960"/>
        <w:gridCol w:w="2655"/>
        <w:gridCol w:w="1466"/>
        <w:gridCol w:w="1275"/>
        <w:gridCol w:w="1080"/>
        <w:gridCol w:w="1335"/>
        <w:gridCol w:w="2370"/>
        <w:gridCol w:w="3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330" w:type="dxa"/>
            <w:gridSpan w:val="9"/>
            <w:tcBorders>
              <w:top w:val="nil"/>
              <w:left w:val="nil"/>
              <w:bottom w:val="single" w:color="000000" w:sz="8" w:space="0"/>
              <w:right w:val="nil"/>
            </w:tcBorders>
            <w:shd w:val="clear" w:color="auto" w:fill="auto"/>
            <w:noWrap/>
            <w:vAlign w:val="bottom"/>
          </w:tcPr>
          <w:p>
            <w:pPr>
              <w:keepNext w:val="0"/>
              <w:keepLines w:val="0"/>
              <w:widowControl/>
              <w:suppressLineNumbers w:val="0"/>
              <w:jc w:val="left"/>
              <w:textAlignment w:val="bottom"/>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附件：</w:t>
            </w:r>
          </w:p>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4"/>
                <w:szCs w:val="44"/>
                <w:u w:val="none"/>
              </w:rPr>
            </w:pPr>
            <w:r>
              <w:rPr>
                <w:rStyle w:val="14"/>
                <w:lang w:val="en-US" w:eastAsia="zh-CN" w:bidi="ar"/>
              </w:rPr>
              <w:t>2022年部门整体绩效评价指标体系评分表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330" w:type="dxa"/>
            <w:gridSpan w:val="9"/>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r>
              <w:rPr>
                <w:rFonts w:hint="eastAsia" w:ascii="宋体" w:hAnsi="宋体" w:eastAsia="宋体" w:cs="宋体"/>
                <w:i w:val="0"/>
                <w:iCs w:val="0"/>
                <w:color w:val="000000"/>
                <w:kern w:val="0"/>
                <w:sz w:val="20"/>
                <w:szCs w:val="20"/>
                <w:u w:val="none"/>
                <w:lang w:val="en-US" w:eastAsia="zh-CN" w:bidi="ar"/>
              </w:rPr>
              <w:t>当年预算执行情况（20分）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　</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　</w:t>
            </w:r>
          </w:p>
        </w:tc>
        <w:tc>
          <w:tcPr>
            <w:tcW w:w="26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预算数（万元）</w:t>
            </w:r>
          </w:p>
        </w:tc>
        <w:tc>
          <w:tcPr>
            <w:tcW w:w="14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执行数（万元）</w:t>
            </w:r>
          </w:p>
        </w:tc>
        <w:tc>
          <w:tcPr>
            <w:tcW w:w="12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3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37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指标解释</w:t>
            </w:r>
          </w:p>
        </w:tc>
        <w:tc>
          <w:tcPr>
            <w:tcW w:w="31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当年预算执行情况（20）</w:t>
            </w:r>
          </w:p>
        </w:tc>
        <w:tc>
          <w:tcPr>
            <w:tcW w:w="9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资金总体</w:t>
            </w:r>
          </w:p>
        </w:tc>
        <w:tc>
          <w:tcPr>
            <w:tcW w:w="265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14,049.51 </w:t>
            </w:r>
          </w:p>
        </w:tc>
        <w:tc>
          <w:tcPr>
            <w:tcW w:w="142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14,561.46 </w:t>
            </w:r>
          </w:p>
        </w:tc>
        <w:tc>
          <w:tcPr>
            <w:tcW w:w="127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103.64%</w:t>
            </w: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7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部门全年执行数与全年预算数的比率。资金总体=基本支出+项目支出+其他</w:t>
            </w:r>
          </w:p>
        </w:tc>
        <w:tc>
          <w:tcPr>
            <w:tcW w:w="315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①得分一档最高不能超过该指标分值上限（20分）。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7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11,385.43 </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11,897.49 </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104.50%</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7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2,664.08 </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2,663.97 </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7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65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7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330" w:type="dxa"/>
            <w:gridSpan w:val="9"/>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r>
              <w:rPr>
                <w:rFonts w:hint="eastAsia" w:ascii="宋体" w:hAnsi="宋体" w:eastAsia="宋体" w:cs="宋体"/>
                <w:i w:val="0"/>
                <w:iCs w:val="0"/>
                <w:color w:val="000000"/>
                <w:kern w:val="0"/>
                <w:sz w:val="20"/>
                <w:szCs w:val="20"/>
                <w:u w:val="none"/>
                <w:lang w:val="en-US" w:eastAsia="zh-CN" w:bidi="ar"/>
              </w:rPr>
              <w:t>整体绩效目标实现情况（60分）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　</w:t>
            </w:r>
          </w:p>
        </w:tc>
        <w:tc>
          <w:tcPr>
            <w:tcW w:w="265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　</w:t>
            </w:r>
          </w:p>
        </w:tc>
        <w:tc>
          <w:tcPr>
            <w:tcW w:w="142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27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完成值</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335" w:type="dxa"/>
            <w:tcBorders>
              <w:top w:val="single" w:color="000000" w:sz="8"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指标解释</w:t>
            </w:r>
          </w:p>
        </w:tc>
        <w:tc>
          <w:tcPr>
            <w:tcW w:w="31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产出（30）</w:t>
            </w:r>
          </w:p>
        </w:tc>
        <w:tc>
          <w:tcPr>
            <w:tcW w:w="2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效益指标社会效益指标推动安全可靠自主可控技术体系发展</w:t>
            </w:r>
          </w:p>
        </w:tc>
        <w:tc>
          <w:tcPr>
            <w:tcW w:w="0" w:type="auto"/>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1080"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0"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数量：计划完成率=（实际完成工作数/计划工作数）×100%。实际完成工作数：一定时期（年度或规划期）内部门（单位）实际完成工作任务的数量。计划工作数：部门（单位）整体绩效目标确定的一定时期（年度或规划期）内预计完成工作任务的数量。产出质量：质量达标率=质量达标工作数/实际完成工作数×100%。质量达标工作数：一定时期（年度或规划期）内部门（单位）实际完成工作数中达到部门绩效目标要求（绩效标准值）的工作任务数量。产出进度：按时完成率=（按时完成工作数/实际完成工作数）×100%。按时完成工作数：部门（单位）按照整体绩效目标确定的时限实际完成的工作任务数量。产出成本：单位产出相对于上一年度的节约额；②单位产出相对于市场同类产出的节约额；③部门公用经费的控制情况。</w:t>
            </w:r>
          </w:p>
        </w:tc>
        <w:tc>
          <w:tcPr>
            <w:tcW w:w="3150"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部门根据本单位情况自行确定并选择产出指标，合理确定各项指标权重。可量化的指标按照比率*单项指标分值即为该指标得分。如果不能定量评价，则以定性的方式进行自评。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产出指标时效指标平均结案时限</w:t>
            </w:r>
          </w:p>
        </w:tc>
        <w:tc>
          <w:tcPr>
            <w:tcW w:w="0" w:type="auto"/>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≤22天</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22天</w:t>
            </w:r>
          </w:p>
        </w:tc>
        <w:tc>
          <w:tcPr>
            <w:tcW w:w="1080"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产出指标数量指标服务项目</w:t>
            </w:r>
          </w:p>
        </w:tc>
        <w:tc>
          <w:tcPr>
            <w:tcW w:w="0" w:type="auto"/>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≥4项</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4项</w:t>
            </w:r>
          </w:p>
        </w:tc>
        <w:tc>
          <w:tcPr>
            <w:tcW w:w="1080"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产出指标成本指标支出费用</w:t>
            </w:r>
          </w:p>
        </w:tc>
        <w:tc>
          <w:tcPr>
            <w:tcW w:w="0" w:type="auto"/>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≤1133.6万元</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1133.6万元</w:t>
            </w:r>
          </w:p>
        </w:tc>
        <w:tc>
          <w:tcPr>
            <w:tcW w:w="1080"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产出指标成本指标支出费用</w:t>
            </w:r>
          </w:p>
        </w:tc>
        <w:tc>
          <w:tcPr>
            <w:tcW w:w="0" w:type="auto"/>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≤427.66万元</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560.23万元</w:t>
            </w:r>
          </w:p>
        </w:tc>
        <w:tc>
          <w:tcPr>
            <w:tcW w:w="1080"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产出指标时效指标故障修复</w:t>
            </w:r>
          </w:p>
        </w:tc>
        <w:tc>
          <w:tcPr>
            <w:tcW w:w="0" w:type="auto"/>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≤1小时</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1小时</w:t>
            </w:r>
          </w:p>
        </w:tc>
        <w:tc>
          <w:tcPr>
            <w:tcW w:w="1080"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满意度指标服务对象满意度指标服务于全院干警</w:t>
            </w:r>
          </w:p>
        </w:tc>
        <w:tc>
          <w:tcPr>
            <w:tcW w:w="0" w:type="auto"/>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≥300人</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312人</w:t>
            </w:r>
          </w:p>
        </w:tc>
        <w:tc>
          <w:tcPr>
            <w:tcW w:w="1080"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产出指标数量指标全年收案数量</w:t>
            </w:r>
          </w:p>
        </w:tc>
        <w:tc>
          <w:tcPr>
            <w:tcW w:w="0" w:type="auto"/>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≥20000件</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17573件</w:t>
            </w:r>
          </w:p>
        </w:tc>
        <w:tc>
          <w:tcPr>
            <w:tcW w:w="1080"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37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产出指标质量指标全年结案数量</w:t>
            </w:r>
          </w:p>
        </w:tc>
        <w:tc>
          <w:tcPr>
            <w:tcW w:w="0" w:type="auto"/>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≥17422件</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17909件</w:t>
            </w:r>
          </w:p>
        </w:tc>
        <w:tc>
          <w:tcPr>
            <w:tcW w:w="1080"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效益指标可持续影响指标全年结案数量</w:t>
            </w:r>
          </w:p>
        </w:tc>
        <w:tc>
          <w:tcPr>
            <w:tcW w:w="0" w:type="auto"/>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≥17422件</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17909件</w:t>
            </w:r>
          </w:p>
        </w:tc>
        <w:tc>
          <w:tcPr>
            <w:tcW w:w="1080"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50"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效果（30）</w:t>
            </w:r>
          </w:p>
        </w:tc>
        <w:tc>
          <w:tcPr>
            <w:tcW w:w="26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推动安全可靠自主可控技术体系的发展，持续推动安全可靠应用社会效益，提升政府协同办公效率。</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经济效益</w:t>
            </w:r>
            <w:r>
              <w:rPr>
                <w:rFonts w:hint="eastAsia" w:ascii="宋体" w:hAnsi="宋体" w:eastAsia="宋体" w:cs="宋体"/>
                <w:i w:val="0"/>
                <w:iCs w:val="0"/>
                <w:color w:val="000000"/>
                <w:kern w:val="0"/>
                <w:sz w:val="18"/>
                <w:szCs w:val="18"/>
                <w:u w:val="none"/>
                <w:lang w:val="en-US" w:eastAsia="zh-CN" w:bidi="ar"/>
              </w:rPr>
              <w:t>：部门（单位）履行职责对经济发展所带来的直接或间接影响。</w:t>
            </w:r>
            <w:r>
              <w:rPr>
                <w:rFonts w:hint="eastAsia" w:ascii="宋体" w:hAnsi="宋体" w:eastAsia="宋体" w:cs="宋体"/>
                <w:b/>
                <w:bCs/>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t>：部门（单位）履行职责对社会发展所带来的直接或间接影响。</w:t>
            </w:r>
            <w:r>
              <w:rPr>
                <w:rFonts w:hint="eastAsia" w:ascii="宋体" w:hAnsi="宋体" w:eastAsia="宋体" w:cs="宋体"/>
                <w:b/>
                <w:bCs/>
                <w:i w:val="0"/>
                <w:iCs w:val="0"/>
                <w:color w:val="000000"/>
                <w:kern w:val="0"/>
                <w:sz w:val="18"/>
                <w:szCs w:val="18"/>
                <w:u w:val="none"/>
                <w:lang w:val="en-US" w:eastAsia="zh-CN" w:bidi="ar"/>
              </w:rPr>
              <w:t>环境效益</w:t>
            </w:r>
            <w:r>
              <w:rPr>
                <w:rFonts w:hint="eastAsia" w:ascii="宋体" w:hAnsi="宋体" w:eastAsia="宋体" w:cs="宋体"/>
                <w:i w:val="0"/>
                <w:iCs w:val="0"/>
                <w:color w:val="000000"/>
                <w:kern w:val="0"/>
                <w:sz w:val="18"/>
                <w:szCs w:val="18"/>
                <w:u w:val="none"/>
                <w:lang w:val="en-US" w:eastAsia="zh-CN" w:bidi="ar"/>
              </w:rPr>
              <w:t>：部门（单位）履行职责对环境所带来的直接或间接影响。</w:t>
            </w:r>
            <w:r>
              <w:rPr>
                <w:rFonts w:hint="eastAsia" w:ascii="宋体" w:hAnsi="宋体" w:eastAsia="宋体" w:cs="宋体"/>
                <w:b/>
                <w:bCs/>
                <w:i w:val="0"/>
                <w:iCs w:val="0"/>
                <w:color w:val="000000"/>
                <w:kern w:val="0"/>
                <w:sz w:val="18"/>
                <w:szCs w:val="18"/>
                <w:u w:val="none"/>
                <w:lang w:val="en-US" w:eastAsia="zh-CN" w:bidi="ar"/>
              </w:rPr>
              <w:t>可持续性影响：</w:t>
            </w:r>
            <w:r>
              <w:rPr>
                <w:rFonts w:hint="eastAsia" w:ascii="宋体" w:hAnsi="宋体" w:eastAsia="宋体" w:cs="宋体"/>
                <w:i w:val="0"/>
                <w:iCs w:val="0"/>
                <w:color w:val="000000"/>
                <w:kern w:val="0"/>
                <w:sz w:val="18"/>
                <w:szCs w:val="18"/>
                <w:u w:val="none"/>
                <w:lang w:val="en-US" w:eastAsia="zh-CN" w:bidi="ar"/>
              </w:rPr>
              <w:t>部门绩效目标实现的长效机制建设情况，部门工作效率提升措施的创新。</w:t>
            </w:r>
            <w:r>
              <w:rPr>
                <w:rFonts w:hint="eastAsia" w:ascii="宋体" w:hAnsi="宋体" w:eastAsia="宋体" w:cs="宋体"/>
                <w:b/>
                <w:bCs/>
                <w:i w:val="0"/>
                <w:iCs w:val="0"/>
                <w:color w:val="000000"/>
                <w:kern w:val="0"/>
                <w:sz w:val="18"/>
                <w:szCs w:val="18"/>
                <w:u w:val="none"/>
                <w:lang w:val="en-US" w:eastAsia="zh-CN" w:bidi="ar"/>
              </w:rPr>
              <w:t>服务对象满意度</w:t>
            </w:r>
            <w:r>
              <w:rPr>
                <w:rFonts w:hint="eastAsia" w:ascii="宋体" w:hAnsi="宋体" w:eastAsia="宋体" w:cs="宋体"/>
                <w:i w:val="0"/>
                <w:iCs w:val="0"/>
                <w:color w:val="000000"/>
                <w:kern w:val="0"/>
                <w:sz w:val="18"/>
                <w:szCs w:val="18"/>
                <w:u w:val="none"/>
                <w:lang w:val="en-US" w:eastAsia="zh-CN" w:bidi="ar"/>
              </w:rPr>
              <w:t>：部门（单位）的服务对象对部门履职效果的满意程度。</w:t>
            </w:r>
          </w:p>
        </w:tc>
        <w:tc>
          <w:tcPr>
            <w:tcW w:w="31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部门根据实际情况选择指标进行填写，并将其细化为相应的个性化指标。对于效益类指标可从受益对象瞄准度、受益广度和受益深度上进行设计分析。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构建和谐社会提供法制保障。</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330" w:type="dxa"/>
            <w:gridSpan w:val="9"/>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r>
              <w:rPr>
                <w:rFonts w:hint="eastAsia" w:ascii="宋体" w:hAnsi="宋体" w:eastAsia="宋体" w:cs="宋体"/>
                <w:i w:val="0"/>
                <w:iCs w:val="0"/>
                <w:color w:val="000000"/>
                <w:kern w:val="0"/>
                <w:sz w:val="20"/>
                <w:szCs w:val="20"/>
                <w:u w:val="none"/>
                <w:lang w:val="en-US" w:eastAsia="zh-CN" w:bidi="ar"/>
              </w:rPr>
              <w:t>预算管理情况（20分）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6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2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完成值</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0" w:type="auto"/>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3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指标解释</w:t>
            </w:r>
          </w:p>
        </w:tc>
        <w:tc>
          <w:tcPr>
            <w:tcW w:w="31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预算管理情况（20）</w:t>
            </w:r>
          </w:p>
        </w:tc>
        <w:tc>
          <w:tcPr>
            <w:tcW w:w="9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财务管理（4）</w:t>
            </w:r>
          </w:p>
        </w:tc>
        <w:tc>
          <w:tcPr>
            <w:tcW w:w="26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财务管理制度健全性</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财务管理制度健全性:</w:t>
            </w:r>
            <w:r>
              <w:rPr>
                <w:rFonts w:hint="eastAsia" w:ascii="宋体" w:hAnsi="宋体" w:eastAsia="宋体" w:cs="宋体"/>
                <w:i w:val="0"/>
                <w:iCs w:val="0"/>
                <w:color w:val="000000"/>
                <w:kern w:val="0"/>
                <w:sz w:val="18"/>
                <w:szCs w:val="18"/>
                <w:u w:val="none"/>
                <w:lang w:val="en-US" w:eastAsia="zh-CN" w:bidi="ar"/>
              </w:rPr>
              <w:t>部门（单位）为加强财务管理、规范财务行为而制定的管理制度。</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①预算资金管理办法、绩效跟踪管理办法、资产管理办法等各项制度是否健全；②部门内部财务管理制度是否完整、合规；③会计核算制度是否完整、合规。每有一项不合格扣0.5分，扣完为止。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资金使用合规性和安全性</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资金使用合规性和安全性:</w:t>
            </w:r>
            <w:r>
              <w:rPr>
                <w:rFonts w:hint="eastAsia" w:ascii="宋体" w:hAnsi="宋体" w:eastAsia="宋体" w:cs="宋体"/>
                <w:i w:val="0"/>
                <w:iCs w:val="0"/>
                <w:color w:val="000000"/>
                <w:kern w:val="0"/>
                <w:sz w:val="18"/>
                <w:szCs w:val="18"/>
                <w:u w:val="none"/>
                <w:lang w:val="en-US" w:eastAsia="zh-CN" w:bidi="ar"/>
              </w:rPr>
              <w:t>部门（单位）使用预算资金是否符合相关的预算财务管理制度的规定，是否符合相关规定的开支范围，用以反映考核部门（单位）预算资金的规范运行和安全运行情况。</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会计基础信息完善性</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会计基础信息完善性:</w:t>
            </w:r>
            <w:r>
              <w:rPr>
                <w:rFonts w:hint="eastAsia" w:ascii="宋体" w:hAnsi="宋体" w:eastAsia="宋体" w:cs="宋体"/>
                <w:i w:val="0"/>
                <w:iCs w:val="0"/>
                <w:color w:val="000000"/>
                <w:kern w:val="0"/>
                <w:sz w:val="18"/>
                <w:szCs w:val="18"/>
                <w:u w:val="none"/>
                <w:lang w:val="en-US" w:eastAsia="zh-CN" w:bidi="ar"/>
              </w:rPr>
              <w:t>部门（单位）会计基础信息情况。</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①基础数据信息和会计信息资料是否真实；②基础数据信息和会计信息资料是否完整；③基础数据信息和会计信息资料是否准确。每有一项不合格扣0.5分，扣完为止。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资产管理（4）</w:t>
            </w:r>
          </w:p>
        </w:tc>
        <w:tc>
          <w:tcPr>
            <w:tcW w:w="26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资产管理规范性</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资产管理规范性:</w:t>
            </w:r>
            <w:r>
              <w:rPr>
                <w:rFonts w:hint="eastAsia" w:ascii="宋体" w:hAnsi="宋体" w:eastAsia="宋体" w:cs="宋体"/>
                <w:i w:val="0"/>
                <w:iCs w:val="0"/>
                <w:color w:val="000000"/>
                <w:kern w:val="0"/>
                <w:sz w:val="18"/>
                <w:szCs w:val="18"/>
                <w:u w:val="none"/>
                <w:lang w:val="en-US" w:eastAsia="zh-CN" w:bidi="ar"/>
              </w:rPr>
              <w:t>部门（单位）的资产是否保持安全完整，资产配置是否合理，资产使用和资产处理是否规范，用以反映和考核部门（单位）资产管理的整体水平。</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绩效管理（4）</w:t>
            </w:r>
          </w:p>
        </w:tc>
        <w:tc>
          <w:tcPr>
            <w:tcW w:w="26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绩效管理情况</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绩效管理情况:</w:t>
            </w:r>
            <w:r>
              <w:rPr>
                <w:rFonts w:hint="eastAsia" w:ascii="宋体" w:hAnsi="宋体" w:eastAsia="宋体" w:cs="宋体"/>
                <w:i w:val="0"/>
                <w:iCs w:val="0"/>
                <w:color w:val="000000"/>
                <w:kern w:val="0"/>
                <w:sz w:val="18"/>
                <w:szCs w:val="18"/>
                <w:u w:val="none"/>
                <w:lang w:val="en-US" w:eastAsia="zh-CN" w:bidi="ar"/>
              </w:rPr>
              <w:t>考核部门（单位）在绩效管理信息的汇总和应用情况。</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①部门（单位）是否及时对绩效信息进行汇总分析整理；②部门（单位）是否对绩效目标偏离情况及时进行矫正。每有一项不合格扣2分。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　</w:t>
            </w:r>
          </w:p>
        </w:tc>
        <w:tc>
          <w:tcPr>
            <w:tcW w:w="408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3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3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指标解释</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结转结余率（4）</w:t>
            </w:r>
          </w:p>
        </w:tc>
        <w:tc>
          <w:tcPr>
            <w:tcW w:w="4080"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127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5"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70"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结转结余率=结转结余总额/支出预算数×100%。</w:t>
            </w:r>
          </w:p>
        </w:tc>
        <w:tc>
          <w:tcPr>
            <w:tcW w:w="315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408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5"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结转结余总额：部门（单位）本年度的结转资金与结余资金之和。</w:t>
            </w:r>
          </w:p>
        </w:tc>
        <w:tc>
          <w:tcPr>
            <w:tcW w:w="315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部门预决算差异率（4）</w:t>
            </w:r>
          </w:p>
        </w:tc>
        <w:tc>
          <w:tcPr>
            <w:tcW w:w="4080" w:type="dxa"/>
            <w:gridSpan w:val="2"/>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通过年度部门决算与年初部门预算对比，对部门的年度支出情况进行考核，衡量部门预算的约束力。</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部门预决算差异率高于市级平均差异率（28.3%）的，每高出10%（含），扣0.4分，扣完为止。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5"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35"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94.00 </w:t>
            </w:r>
          </w:p>
        </w:tc>
        <w:tc>
          <w:tcPr>
            <w:tcW w:w="5520"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ind w:left="0" w:leftChars="0" w:firstLine="0" w:firstLineChars="0"/>
        <w:rPr>
          <w:rFonts w:hint="eastAsia" w:ascii="仿宋_GB2312" w:hAnsi="宋体" w:eastAsia="仿宋_GB2312" w:cs="宋体"/>
          <w:color w:val="000000"/>
          <w:kern w:val="0"/>
          <w:sz w:val="32"/>
          <w:szCs w:val="32"/>
          <w:lang w:eastAsia="zh-CN"/>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pPr>
        <w:pStyle w:val="2"/>
        <w:ind w:left="0" w:leftChars="0" w:firstLine="0" w:firstLineChars="0"/>
        <w:rPr>
          <w:rFonts w:hint="eastAsia" w:ascii="仿宋_GB2312" w:hAnsi="宋体" w:eastAsia="仿宋_GB2312" w:cs="宋体"/>
          <w:color w:val="000000"/>
          <w:kern w:val="0"/>
          <w:sz w:val="32"/>
          <w:szCs w:val="32"/>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rPr>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ZWQwMzdkMzMxODcyMTFhZTg4N2M5YTk1ZTZjYzAifQ=="/>
  </w:docVars>
  <w:rsids>
    <w:rsidRoot w:val="F77F09F4"/>
    <w:rsid w:val="008463C9"/>
    <w:rsid w:val="00977B14"/>
    <w:rsid w:val="00D20B4D"/>
    <w:rsid w:val="00E173E3"/>
    <w:rsid w:val="010871D6"/>
    <w:rsid w:val="01427245"/>
    <w:rsid w:val="01D24F80"/>
    <w:rsid w:val="01DC7CAC"/>
    <w:rsid w:val="02377801"/>
    <w:rsid w:val="03D16945"/>
    <w:rsid w:val="04227975"/>
    <w:rsid w:val="044C50BA"/>
    <w:rsid w:val="044D0983"/>
    <w:rsid w:val="05BE1FE7"/>
    <w:rsid w:val="06295B3A"/>
    <w:rsid w:val="062A142B"/>
    <w:rsid w:val="065F657B"/>
    <w:rsid w:val="069C0CF8"/>
    <w:rsid w:val="06A273B1"/>
    <w:rsid w:val="0700541D"/>
    <w:rsid w:val="07126147"/>
    <w:rsid w:val="078E2B0D"/>
    <w:rsid w:val="07972BFD"/>
    <w:rsid w:val="07A442F1"/>
    <w:rsid w:val="08135F0E"/>
    <w:rsid w:val="08512C9F"/>
    <w:rsid w:val="08802A27"/>
    <w:rsid w:val="089357DE"/>
    <w:rsid w:val="08C0550B"/>
    <w:rsid w:val="08D73E56"/>
    <w:rsid w:val="09045F63"/>
    <w:rsid w:val="097237E4"/>
    <w:rsid w:val="09E85885"/>
    <w:rsid w:val="0A474568"/>
    <w:rsid w:val="0A606EED"/>
    <w:rsid w:val="0A7B720E"/>
    <w:rsid w:val="0CDA7707"/>
    <w:rsid w:val="0D8256A8"/>
    <w:rsid w:val="0DB12CD2"/>
    <w:rsid w:val="0E121122"/>
    <w:rsid w:val="0FE663C2"/>
    <w:rsid w:val="10141182"/>
    <w:rsid w:val="10F66AD9"/>
    <w:rsid w:val="10F863AD"/>
    <w:rsid w:val="11334B52"/>
    <w:rsid w:val="11B4482B"/>
    <w:rsid w:val="125535EC"/>
    <w:rsid w:val="129801D4"/>
    <w:rsid w:val="12A606A8"/>
    <w:rsid w:val="12AE5F8A"/>
    <w:rsid w:val="13767449"/>
    <w:rsid w:val="13BF1A49"/>
    <w:rsid w:val="13E7095B"/>
    <w:rsid w:val="13FF42B8"/>
    <w:rsid w:val="14186369"/>
    <w:rsid w:val="144D6AC7"/>
    <w:rsid w:val="145974F7"/>
    <w:rsid w:val="14A53ABA"/>
    <w:rsid w:val="14E37374"/>
    <w:rsid w:val="14F84610"/>
    <w:rsid w:val="150257BB"/>
    <w:rsid w:val="150F3803"/>
    <w:rsid w:val="154C7F64"/>
    <w:rsid w:val="15711BC1"/>
    <w:rsid w:val="15B42152"/>
    <w:rsid w:val="16155ACF"/>
    <w:rsid w:val="161D611A"/>
    <w:rsid w:val="16315EBE"/>
    <w:rsid w:val="17A82372"/>
    <w:rsid w:val="18842D05"/>
    <w:rsid w:val="18E831AB"/>
    <w:rsid w:val="1949206D"/>
    <w:rsid w:val="197B0BEB"/>
    <w:rsid w:val="197F6F94"/>
    <w:rsid w:val="1A150C75"/>
    <w:rsid w:val="1A987F77"/>
    <w:rsid w:val="1AE836F5"/>
    <w:rsid w:val="1AF312E1"/>
    <w:rsid w:val="1BB20CE1"/>
    <w:rsid w:val="1BB76E65"/>
    <w:rsid w:val="1BB805C4"/>
    <w:rsid w:val="1CFD0F69"/>
    <w:rsid w:val="1E2A6014"/>
    <w:rsid w:val="1E6D0ADF"/>
    <w:rsid w:val="1EB86E6F"/>
    <w:rsid w:val="1EC7766E"/>
    <w:rsid w:val="1ECD61C2"/>
    <w:rsid w:val="1F3E1268"/>
    <w:rsid w:val="1F4A5544"/>
    <w:rsid w:val="1F533349"/>
    <w:rsid w:val="1F6E53CE"/>
    <w:rsid w:val="1FEE2497"/>
    <w:rsid w:val="203A51A7"/>
    <w:rsid w:val="204E02D0"/>
    <w:rsid w:val="21444369"/>
    <w:rsid w:val="22BE6442"/>
    <w:rsid w:val="22CC1448"/>
    <w:rsid w:val="23B36F94"/>
    <w:rsid w:val="23D22A8E"/>
    <w:rsid w:val="242E188A"/>
    <w:rsid w:val="25B93872"/>
    <w:rsid w:val="25F61387"/>
    <w:rsid w:val="26091268"/>
    <w:rsid w:val="265527FC"/>
    <w:rsid w:val="26BF1DB9"/>
    <w:rsid w:val="27770CFB"/>
    <w:rsid w:val="280A3748"/>
    <w:rsid w:val="2868597F"/>
    <w:rsid w:val="28F628F2"/>
    <w:rsid w:val="295069EF"/>
    <w:rsid w:val="295A0A39"/>
    <w:rsid w:val="29A43729"/>
    <w:rsid w:val="29B11398"/>
    <w:rsid w:val="2A30692F"/>
    <w:rsid w:val="2A6754CA"/>
    <w:rsid w:val="2A97580D"/>
    <w:rsid w:val="2C6300F0"/>
    <w:rsid w:val="2CAF267A"/>
    <w:rsid w:val="2D345B29"/>
    <w:rsid w:val="2D766B80"/>
    <w:rsid w:val="2E513149"/>
    <w:rsid w:val="2E8E2315"/>
    <w:rsid w:val="2E9A3508"/>
    <w:rsid w:val="2F0E6939"/>
    <w:rsid w:val="2F484C94"/>
    <w:rsid w:val="2FDB716E"/>
    <w:rsid w:val="302D4553"/>
    <w:rsid w:val="30C931D7"/>
    <w:rsid w:val="32C3297D"/>
    <w:rsid w:val="33067D66"/>
    <w:rsid w:val="33450900"/>
    <w:rsid w:val="335F02EF"/>
    <w:rsid w:val="33721B98"/>
    <w:rsid w:val="33C9028D"/>
    <w:rsid w:val="33FC5905"/>
    <w:rsid w:val="3451285B"/>
    <w:rsid w:val="345F53E2"/>
    <w:rsid w:val="34A2025B"/>
    <w:rsid w:val="353E4E8E"/>
    <w:rsid w:val="362C24D2"/>
    <w:rsid w:val="36AA1648"/>
    <w:rsid w:val="37173543"/>
    <w:rsid w:val="37215DAE"/>
    <w:rsid w:val="374D23CD"/>
    <w:rsid w:val="378E4AC6"/>
    <w:rsid w:val="37985945"/>
    <w:rsid w:val="37AE6F16"/>
    <w:rsid w:val="37E665AE"/>
    <w:rsid w:val="38455560"/>
    <w:rsid w:val="3898502D"/>
    <w:rsid w:val="38AC5B9E"/>
    <w:rsid w:val="39D15AB0"/>
    <w:rsid w:val="3A9B7735"/>
    <w:rsid w:val="3B15706C"/>
    <w:rsid w:val="3BFB7284"/>
    <w:rsid w:val="3C1C6B44"/>
    <w:rsid w:val="3C905422"/>
    <w:rsid w:val="3CE63898"/>
    <w:rsid w:val="3D3F04E9"/>
    <w:rsid w:val="3E1154D7"/>
    <w:rsid w:val="3E467EA9"/>
    <w:rsid w:val="3E5445FD"/>
    <w:rsid w:val="3F067638"/>
    <w:rsid w:val="3F6B1EDC"/>
    <w:rsid w:val="3FF76880"/>
    <w:rsid w:val="40335E8A"/>
    <w:rsid w:val="40A8309D"/>
    <w:rsid w:val="40BF4BE5"/>
    <w:rsid w:val="40F24318"/>
    <w:rsid w:val="41173118"/>
    <w:rsid w:val="41DD24D5"/>
    <w:rsid w:val="42B34630"/>
    <w:rsid w:val="43811FD9"/>
    <w:rsid w:val="440305EA"/>
    <w:rsid w:val="44172340"/>
    <w:rsid w:val="442A5B77"/>
    <w:rsid w:val="4430027A"/>
    <w:rsid w:val="4466056F"/>
    <w:rsid w:val="450E7362"/>
    <w:rsid w:val="45C657A6"/>
    <w:rsid w:val="45FC0D39"/>
    <w:rsid w:val="461948EC"/>
    <w:rsid w:val="46C671D1"/>
    <w:rsid w:val="46D97434"/>
    <w:rsid w:val="46FF32EA"/>
    <w:rsid w:val="47E31918"/>
    <w:rsid w:val="482F7405"/>
    <w:rsid w:val="484F02A2"/>
    <w:rsid w:val="4A5F52AA"/>
    <w:rsid w:val="4A6F3A11"/>
    <w:rsid w:val="4ACB7A04"/>
    <w:rsid w:val="4B1A264B"/>
    <w:rsid w:val="4B696400"/>
    <w:rsid w:val="4CE6655D"/>
    <w:rsid w:val="4DA26964"/>
    <w:rsid w:val="4DC808DA"/>
    <w:rsid w:val="4DE30CDF"/>
    <w:rsid w:val="4DF77BD1"/>
    <w:rsid w:val="4DFF7A8E"/>
    <w:rsid w:val="4E39442C"/>
    <w:rsid w:val="4E9E788D"/>
    <w:rsid w:val="4EE4279F"/>
    <w:rsid w:val="4EF253F4"/>
    <w:rsid w:val="4F296473"/>
    <w:rsid w:val="50024581"/>
    <w:rsid w:val="504E0750"/>
    <w:rsid w:val="50567B05"/>
    <w:rsid w:val="505E3E7E"/>
    <w:rsid w:val="50DC3E84"/>
    <w:rsid w:val="51383B4E"/>
    <w:rsid w:val="51823496"/>
    <w:rsid w:val="51FE2294"/>
    <w:rsid w:val="52770E61"/>
    <w:rsid w:val="52FD6BC0"/>
    <w:rsid w:val="534A7FE3"/>
    <w:rsid w:val="53A019B1"/>
    <w:rsid w:val="5496409B"/>
    <w:rsid w:val="55124B31"/>
    <w:rsid w:val="552044B6"/>
    <w:rsid w:val="556047A1"/>
    <w:rsid w:val="56674A08"/>
    <w:rsid w:val="56F706FD"/>
    <w:rsid w:val="574D4486"/>
    <w:rsid w:val="577377C7"/>
    <w:rsid w:val="57E5652D"/>
    <w:rsid w:val="580E03AC"/>
    <w:rsid w:val="583152CE"/>
    <w:rsid w:val="587B6C7C"/>
    <w:rsid w:val="58F45FF9"/>
    <w:rsid w:val="590D08BB"/>
    <w:rsid w:val="594C6255"/>
    <w:rsid w:val="599E4BE5"/>
    <w:rsid w:val="5A604FF3"/>
    <w:rsid w:val="5ABD0186"/>
    <w:rsid w:val="5AD42736"/>
    <w:rsid w:val="5B10566E"/>
    <w:rsid w:val="5B820BE0"/>
    <w:rsid w:val="5C425823"/>
    <w:rsid w:val="5DA6050C"/>
    <w:rsid w:val="5DDC0500"/>
    <w:rsid w:val="5DF57A1C"/>
    <w:rsid w:val="5DF72B16"/>
    <w:rsid w:val="5E5B2FBB"/>
    <w:rsid w:val="5E643C60"/>
    <w:rsid w:val="5EE51426"/>
    <w:rsid w:val="5EEF5485"/>
    <w:rsid w:val="60335DCE"/>
    <w:rsid w:val="603D2140"/>
    <w:rsid w:val="60866428"/>
    <w:rsid w:val="60A52CFD"/>
    <w:rsid w:val="61C63C59"/>
    <w:rsid w:val="628A15AD"/>
    <w:rsid w:val="62AC3ECF"/>
    <w:rsid w:val="63F93F31"/>
    <w:rsid w:val="640B24A8"/>
    <w:rsid w:val="64334E9A"/>
    <w:rsid w:val="64FA4F06"/>
    <w:rsid w:val="653763C8"/>
    <w:rsid w:val="65447BF7"/>
    <w:rsid w:val="668D30D8"/>
    <w:rsid w:val="66AE6619"/>
    <w:rsid w:val="66F425DE"/>
    <w:rsid w:val="6746750A"/>
    <w:rsid w:val="67BA708E"/>
    <w:rsid w:val="681568AC"/>
    <w:rsid w:val="68273FF7"/>
    <w:rsid w:val="687C2595"/>
    <w:rsid w:val="68D92277"/>
    <w:rsid w:val="6A3A6264"/>
    <w:rsid w:val="6A4C12B6"/>
    <w:rsid w:val="6B087BAE"/>
    <w:rsid w:val="6B19056F"/>
    <w:rsid w:val="6B3506F9"/>
    <w:rsid w:val="6B622128"/>
    <w:rsid w:val="6BA21DA4"/>
    <w:rsid w:val="6D3F7339"/>
    <w:rsid w:val="6DB54202"/>
    <w:rsid w:val="6E0033A7"/>
    <w:rsid w:val="6EA32620"/>
    <w:rsid w:val="6EF90E1F"/>
    <w:rsid w:val="6F0B4673"/>
    <w:rsid w:val="6F663314"/>
    <w:rsid w:val="6F957A8D"/>
    <w:rsid w:val="71752277"/>
    <w:rsid w:val="71B37676"/>
    <w:rsid w:val="71F3606C"/>
    <w:rsid w:val="71F41A8B"/>
    <w:rsid w:val="7218332F"/>
    <w:rsid w:val="724F0D1A"/>
    <w:rsid w:val="7396002D"/>
    <w:rsid w:val="742E5E72"/>
    <w:rsid w:val="7434641A"/>
    <w:rsid w:val="747A400A"/>
    <w:rsid w:val="74EA492B"/>
    <w:rsid w:val="768B79D3"/>
    <w:rsid w:val="76B87D64"/>
    <w:rsid w:val="76D51394"/>
    <w:rsid w:val="76E62DA4"/>
    <w:rsid w:val="76F53C3E"/>
    <w:rsid w:val="775B2D88"/>
    <w:rsid w:val="780D6D66"/>
    <w:rsid w:val="78A5756F"/>
    <w:rsid w:val="78C935D5"/>
    <w:rsid w:val="7968355D"/>
    <w:rsid w:val="799B06F9"/>
    <w:rsid w:val="7AB7FF50"/>
    <w:rsid w:val="7AFB559C"/>
    <w:rsid w:val="7B2B073C"/>
    <w:rsid w:val="7B454957"/>
    <w:rsid w:val="7BD302C6"/>
    <w:rsid w:val="7BFA5853"/>
    <w:rsid w:val="7BFEB0DB"/>
    <w:rsid w:val="7C5C02BC"/>
    <w:rsid w:val="7EC44063"/>
    <w:rsid w:val="7F9F17FD"/>
    <w:rsid w:val="7FEC78F7"/>
    <w:rsid w:val="CEFD3F3D"/>
    <w:rsid w:val="EA3F77F2"/>
    <w:rsid w:val="EEFE5989"/>
    <w:rsid w:val="EFCF3EAE"/>
    <w:rsid w:val="F5B764A2"/>
    <w:rsid w:val="F77F09F4"/>
    <w:rsid w:val="FFD7BFFC"/>
    <w:rsid w:val="FFFA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line="600" w:lineRule="exact"/>
      <w:ind w:firstLine="640"/>
      <w:outlineLvl w:val="0"/>
    </w:pPr>
    <w:rPr>
      <w:rFonts w:ascii="黑体" w:hAnsi="黑体" w:eastAsia="黑体" w:cs="宋体"/>
      <w:color w:val="000000"/>
      <w:kern w:val="0"/>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列出段落1"/>
    <w:basedOn w:val="1"/>
    <w:qFormat/>
    <w:uiPriority w:val="34"/>
    <w:pPr>
      <w:ind w:firstLine="420" w:firstLineChars="200"/>
    </w:pPr>
    <w:rPr>
      <w:rFonts w:ascii="Calibri" w:hAnsi="Calibri" w:cs="黑体"/>
      <w:szCs w:val="22"/>
    </w:rPr>
  </w:style>
  <w:style w:type="character" w:customStyle="1" w:styleId="10">
    <w:name w:val="font31"/>
    <w:basedOn w:val="8"/>
    <w:qFormat/>
    <w:uiPriority w:val="0"/>
    <w:rPr>
      <w:rFonts w:hint="default" w:ascii="方正小标宋简体" w:hAnsi="方正小标宋简体" w:eastAsia="方正小标宋简体" w:cs="方正小标宋简体"/>
      <w:color w:val="000000"/>
      <w:sz w:val="44"/>
      <w:szCs w:val="44"/>
      <w:u w:val="none"/>
    </w:rPr>
  </w:style>
  <w:style w:type="character" w:customStyle="1" w:styleId="11">
    <w:name w:val="font11"/>
    <w:basedOn w:val="8"/>
    <w:qFormat/>
    <w:uiPriority w:val="0"/>
    <w:rPr>
      <w:rFonts w:hint="eastAsia" w:ascii="宋体" w:hAnsi="宋体" w:eastAsia="宋体" w:cs="宋体"/>
      <w:color w:val="000000"/>
      <w:sz w:val="18"/>
      <w:szCs w:val="18"/>
      <w:u w:val="none"/>
    </w:rPr>
  </w:style>
  <w:style w:type="character" w:customStyle="1" w:styleId="12">
    <w:name w:val="font01"/>
    <w:basedOn w:val="8"/>
    <w:qFormat/>
    <w:uiPriority w:val="0"/>
    <w:rPr>
      <w:rFonts w:hint="eastAsia" w:ascii="宋体" w:hAnsi="宋体" w:eastAsia="宋体" w:cs="宋体"/>
      <w:color w:val="000000"/>
      <w:sz w:val="20"/>
      <w:szCs w:val="20"/>
      <w:u w:val="none"/>
    </w:rPr>
  </w:style>
  <w:style w:type="character" w:customStyle="1" w:styleId="13">
    <w:name w:val="font41"/>
    <w:basedOn w:val="8"/>
    <w:uiPriority w:val="0"/>
    <w:rPr>
      <w:rFonts w:hint="eastAsia" w:ascii="宋体" w:hAnsi="宋体" w:eastAsia="宋体" w:cs="宋体"/>
      <w:b/>
      <w:bCs/>
      <w:color w:val="000000"/>
      <w:sz w:val="18"/>
      <w:szCs w:val="18"/>
      <w:u w:val="none"/>
    </w:rPr>
  </w:style>
  <w:style w:type="character" w:customStyle="1" w:styleId="14">
    <w:name w:val="font21"/>
    <w:basedOn w:val="8"/>
    <w:uiPriority w:val="0"/>
    <w:rPr>
      <w:rFonts w:hint="default" w:ascii="方正小标宋简体" w:hAnsi="方正小标宋简体" w:eastAsia="方正小标宋简体" w:cs="方正小标宋简体"/>
      <w:color w:val="000000"/>
      <w:sz w:val="44"/>
      <w:szCs w:val="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6506</Words>
  <Characters>7041</Characters>
  <Lines>0</Lines>
  <Paragraphs>0</Paragraphs>
  <TotalTime>14</TotalTime>
  <ScaleCrop>false</ScaleCrop>
  <LinksUpToDate>false</LinksUpToDate>
  <CharactersWithSpaces>7071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admin</cp:lastModifiedBy>
  <cp:lastPrinted>2022-03-24T10:01:00Z</cp:lastPrinted>
  <dcterms:modified xsi:type="dcterms:W3CDTF">2023-05-19T02:17:50Z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DBC949E1D85645FCAE777C7105F5B5DC</vt:lpwstr>
  </property>
</Properties>
</file>