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tabs>
          <w:tab w:val="center" w:pos="4156"/>
          <w:tab w:val="left" w:pos="6405"/>
        </w:tabs>
        <w:adjustRightInd w:val="0"/>
        <w:snapToGrid w:val="0"/>
        <w:spacing w:line="360" w:lineRule="auto"/>
        <w:jc w:val="center"/>
        <w:rPr>
          <w:rFonts w:hint="eastAsia" w:ascii="宋体" w:hAnsi="宋体" w:eastAsia="宋体" w:cs="宋体"/>
          <w:b/>
          <w:sz w:val="52"/>
          <w:szCs w:val="52"/>
          <w:highlight w:val="none"/>
        </w:rPr>
      </w:pPr>
      <w:r>
        <w:rPr>
          <w:rFonts w:hint="eastAsia" w:ascii="宋体" w:hAnsi="宋体" w:cs="宋体"/>
          <w:b/>
          <w:sz w:val="52"/>
          <w:szCs w:val="52"/>
          <w:lang w:val="en-US" w:eastAsia="zh-CN"/>
        </w:rPr>
        <w:t>竞争性磋商采购方式</w:t>
      </w:r>
    </w:p>
    <w:p>
      <w:pPr>
        <w:adjustRightInd w:val="0"/>
        <w:snapToGrid w:val="0"/>
        <w:spacing w:line="360" w:lineRule="auto"/>
        <w:rPr>
          <w:rFonts w:hint="eastAsia" w:ascii="宋体" w:hAnsi="宋体" w:eastAsia="宋体" w:cs="宋体"/>
          <w:sz w:val="52"/>
          <w:highlight w:val="none"/>
        </w:rPr>
      </w:pPr>
    </w:p>
    <w:p>
      <w:pPr>
        <w:tabs>
          <w:tab w:val="center" w:pos="4156"/>
          <w:tab w:val="left" w:pos="6405"/>
        </w:tabs>
        <w:adjustRightInd w:val="0"/>
        <w:snapToGrid w:val="0"/>
        <w:spacing w:line="360" w:lineRule="auto"/>
        <w:jc w:val="center"/>
        <w:rPr>
          <w:rFonts w:hint="eastAsia" w:ascii="宋体" w:hAnsi="宋体" w:cs="宋体"/>
          <w:b/>
          <w:sz w:val="72"/>
        </w:rPr>
      </w:pPr>
      <w:r>
        <w:rPr>
          <w:rFonts w:hint="eastAsia" w:ascii="宋体" w:hAnsi="宋体" w:cs="宋体"/>
          <w:b/>
          <w:sz w:val="72"/>
          <w:szCs w:val="24"/>
        </w:rPr>
        <w:t>磋商文件</w:t>
      </w:r>
    </w:p>
    <w:p>
      <w:pPr>
        <w:widowControl/>
        <w:spacing w:before="156" w:beforeLines="50" w:line="360" w:lineRule="auto"/>
        <w:ind w:left="1581" w:hanging="1581" w:hangingChars="492"/>
        <w:jc w:val="left"/>
        <w:rPr>
          <w:rFonts w:hint="eastAsia" w:ascii="宋体" w:hAnsi="宋体" w:eastAsia="宋体" w:cs="宋体"/>
          <w:b/>
          <w:kern w:val="0"/>
          <w:sz w:val="32"/>
          <w:szCs w:val="28"/>
        </w:rPr>
      </w:pPr>
    </w:p>
    <w:p>
      <w:pPr>
        <w:widowControl/>
        <w:spacing w:before="156" w:beforeLines="50" w:line="360" w:lineRule="auto"/>
        <w:ind w:left="1581" w:hanging="1581" w:hangingChars="492"/>
        <w:jc w:val="left"/>
        <w:rPr>
          <w:rFonts w:hint="eastAsia" w:ascii="宋体" w:hAnsi="宋体" w:eastAsia="宋体" w:cs="宋体"/>
          <w:b/>
          <w:kern w:val="0"/>
          <w:sz w:val="32"/>
          <w:szCs w:val="28"/>
        </w:rPr>
      </w:pPr>
    </w:p>
    <w:p>
      <w:pPr>
        <w:spacing w:line="360" w:lineRule="auto"/>
        <w:ind w:left="1606" w:hanging="1807" w:hangingChars="500"/>
        <w:rPr>
          <w:rFonts w:hint="eastAsia" w:ascii="宋体" w:hAnsi="宋体" w:eastAsia="宋体" w:cs="宋体"/>
          <w:b/>
          <w:sz w:val="36"/>
          <w:szCs w:val="36"/>
          <w:lang w:eastAsia="zh-CN"/>
        </w:rPr>
      </w:pPr>
      <w:r>
        <w:rPr>
          <w:rFonts w:hint="eastAsia" w:ascii="宋体" w:hAnsi="宋体" w:eastAsia="宋体" w:cs="宋体"/>
          <w:b/>
          <w:sz w:val="36"/>
          <w:szCs w:val="36"/>
        </w:rPr>
        <w:t>项目名称：</w:t>
      </w:r>
      <w:r>
        <w:rPr>
          <w:rFonts w:hint="eastAsia" w:ascii="宋体" w:hAnsi="宋体" w:cs="宋体"/>
          <w:b/>
          <w:sz w:val="36"/>
          <w:szCs w:val="36"/>
          <w:lang w:eastAsia="zh-CN"/>
        </w:rPr>
        <w:t>珠海市中级人民法院2023年科技法庭租赁服务项目</w:t>
      </w:r>
    </w:p>
    <w:p>
      <w:pPr>
        <w:spacing w:line="360" w:lineRule="auto"/>
        <w:ind w:left="1606" w:hanging="1807" w:hangingChars="500"/>
        <w:rPr>
          <w:rFonts w:hint="eastAsia" w:ascii="宋体" w:hAnsi="宋体" w:eastAsia="宋体" w:cs="宋体"/>
          <w:b/>
          <w:sz w:val="36"/>
          <w:szCs w:val="36"/>
          <w:lang w:eastAsia="zh-CN"/>
        </w:rPr>
      </w:pPr>
      <w:r>
        <w:rPr>
          <w:rFonts w:hint="eastAsia" w:ascii="宋体" w:hAnsi="宋体" w:eastAsia="宋体" w:cs="宋体"/>
          <w:b/>
          <w:sz w:val="36"/>
          <w:szCs w:val="36"/>
        </w:rPr>
        <w:t>项目编号：</w:t>
      </w:r>
      <w:r>
        <w:rPr>
          <w:rFonts w:hint="eastAsia" w:ascii="宋体" w:hAnsi="宋体" w:cs="宋体"/>
          <w:b/>
          <w:sz w:val="36"/>
          <w:szCs w:val="36"/>
          <w:lang w:eastAsia="zh-CN"/>
        </w:rPr>
        <w:t>ZHZN2023-135</w:t>
      </w:r>
    </w:p>
    <w:p>
      <w:pPr>
        <w:pStyle w:val="56"/>
        <w:ind w:left="1764" w:leftChars="200" w:hanging="1344" w:hangingChars="478"/>
        <w:rPr>
          <w:rFonts w:hint="eastAsia" w:ascii="宋体" w:hAnsi="宋体" w:eastAsia="宋体" w:cs="宋体"/>
          <w:b/>
          <w:highlight w:val="none"/>
        </w:rPr>
      </w:pPr>
    </w:p>
    <w:p>
      <w:pPr>
        <w:adjustRightInd w:val="0"/>
        <w:snapToGrid w:val="0"/>
        <w:spacing w:line="360" w:lineRule="auto"/>
        <w:ind w:left="1423" w:leftChars="200" w:hanging="1003" w:hangingChars="478"/>
        <w:rPr>
          <w:rFonts w:hint="eastAsia" w:ascii="宋体" w:hAnsi="宋体" w:eastAsia="宋体" w:cs="宋体"/>
          <w:highlight w:val="none"/>
        </w:rPr>
      </w:pPr>
    </w:p>
    <w:p>
      <w:pPr>
        <w:pStyle w:val="68"/>
        <w:ind w:left="1854" w:leftChars="200" w:hanging="1434" w:hangingChars="478"/>
        <w:rPr>
          <w:rFonts w:hint="eastAsia" w:ascii="宋体" w:hAnsi="宋体" w:eastAsia="宋体" w:cs="宋体"/>
          <w:sz w:val="30"/>
          <w:szCs w:val="30"/>
          <w:highlight w:val="none"/>
        </w:rPr>
      </w:pPr>
    </w:p>
    <w:p>
      <w:pPr>
        <w:pStyle w:val="68"/>
        <w:ind w:left="1854" w:leftChars="200" w:hanging="1434" w:hangingChars="478"/>
        <w:rPr>
          <w:rFonts w:hint="eastAsia" w:ascii="宋体" w:hAnsi="宋体" w:eastAsia="宋体" w:cs="宋体"/>
          <w:sz w:val="30"/>
          <w:szCs w:val="30"/>
          <w:highlight w:val="none"/>
        </w:rPr>
      </w:pPr>
    </w:p>
    <w:p>
      <w:pPr>
        <w:pStyle w:val="68"/>
        <w:ind w:left="1854" w:leftChars="200" w:hanging="1434" w:hangingChars="478"/>
        <w:rPr>
          <w:rFonts w:hint="eastAsia" w:ascii="宋体" w:hAnsi="宋体" w:eastAsia="宋体" w:cs="宋体"/>
          <w:sz w:val="30"/>
          <w:szCs w:val="30"/>
          <w:highlight w:val="none"/>
        </w:rPr>
      </w:pPr>
    </w:p>
    <w:p>
      <w:pPr>
        <w:widowControl/>
        <w:spacing w:line="360" w:lineRule="auto"/>
        <w:ind w:right="-506" w:rightChars="-241"/>
        <w:jc w:val="left"/>
        <w:rPr>
          <w:rFonts w:hint="eastAsia" w:ascii="宋体" w:hAnsi="宋体" w:eastAsia="宋体" w:cs="宋体"/>
          <w:b/>
          <w:kern w:val="0"/>
          <w:sz w:val="30"/>
          <w:szCs w:val="30"/>
          <w:lang w:eastAsia="zh-CN"/>
        </w:rPr>
      </w:pPr>
      <w:r>
        <w:rPr>
          <w:rFonts w:hint="eastAsia" w:ascii="宋体" w:hAnsi="宋体" w:eastAsia="宋体" w:cs="宋体"/>
          <w:b/>
          <w:kern w:val="0"/>
          <w:sz w:val="30"/>
          <w:szCs w:val="30"/>
        </w:rPr>
        <w:t>采购人：</w:t>
      </w:r>
      <w:r>
        <w:rPr>
          <w:rFonts w:hint="eastAsia" w:ascii="宋体" w:hAnsi="宋体" w:cs="宋体"/>
          <w:b/>
          <w:kern w:val="0"/>
          <w:sz w:val="30"/>
          <w:szCs w:val="30"/>
          <w:lang w:eastAsia="zh-CN"/>
        </w:rPr>
        <w:t>广东省珠海市中级人民法院</w:t>
      </w:r>
    </w:p>
    <w:p>
      <w:pPr>
        <w:widowControl/>
        <w:spacing w:line="360" w:lineRule="auto"/>
        <w:ind w:right="-506" w:rightChars="-241"/>
        <w:jc w:val="left"/>
        <w:rPr>
          <w:rFonts w:hint="eastAsia" w:ascii="宋体" w:hAnsi="宋体" w:eastAsia="宋体" w:cs="宋体"/>
          <w:b/>
          <w:kern w:val="0"/>
          <w:sz w:val="30"/>
          <w:szCs w:val="30"/>
          <w:lang w:eastAsia="zh-CN"/>
        </w:rPr>
      </w:pPr>
      <w:r>
        <w:rPr>
          <w:rFonts w:hint="eastAsia" w:ascii="宋体" w:hAnsi="宋体" w:eastAsia="宋体" w:cs="宋体"/>
          <w:b/>
          <w:kern w:val="0"/>
          <w:sz w:val="30"/>
          <w:szCs w:val="30"/>
        </w:rPr>
        <w:t>采购代理机构：</w:t>
      </w:r>
      <w:r>
        <w:rPr>
          <w:rFonts w:hint="eastAsia" w:ascii="宋体" w:hAnsi="宋体" w:eastAsia="宋体" w:cs="宋体"/>
          <w:b/>
          <w:kern w:val="0"/>
          <w:sz w:val="30"/>
          <w:szCs w:val="30"/>
          <w:lang w:eastAsia="zh-CN"/>
        </w:rPr>
        <w:t>珠海正诺工程咨询有限公司</w:t>
      </w:r>
    </w:p>
    <w:p>
      <w:pPr>
        <w:widowControl/>
        <w:spacing w:line="360" w:lineRule="auto"/>
        <w:ind w:right="-506" w:rightChars="-241"/>
        <w:jc w:val="left"/>
        <w:rPr>
          <w:rFonts w:hint="eastAsia" w:ascii="宋体" w:hAnsi="宋体" w:eastAsia="宋体" w:cs="宋体"/>
          <w:b/>
          <w:kern w:val="0"/>
          <w:sz w:val="30"/>
          <w:szCs w:val="30"/>
        </w:rPr>
      </w:pPr>
      <w:r>
        <w:rPr>
          <w:rFonts w:hint="eastAsia" w:ascii="宋体" w:hAnsi="宋体" w:eastAsia="宋体" w:cs="宋体"/>
          <w:b/>
          <w:kern w:val="0"/>
          <w:sz w:val="30"/>
          <w:szCs w:val="30"/>
        </w:rPr>
        <w:t>日期：</w:t>
      </w:r>
      <w:r>
        <w:rPr>
          <w:rFonts w:hint="eastAsia" w:ascii="宋体" w:hAnsi="宋体" w:eastAsia="宋体" w:cs="宋体"/>
          <w:b/>
          <w:kern w:val="0"/>
          <w:sz w:val="30"/>
          <w:szCs w:val="30"/>
          <w:lang w:val="en-US" w:eastAsia="zh-CN"/>
        </w:rPr>
        <w:t>2023</w:t>
      </w:r>
      <w:r>
        <w:rPr>
          <w:rFonts w:hint="eastAsia" w:ascii="宋体" w:hAnsi="宋体" w:eastAsia="宋体" w:cs="宋体"/>
          <w:b/>
          <w:kern w:val="0"/>
          <w:sz w:val="30"/>
          <w:szCs w:val="30"/>
        </w:rPr>
        <w:t>年</w:t>
      </w:r>
      <w:r>
        <w:rPr>
          <w:rFonts w:hint="eastAsia" w:ascii="宋体" w:hAnsi="宋体" w:cs="宋体"/>
          <w:b/>
          <w:kern w:val="0"/>
          <w:sz w:val="30"/>
          <w:szCs w:val="30"/>
          <w:lang w:val="en-US" w:eastAsia="zh-CN"/>
        </w:rPr>
        <w:t>9</w:t>
      </w:r>
      <w:r>
        <w:rPr>
          <w:rFonts w:hint="eastAsia" w:ascii="宋体" w:hAnsi="宋体" w:eastAsia="宋体" w:cs="宋体"/>
          <w:b/>
          <w:kern w:val="0"/>
          <w:sz w:val="30"/>
          <w:szCs w:val="30"/>
        </w:rPr>
        <w:t>月</w:t>
      </w:r>
    </w:p>
    <w:p>
      <w:pPr>
        <w:pStyle w:val="56"/>
        <w:ind w:left="1975" w:leftChars="267" w:hanging="1414" w:hangingChars="503"/>
        <w:rPr>
          <w:rFonts w:hint="eastAsia" w:ascii="宋体" w:hAnsi="宋体" w:eastAsia="宋体" w:cs="宋体"/>
          <w:b/>
          <w:highlight w:val="none"/>
        </w:rPr>
      </w:pPr>
    </w:p>
    <w:p>
      <w:pPr>
        <w:pStyle w:val="56"/>
        <w:ind w:left="1975" w:leftChars="267" w:hanging="1414" w:hangingChars="503"/>
        <w:rPr>
          <w:rFonts w:hint="eastAsia" w:ascii="宋体" w:hAnsi="宋体" w:eastAsia="宋体" w:cs="宋体"/>
          <w:b/>
          <w:highlight w:val="none"/>
        </w:rPr>
        <w:sectPr>
          <w:headerReference r:id="rId5" w:type="first"/>
          <w:headerReference r:id="rId3" w:type="default"/>
          <w:footerReference r:id="rId6" w:type="default"/>
          <w:headerReference r:id="rId4" w:type="even"/>
          <w:footerReference r:id="rId7" w:type="even"/>
          <w:type w:val="nextColumn"/>
          <w:pgSz w:w="11906" w:h="16838"/>
          <w:pgMar w:top="1440" w:right="1800" w:bottom="1440" w:left="1800" w:header="851" w:footer="992" w:gutter="0"/>
          <w:paperSrc w:first="7"/>
          <w:cols w:space="720" w:num="1"/>
          <w:titlePg/>
          <w:docGrid w:linePitch="312" w:charSpace="0"/>
        </w:sectPr>
      </w:pPr>
    </w:p>
    <w:p>
      <w:pPr>
        <w:pStyle w:val="2"/>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温馨提示</w:t>
      </w:r>
    </w:p>
    <w:p>
      <w:pPr>
        <w:pStyle w:val="2"/>
        <w:spacing w:line="360" w:lineRule="auto"/>
        <w:ind w:left="418" w:leftChars="0" w:hanging="418" w:hangingChars="190"/>
        <w:rPr>
          <w:rFonts w:hint="eastAsia" w:ascii="宋体" w:hAnsi="宋体" w:cs="宋体"/>
          <w:bCs/>
          <w:color w:val="auto"/>
          <w:sz w:val="22"/>
          <w:szCs w:val="22"/>
          <w:highlight w:val="none"/>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lang w:val="en-US" w:eastAsia="zh-CN"/>
        </w:rPr>
        <w:t>一、</w:t>
      </w:r>
      <w:r>
        <w:rPr>
          <w:rFonts w:hint="eastAsia" w:ascii="宋体" w:hAnsi="宋体" w:cs="宋体"/>
          <w:bCs/>
          <w:color w:val="auto"/>
          <w:sz w:val="22"/>
          <w:szCs w:val="22"/>
          <w:highlight w:val="none"/>
        </w:rPr>
        <w:t>如无另行说明，响应文件递交时间为提交响应文件截止时间前30分钟内。</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lang w:val="en-US" w:eastAsia="zh-CN"/>
        </w:rPr>
        <w:t>二、</w:t>
      </w:r>
      <w:r>
        <w:rPr>
          <w:rFonts w:hint="eastAsia" w:ascii="宋体" w:hAnsi="宋体" w:cs="宋体"/>
          <w:bCs/>
          <w:color w:val="auto"/>
          <w:sz w:val="22"/>
          <w:szCs w:val="22"/>
          <w:highlight w:val="none"/>
        </w:rPr>
        <w:t>为避免因迟到而失去响应资格，请适当提前到达。</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三、本项目须法定代表人或授权代表到场参与磋商。</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四、响应文件应按顺序编制页码。</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五、请仔细检查响应文件是否已按磋商文件要求盖章、签名、签署日期。</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六、请正确填写《报价表》。多包组项目请仔细检查包组号，包组号与包组采购内容必须对应。</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七、如响应产品属于许可证管理范围内的，须提交相应的许可证复印件。</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八、如供应商以非独立法人注册的分支机构名义代表总公司盖章和签署文件的</w:t>
      </w:r>
      <w:r>
        <w:rPr>
          <w:rFonts w:hint="eastAsia" w:ascii="宋体" w:hAnsi="宋体" w:cs="宋体"/>
          <w:bCs/>
          <w:color w:val="auto"/>
          <w:sz w:val="22"/>
          <w:szCs w:val="22"/>
          <w:highlight w:val="none"/>
          <w:lang w:eastAsia="zh-CN"/>
        </w:rPr>
        <w:t>，</w:t>
      </w:r>
      <w:r>
        <w:rPr>
          <w:rFonts w:hint="eastAsia" w:ascii="宋体" w:hAnsi="宋体" w:cs="宋体"/>
          <w:bCs/>
          <w:color w:val="auto"/>
          <w:sz w:val="22"/>
          <w:szCs w:val="22"/>
          <w:highlight w:val="none"/>
        </w:rPr>
        <w:t>须提供总公司的营业执照复印件及总公司的授权书。</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九、递交响应文件前请仔细检查响应文件是否已胶装成册、已密封完好。</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十、供应商如需对项目提出询问或质疑，应按磋商文件附件中的询问函和质疑函的格式提交。</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十一、为了提高采购效率，节约社会交易成本与时间，我司希望购买了磋商文件而决定不参加本次竞争磋商报价的供应商，在响应文件提交截止时间的3日前，按磋商文件中的联系方式，以书面形式告知采购代理机构。</w:t>
      </w:r>
    </w:p>
    <w:p>
      <w:pPr>
        <w:pStyle w:val="2"/>
        <w:keepNext w:val="0"/>
        <w:keepLines w:val="0"/>
        <w:pageBreakBefore w:val="0"/>
        <w:widowControl w:val="0"/>
        <w:kinsoku/>
        <w:wordWrap/>
        <w:overflowPunct/>
        <w:topLinePunct w:val="0"/>
        <w:autoSpaceDE w:val="0"/>
        <w:autoSpaceDN w:val="0"/>
        <w:bidi w:val="0"/>
        <w:adjustRightInd w:val="0"/>
        <w:snapToGrid/>
        <w:spacing w:line="480" w:lineRule="auto"/>
        <w:ind w:left="418" w:leftChars="0" w:hanging="418" w:hangingChars="190"/>
        <w:textAlignment w:val="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十二、根据“节约能源、保护环境”的理念，建议供应商采用A4纸、双面打印、胶装。</w:t>
      </w:r>
    </w:p>
    <w:p>
      <w:pPr>
        <w:pStyle w:val="2"/>
        <w:spacing w:line="360" w:lineRule="auto"/>
        <w:ind w:left="418" w:leftChars="0" w:hanging="418" w:hangingChars="190"/>
        <w:rPr>
          <w:rFonts w:hint="eastAsia" w:ascii="宋体" w:hAnsi="宋体" w:cs="宋体"/>
          <w:bCs/>
          <w:color w:val="auto"/>
          <w:sz w:val="22"/>
          <w:szCs w:val="22"/>
          <w:highlight w:val="none"/>
        </w:rPr>
      </w:pPr>
    </w:p>
    <w:p>
      <w:pPr>
        <w:rPr>
          <w:rFonts w:hint="eastAsia" w:ascii="宋体" w:hAnsi="宋体" w:eastAsia="宋体" w:cs="宋体"/>
          <w:b/>
          <w:bCs/>
          <w:sz w:val="21"/>
          <w:szCs w:val="21"/>
          <w:highlight w:val="none"/>
        </w:rPr>
      </w:pP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本提示内容非磋商文件的组成部分，仅为善意提醒。如有不一致的地方，以磋商文件为准</w:t>
      </w:r>
      <w:r>
        <w:rPr>
          <w:rFonts w:hint="eastAsia" w:ascii="宋体" w:hAnsi="宋体" w:cs="宋体"/>
          <w:b/>
          <w:bCs/>
          <w:sz w:val="21"/>
          <w:szCs w:val="21"/>
          <w:highlight w:val="none"/>
          <w:lang w:eastAsia="zh-CN"/>
        </w:rPr>
        <w:t>）</w:t>
      </w:r>
    </w:p>
    <w:p>
      <w:pP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br w:type="page"/>
      </w:r>
    </w:p>
    <w:p>
      <w:pPr>
        <w:widowControl/>
        <w:tabs>
          <w:tab w:val="left" w:pos="502"/>
          <w:tab w:val="left" w:pos="4769"/>
        </w:tabs>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目</w:t>
      </w:r>
      <w:r>
        <w:rPr>
          <w:rFonts w:hint="eastAsia" w:ascii="宋体" w:hAnsi="宋体" w:cs="宋体"/>
          <w:b/>
          <w:bCs/>
          <w:sz w:val="44"/>
          <w:szCs w:val="44"/>
          <w:highlight w:val="none"/>
          <w:lang w:val="en-US" w:eastAsia="zh-CN"/>
        </w:rPr>
        <w:tab/>
      </w:r>
      <w:r>
        <w:rPr>
          <w:rFonts w:hint="eastAsia" w:ascii="宋体" w:hAnsi="宋体" w:cs="宋体"/>
          <w:b/>
          <w:bCs/>
          <w:sz w:val="44"/>
          <w:szCs w:val="44"/>
          <w:highlight w:val="none"/>
          <w:lang w:val="en-US" w:eastAsia="zh-CN"/>
        </w:rPr>
        <w:t xml:space="preserve">     </w:t>
      </w:r>
      <w:r>
        <w:rPr>
          <w:rFonts w:hint="eastAsia" w:ascii="宋体" w:hAnsi="宋体" w:eastAsia="宋体" w:cs="宋体"/>
          <w:b/>
          <w:bCs/>
          <w:sz w:val="44"/>
          <w:szCs w:val="44"/>
          <w:highlight w:val="none"/>
        </w:rPr>
        <w:t>录</w:t>
      </w:r>
    </w:p>
    <w:p>
      <w:pPr>
        <w:pStyle w:val="48"/>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TOC \o "1-3" \h \z \u </w:instrText>
      </w:r>
      <w:r>
        <w:rPr>
          <w:rFonts w:hint="eastAsia" w:ascii="宋体" w:hAnsi="宋体" w:eastAsia="宋体" w:cs="宋体"/>
          <w:i w:val="0"/>
          <w:iCs w:val="0"/>
          <w:highlight w:val="none"/>
        </w:rPr>
        <w:fldChar w:fldCharType="separate"/>
      </w: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_Toc6174 </w:instrText>
      </w:r>
      <w:r>
        <w:rPr>
          <w:rFonts w:hint="eastAsia" w:ascii="宋体" w:hAnsi="宋体" w:eastAsia="宋体" w:cs="宋体"/>
          <w:i w:val="0"/>
          <w:iCs w:val="0"/>
          <w:highlight w:val="none"/>
        </w:rPr>
        <w:fldChar w:fldCharType="separate"/>
      </w:r>
      <w:r>
        <w:rPr>
          <w:rFonts w:hint="eastAsia" w:ascii="宋体" w:hAnsi="宋体" w:eastAsia="宋体" w:cs="宋体"/>
          <w:szCs w:val="36"/>
          <w:highlight w:val="none"/>
        </w:rPr>
        <w:t>第一部分 竞争性磋商邀请函</w:t>
      </w:r>
      <w:r>
        <w:tab/>
      </w:r>
      <w:r>
        <w:fldChar w:fldCharType="begin"/>
      </w:r>
      <w:r>
        <w:instrText xml:space="preserve"> PAGEREF _Toc6174 \h </w:instrText>
      </w:r>
      <w:r>
        <w:fldChar w:fldCharType="separate"/>
      </w:r>
      <w:r>
        <w:t>4</w:t>
      </w:r>
      <w:r>
        <w:fldChar w:fldCharType="end"/>
      </w:r>
      <w:r>
        <w:rPr>
          <w:rFonts w:hint="eastAsia" w:ascii="宋体" w:hAnsi="宋体" w:eastAsia="宋体" w:cs="宋体"/>
          <w:i w:val="0"/>
          <w:iCs w:val="0"/>
          <w:highlight w:val="none"/>
        </w:rPr>
        <w:fldChar w:fldCharType="end"/>
      </w:r>
    </w:p>
    <w:p>
      <w:pPr>
        <w:pStyle w:val="48"/>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_Toc28338 </w:instrText>
      </w:r>
      <w:r>
        <w:rPr>
          <w:rFonts w:hint="eastAsia" w:ascii="宋体" w:hAnsi="宋体" w:eastAsia="宋体" w:cs="宋体"/>
          <w:i w:val="0"/>
          <w:iCs w:val="0"/>
          <w:highlight w:val="none"/>
        </w:rPr>
        <w:fldChar w:fldCharType="separate"/>
      </w:r>
      <w:r>
        <w:rPr>
          <w:rFonts w:hint="eastAsia" w:ascii="宋体" w:hAnsi="宋体" w:eastAsia="宋体" w:cs="宋体"/>
          <w:szCs w:val="36"/>
          <w:highlight w:val="none"/>
        </w:rPr>
        <w:t>第二部分 磋商资料表</w:t>
      </w:r>
      <w:r>
        <w:tab/>
      </w:r>
      <w:r>
        <w:fldChar w:fldCharType="begin"/>
      </w:r>
      <w:r>
        <w:instrText xml:space="preserve"> PAGEREF _Toc28338 \h </w:instrText>
      </w:r>
      <w:r>
        <w:fldChar w:fldCharType="separate"/>
      </w:r>
      <w:r>
        <w:t>8</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_Toc7896 </w:instrText>
      </w:r>
      <w:r>
        <w:rPr>
          <w:rFonts w:hint="eastAsia" w:ascii="宋体" w:hAnsi="宋体" w:eastAsia="宋体" w:cs="宋体"/>
          <w:i w:val="0"/>
          <w:iCs w:val="0"/>
          <w:highlight w:val="none"/>
        </w:rPr>
        <w:fldChar w:fldCharType="separate"/>
      </w:r>
      <w:r>
        <w:rPr>
          <w:rFonts w:hint="eastAsia" w:ascii="宋体" w:hAnsi="宋体" w:eastAsia="宋体" w:cs="宋体"/>
          <w:bCs/>
          <w:kern w:val="2"/>
          <w:szCs w:val="44"/>
          <w:highlight w:val="none"/>
          <w:lang w:val="en-US" w:eastAsia="zh-CN" w:bidi="ar-SA"/>
        </w:rPr>
        <w:t>一、磋商须知前附表</w:t>
      </w:r>
      <w:r>
        <w:tab/>
      </w:r>
      <w:r>
        <w:fldChar w:fldCharType="begin"/>
      </w:r>
      <w:r>
        <w:instrText xml:space="preserve"> PAGEREF _Toc7896 \h </w:instrText>
      </w:r>
      <w:r>
        <w:fldChar w:fldCharType="separate"/>
      </w:r>
      <w:r>
        <w:t>9</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_Toc22708 </w:instrText>
      </w:r>
      <w:r>
        <w:rPr>
          <w:rFonts w:hint="eastAsia" w:ascii="宋体" w:hAnsi="宋体" w:eastAsia="宋体" w:cs="宋体"/>
          <w:i w:val="0"/>
          <w:iCs w:val="0"/>
          <w:highlight w:val="none"/>
        </w:rPr>
        <w:fldChar w:fldCharType="separate"/>
      </w:r>
      <w:r>
        <w:rPr>
          <w:rFonts w:hint="eastAsia" w:ascii="宋体" w:hAnsi="宋体" w:eastAsia="宋体" w:cs="宋体"/>
          <w:bCs/>
          <w:szCs w:val="44"/>
          <w:highlight w:val="none"/>
        </w:rPr>
        <w:t>二、评审细则</w:t>
      </w:r>
      <w:r>
        <w:tab/>
      </w:r>
      <w:r>
        <w:fldChar w:fldCharType="begin"/>
      </w:r>
      <w:r>
        <w:instrText xml:space="preserve"> PAGEREF _Toc22708 \h </w:instrText>
      </w:r>
      <w:r>
        <w:fldChar w:fldCharType="separate"/>
      </w:r>
      <w:r>
        <w:t>12</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_Toc23141 </w:instrText>
      </w:r>
      <w:r>
        <w:rPr>
          <w:rFonts w:hint="eastAsia" w:ascii="宋体" w:hAnsi="宋体" w:eastAsia="宋体" w:cs="宋体"/>
          <w:i w:val="0"/>
          <w:iCs w:val="0"/>
          <w:highlight w:val="none"/>
        </w:rPr>
        <w:fldChar w:fldCharType="separate"/>
      </w:r>
      <w:r>
        <w:rPr>
          <w:rFonts w:hint="eastAsia" w:ascii="宋体" w:hAnsi="宋体" w:eastAsia="宋体" w:cs="宋体"/>
          <w:bCs/>
          <w:kern w:val="2"/>
          <w:szCs w:val="28"/>
          <w:highlight w:val="none"/>
          <w:lang w:val="en-US" w:eastAsia="zh-CN" w:bidi="ar-SA"/>
        </w:rPr>
        <w:t>1、资格和符合性审查表</w:t>
      </w:r>
      <w:r>
        <w:tab/>
      </w:r>
      <w:r>
        <w:fldChar w:fldCharType="begin"/>
      </w:r>
      <w:r>
        <w:instrText xml:space="preserve"> PAGEREF _Toc23141 \h </w:instrText>
      </w:r>
      <w:r>
        <w:fldChar w:fldCharType="separate"/>
      </w:r>
      <w:r>
        <w:t>12</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_Toc23791 </w:instrText>
      </w:r>
      <w:r>
        <w:rPr>
          <w:rFonts w:hint="eastAsia" w:ascii="宋体" w:hAnsi="宋体" w:eastAsia="宋体" w:cs="宋体"/>
          <w:i w:val="0"/>
          <w:iCs w:val="0"/>
          <w:highlight w:val="none"/>
        </w:rPr>
        <w:fldChar w:fldCharType="separate"/>
      </w:r>
      <w:r>
        <w:rPr>
          <w:rFonts w:hint="eastAsia" w:ascii="宋体" w:hAnsi="宋体" w:eastAsia="宋体" w:cs="宋体"/>
          <w:bCs/>
          <w:szCs w:val="28"/>
          <w:highlight w:val="none"/>
          <w:lang w:val="en-US" w:eastAsia="zh-CN"/>
        </w:rPr>
        <w:t>2、技术评分细则</w:t>
      </w:r>
      <w:r>
        <w:rPr>
          <w:rFonts w:hint="eastAsia" w:ascii="宋体" w:hAnsi="宋体" w:cs="宋体"/>
          <w:bCs/>
          <w:szCs w:val="28"/>
          <w:highlight w:val="none"/>
          <w:lang w:val="en-US" w:eastAsia="zh-CN"/>
        </w:rPr>
        <w:t>（66</w:t>
      </w:r>
      <w:r>
        <w:rPr>
          <w:rFonts w:hint="eastAsia" w:ascii="宋体" w:hAnsi="宋体" w:eastAsia="宋体" w:cs="宋体"/>
          <w:bCs/>
          <w:szCs w:val="28"/>
          <w:highlight w:val="none"/>
          <w:lang w:val="en-US" w:eastAsia="zh-CN"/>
        </w:rPr>
        <w:t>分</w:t>
      </w:r>
      <w:r>
        <w:rPr>
          <w:rFonts w:hint="eastAsia" w:ascii="宋体" w:hAnsi="宋体" w:cs="宋体"/>
          <w:bCs/>
          <w:szCs w:val="28"/>
          <w:highlight w:val="none"/>
          <w:lang w:val="en-US" w:eastAsia="zh-CN"/>
        </w:rPr>
        <w:t>）</w:t>
      </w:r>
      <w:r>
        <w:tab/>
      </w:r>
      <w:r>
        <w:fldChar w:fldCharType="begin"/>
      </w:r>
      <w:r>
        <w:instrText xml:space="preserve"> PAGEREF _Toc23791 \h </w:instrText>
      </w:r>
      <w:r>
        <w:fldChar w:fldCharType="separate"/>
      </w:r>
      <w:r>
        <w:t>13</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_Toc15919 </w:instrText>
      </w:r>
      <w:r>
        <w:rPr>
          <w:rFonts w:hint="eastAsia" w:ascii="宋体" w:hAnsi="宋体" w:eastAsia="宋体" w:cs="宋体"/>
          <w:i w:val="0"/>
          <w:iCs w:val="0"/>
          <w:highlight w:val="none"/>
        </w:rPr>
        <w:fldChar w:fldCharType="separate"/>
      </w:r>
      <w:r>
        <w:rPr>
          <w:rFonts w:hint="eastAsia" w:ascii="宋体" w:hAnsi="宋体" w:eastAsia="宋体" w:cs="宋体"/>
          <w:bCs/>
          <w:szCs w:val="28"/>
          <w:highlight w:val="none"/>
          <w:lang w:val="en-US" w:eastAsia="zh-CN"/>
        </w:rPr>
        <w:t>3、商务评分细则</w:t>
      </w:r>
      <w:r>
        <w:rPr>
          <w:rFonts w:hint="eastAsia" w:ascii="宋体" w:hAnsi="宋体" w:cs="宋体"/>
          <w:bCs/>
          <w:szCs w:val="28"/>
          <w:highlight w:val="none"/>
          <w:lang w:val="en-US" w:eastAsia="zh-CN"/>
        </w:rPr>
        <w:t>（24</w:t>
      </w:r>
      <w:r>
        <w:rPr>
          <w:rFonts w:hint="eastAsia" w:ascii="宋体" w:hAnsi="宋体" w:eastAsia="宋体" w:cs="宋体"/>
          <w:bCs/>
          <w:szCs w:val="28"/>
          <w:highlight w:val="none"/>
          <w:lang w:val="en-US" w:eastAsia="zh-CN"/>
        </w:rPr>
        <w:t>分</w:t>
      </w:r>
      <w:r>
        <w:rPr>
          <w:rFonts w:hint="eastAsia" w:ascii="宋体" w:hAnsi="宋体" w:cs="宋体"/>
          <w:bCs/>
          <w:szCs w:val="28"/>
          <w:highlight w:val="none"/>
          <w:lang w:val="en-US" w:eastAsia="zh-CN"/>
        </w:rPr>
        <w:t>）</w:t>
      </w:r>
      <w:r>
        <w:tab/>
      </w:r>
      <w:r>
        <w:fldChar w:fldCharType="begin"/>
      </w:r>
      <w:r>
        <w:instrText xml:space="preserve"> PAGEREF _Toc15919 \h </w:instrText>
      </w:r>
      <w:r>
        <w:fldChar w:fldCharType="separate"/>
      </w:r>
      <w:r>
        <w:t>15</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_Toc8396 </w:instrText>
      </w:r>
      <w:r>
        <w:rPr>
          <w:rFonts w:hint="eastAsia" w:ascii="宋体" w:hAnsi="宋体" w:eastAsia="宋体" w:cs="宋体"/>
          <w:i w:val="0"/>
          <w:iCs w:val="0"/>
          <w:highlight w:val="none"/>
        </w:rPr>
        <w:fldChar w:fldCharType="separate"/>
      </w:r>
      <w:r>
        <w:rPr>
          <w:rFonts w:hint="eastAsia" w:ascii="宋体" w:hAnsi="宋体" w:eastAsia="宋体" w:cs="宋体"/>
          <w:szCs w:val="28"/>
          <w:highlight w:val="none"/>
          <w:lang w:val="en-US" w:eastAsia="zh-CN"/>
        </w:rPr>
        <w:t>4</w:t>
      </w:r>
      <w:r>
        <w:rPr>
          <w:rFonts w:hint="eastAsia" w:ascii="宋体" w:hAnsi="宋体" w:eastAsia="宋体" w:cs="宋体"/>
          <w:szCs w:val="28"/>
          <w:highlight w:val="none"/>
        </w:rPr>
        <w:t>、经济价格评分细则</w:t>
      </w:r>
      <w:r>
        <w:rPr>
          <w:rFonts w:hint="eastAsia" w:ascii="宋体" w:hAnsi="宋体" w:cs="宋体"/>
          <w:szCs w:val="28"/>
          <w:highlight w:val="none"/>
          <w:lang w:eastAsia="zh-CN"/>
        </w:rPr>
        <w:t>（</w:t>
      </w:r>
      <w:r>
        <w:rPr>
          <w:rFonts w:hint="eastAsia" w:ascii="宋体" w:hAnsi="宋体" w:eastAsia="宋体" w:cs="宋体"/>
          <w:szCs w:val="28"/>
          <w:highlight w:val="none"/>
          <w:lang w:val="en-US" w:eastAsia="zh-CN"/>
        </w:rPr>
        <w:t>1</w:t>
      </w:r>
      <w:r>
        <w:rPr>
          <w:rFonts w:hint="eastAsia" w:ascii="宋体" w:hAnsi="宋体" w:eastAsia="宋体" w:cs="宋体"/>
          <w:szCs w:val="28"/>
          <w:highlight w:val="none"/>
        </w:rPr>
        <w:t>0分</w:t>
      </w:r>
      <w:r>
        <w:rPr>
          <w:rFonts w:hint="eastAsia" w:ascii="宋体" w:hAnsi="宋体" w:cs="宋体"/>
          <w:szCs w:val="28"/>
          <w:highlight w:val="none"/>
          <w:lang w:eastAsia="zh-CN"/>
        </w:rPr>
        <w:t>）</w:t>
      </w:r>
      <w:r>
        <w:tab/>
      </w:r>
      <w:r>
        <w:fldChar w:fldCharType="begin"/>
      </w:r>
      <w:r>
        <w:instrText xml:space="preserve"> PAGEREF _Toc8396 \h </w:instrText>
      </w:r>
      <w:r>
        <w:fldChar w:fldCharType="separate"/>
      </w:r>
      <w:r>
        <w:t>16</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_Toc25355 </w:instrText>
      </w:r>
      <w:r>
        <w:rPr>
          <w:rFonts w:hint="eastAsia" w:ascii="宋体" w:hAnsi="宋体" w:eastAsia="宋体" w:cs="宋体"/>
          <w:i w:val="0"/>
          <w:iCs w:val="0"/>
          <w:highlight w:val="none"/>
        </w:rPr>
        <w:fldChar w:fldCharType="separate"/>
      </w:r>
      <w:r>
        <w:rPr>
          <w:rFonts w:hint="eastAsia" w:ascii="宋体" w:hAnsi="宋体" w:eastAsia="宋体" w:cs="宋体"/>
          <w:bCs/>
          <w:szCs w:val="44"/>
          <w:highlight w:val="none"/>
        </w:rPr>
        <w:t>三、合同资料表</w:t>
      </w:r>
      <w:r>
        <w:tab/>
      </w:r>
      <w:r>
        <w:fldChar w:fldCharType="begin"/>
      </w:r>
      <w:r>
        <w:instrText xml:space="preserve"> PAGEREF _Toc25355 \h </w:instrText>
      </w:r>
      <w:r>
        <w:fldChar w:fldCharType="separate"/>
      </w:r>
      <w:r>
        <w:t>17</w:t>
      </w:r>
      <w:r>
        <w:fldChar w:fldCharType="end"/>
      </w:r>
      <w:r>
        <w:rPr>
          <w:rFonts w:hint="eastAsia" w:ascii="宋体" w:hAnsi="宋体" w:eastAsia="宋体" w:cs="宋体"/>
          <w:i w:val="0"/>
          <w:iCs w:val="0"/>
          <w:highlight w:val="none"/>
        </w:rPr>
        <w:fldChar w:fldCharType="end"/>
      </w:r>
    </w:p>
    <w:p>
      <w:pPr>
        <w:pStyle w:val="48"/>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_Toc9848 </w:instrText>
      </w:r>
      <w:r>
        <w:rPr>
          <w:rFonts w:hint="eastAsia" w:ascii="宋体" w:hAnsi="宋体" w:eastAsia="宋体" w:cs="宋体"/>
          <w:i w:val="0"/>
          <w:iCs w:val="0"/>
          <w:highlight w:val="none"/>
        </w:rPr>
        <w:fldChar w:fldCharType="separate"/>
      </w:r>
      <w:r>
        <w:rPr>
          <w:rFonts w:hint="eastAsia" w:ascii="宋体" w:hAnsi="宋体" w:eastAsia="宋体" w:cs="宋体"/>
          <w:szCs w:val="36"/>
          <w:highlight w:val="none"/>
        </w:rPr>
        <w:t>第三部分 供应商须知</w:t>
      </w:r>
      <w:r>
        <w:tab/>
      </w:r>
      <w:r>
        <w:fldChar w:fldCharType="begin"/>
      </w:r>
      <w:r>
        <w:instrText xml:space="preserve"> PAGEREF _Toc9848 \h </w:instrText>
      </w:r>
      <w:r>
        <w:fldChar w:fldCharType="separate"/>
      </w:r>
      <w:r>
        <w:t>19</w:t>
      </w:r>
      <w:r>
        <w:fldChar w:fldCharType="end"/>
      </w:r>
      <w:r>
        <w:rPr>
          <w:rFonts w:hint="eastAsia" w:ascii="宋体" w:hAnsi="宋体" w:eastAsia="宋体" w:cs="宋体"/>
          <w:i w:val="0"/>
          <w:iCs w:val="0"/>
          <w:highlight w:val="none"/>
        </w:rPr>
        <w:fldChar w:fldCharType="end"/>
      </w:r>
    </w:p>
    <w:p>
      <w:pPr>
        <w:pStyle w:val="48"/>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_Toc9314 </w:instrText>
      </w:r>
      <w:r>
        <w:rPr>
          <w:rFonts w:hint="eastAsia" w:ascii="宋体" w:hAnsi="宋体" w:eastAsia="宋体" w:cs="宋体"/>
          <w:i w:val="0"/>
          <w:iCs w:val="0"/>
          <w:highlight w:val="none"/>
        </w:rPr>
        <w:fldChar w:fldCharType="separate"/>
      </w:r>
      <w:r>
        <w:rPr>
          <w:rFonts w:hint="eastAsia" w:ascii="宋体" w:hAnsi="宋体" w:eastAsia="宋体" w:cs="宋体"/>
          <w:szCs w:val="36"/>
          <w:highlight w:val="none"/>
        </w:rPr>
        <w:t>第四部分 用户需求书</w:t>
      </w:r>
      <w:r>
        <w:tab/>
      </w:r>
      <w:r>
        <w:fldChar w:fldCharType="begin"/>
      </w:r>
      <w:r>
        <w:instrText xml:space="preserve"> PAGEREF _Toc9314 \h </w:instrText>
      </w:r>
      <w:r>
        <w:fldChar w:fldCharType="separate"/>
      </w:r>
      <w:r>
        <w:t>29</w:t>
      </w:r>
      <w:r>
        <w:fldChar w:fldCharType="end"/>
      </w:r>
      <w:r>
        <w:rPr>
          <w:rFonts w:hint="eastAsia" w:ascii="宋体" w:hAnsi="宋体" w:eastAsia="宋体" w:cs="宋体"/>
          <w:i w:val="0"/>
          <w:iCs w:val="0"/>
          <w:highlight w:val="none"/>
        </w:rPr>
        <w:fldChar w:fldCharType="end"/>
      </w:r>
    </w:p>
    <w:p>
      <w:pPr>
        <w:pStyle w:val="48"/>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_Toc24063 </w:instrText>
      </w:r>
      <w:r>
        <w:rPr>
          <w:rFonts w:hint="eastAsia" w:ascii="宋体" w:hAnsi="宋体" w:eastAsia="宋体" w:cs="宋体"/>
          <w:i w:val="0"/>
          <w:iCs w:val="0"/>
          <w:highlight w:val="none"/>
        </w:rPr>
        <w:fldChar w:fldCharType="separate"/>
      </w:r>
      <w:r>
        <w:rPr>
          <w:rFonts w:hint="eastAsia" w:ascii="宋体" w:hAnsi="宋体" w:eastAsia="宋体" w:cs="宋体"/>
          <w:szCs w:val="36"/>
          <w:highlight w:val="none"/>
        </w:rPr>
        <w:t>第五部分 格式文件</w:t>
      </w:r>
      <w:r>
        <w:tab/>
      </w:r>
      <w:r>
        <w:fldChar w:fldCharType="begin"/>
      </w:r>
      <w:r>
        <w:instrText xml:space="preserve"> PAGEREF _Toc24063 \h </w:instrText>
      </w:r>
      <w:r>
        <w:fldChar w:fldCharType="separate"/>
      </w:r>
      <w:r>
        <w:t>40</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_Toc13133 </w:instrText>
      </w:r>
      <w:r>
        <w:rPr>
          <w:rFonts w:hint="eastAsia" w:ascii="宋体" w:hAnsi="宋体" w:eastAsia="宋体" w:cs="宋体"/>
          <w:i w:val="0"/>
          <w:iCs w:val="0"/>
          <w:highlight w:val="none"/>
        </w:rPr>
        <w:fldChar w:fldCharType="separate"/>
      </w:r>
      <w:r>
        <w:rPr>
          <w:rFonts w:hint="eastAsia" w:ascii="宋体" w:hAnsi="宋体" w:eastAsia="宋体" w:cs="宋体"/>
          <w:highlight w:val="none"/>
        </w:rPr>
        <w:t>第一节 合同格式</w:t>
      </w:r>
      <w:r>
        <w:tab/>
      </w:r>
      <w:r>
        <w:fldChar w:fldCharType="begin"/>
      </w:r>
      <w:r>
        <w:instrText xml:space="preserve"> PAGEREF _Toc13133 \h </w:instrText>
      </w:r>
      <w:r>
        <w:fldChar w:fldCharType="separate"/>
      </w:r>
      <w:r>
        <w:t>40</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_Toc6246 </w:instrText>
      </w:r>
      <w:r>
        <w:rPr>
          <w:rFonts w:hint="eastAsia" w:ascii="宋体" w:hAnsi="宋体" w:eastAsia="宋体" w:cs="宋体"/>
          <w:i w:val="0"/>
          <w:iCs w:val="0"/>
          <w:highlight w:val="none"/>
        </w:rPr>
        <w:fldChar w:fldCharType="separate"/>
      </w:r>
      <w:r>
        <w:rPr>
          <w:rFonts w:hint="eastAsia" w:ascii="宋体" w:hAnsi="宋体" w:eastAsia="宋体" w:cs="宋体"/>
          <w:highlight w:val="none"/>
        </w:rPr>
        <w:t>第二节 响应文件格式</w:t>
      </w:r>
      <w:r>
        <w:tab/>
      </w:r>
      <w:r>
        <w:fldChar w:fldCharType="begin"/>
      </w:r>
      <w:r>
        <w:instrText xml:space="preserve"> PAGEREF _Toc6246 \h </w:instrText>
      </w:r>
      <w:r>
        <w:fldChar w:fldCharType="separate"/>
      </w:r>
      <w:r>
        <w:t>45</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_Toc14272 </w:instrText>
      </w:r>
      <w:r>
        <w:rPr>
          <w:rFonts w:hint="eastAsia" w:ascii="宋体" w:hAnsi="宋体" w:eastAsia="宋体" w:cs="宋体"/>
          <w:i w:val="0"/>
          <w:iCs w:val="0"/>
          <w:highlight w:val="none"/>
        </w:rPr>
        <w:fldChar w:fldCharType="separate"/>
      </w:r>
      <w:r>
        <w:rPr>
          <w:rFonts w:hint="eastAsia" w:ascii="宋体" w:hAnsi="宋体" w:cs="宋体"/>
          <w:bCs/>
          <w:szCs w:val="44"/>
        </w:rPr>
        <w:t>一．资格性文件</w:t>
      </w:r>
      <w:r>
        <w:tab/>
      </w:r>
      <w:r>
        <w:fldChar w:fldCharType="begin"/>
      </w:r>
      <w:r>
        <w:instrText xml:space="preserve"> PAGEREF _Toc14272 \h </w:instrText>
      </w:r>
      <w:r>
        <w:fldChar w:fldCharType="separate"/>
      </w:r>
      <w:r>
        <w:t>47</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_Toc13491 </w:instrText>
      </w:r>
      <w:r>
        <w:rPr>
          <w:rFonts w:hint="eastAsia" w:ascii="宋体" w:hAnsi="宋体" w:eastAsia="宋体" w:cs="宋体"/>
          <w:i w:val="0"/>
          <w:iCs w:val="0"/>
          <w:highlight w:val="none"/>
        </w:rPr>
        <w:fldChar w:fldCharType="separate"/>
      </w:r>
      <w:r>
        <w:rPr>
          <w:rFonts w:hint="eastAsia" w:ascii="宋体" w:hAnsi="宋体" w:cs="宋体"/>
          <w:szCs w:val="28"/>
        </w:rPr>
        <w:t>1.1</w:t>
      </w:r>
      <w:r>
        <w:rPr>
          <w:rFonts w:hint="eastAsia" w:ascii="宋体" w:hAnsi="宋体" w:cs="宋体"/>
          <w:szCs w:val="28"/>
          <w:lang w:val="en-US" w:eastAsia="zh-CN"/>
        </w:rPr>
        <w:t>磋商</w:t>
      </w:r>
      <w:r>
        <w:rPr>
          <w:rFonts w:hint="eastAsia" w:ascii="宋体" w:hAnsi="宋体" w:cs="宋体"/>
          <w:szCs w:val="28"/>
        </w:rPr>
        <w:t>响应函</w:t>
      </w:r>
      <w:r>
        <w:tab/>
      </w:r>
      <w:r>
        <w:fldChar w:fldCharType="begin"/>
      </w:r>
      <w:r>
        <w:instrText xml:space="preserve"> PAGEREF _Toc13491 \h </w:instrText>
      </w:r>
      <w:r>
        <w:fldChar w:fldCharType="separate"/>
      </w:r>
      <w:r>
        <w:t>47</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_Toc24056 </w:instrText>
      </w:r>
      <w:r>
        <w:rPr>
          <w:rFonts w:hint="eastAsia" w:ascii="宋体" w:hAnsi="宋体" w:eastAsia="宋体" w:cs="宋体"/>
          <w:i w:val="0"/>
          <w:iCs w:val="0"/>
          <w:highlight w:val="none"/>
        </w:rPr>
        <w:fldChar w:fldCharType="separate"/>
      </w:r>
      <w:r>
        <w:rPr>
          <w:rFonts w:hint="eastAsia" w:ascii="宋体" w:hAnsi="宋体" w:eastAsia="宋体" w:cs="宋体"/>
          <w:szCs w:val="32"/>
        </w:rPr>
        <w:t>1</w:t>
      </w:r>
      <w:r>
        <w:rPr>
          <w:rFonts w:hint="eastAsia" w:ascii="宋体" w:hAnsi="宋体" w:cs="宋体"/>
          <w:szCs w:val="32"/>
          <w:lang w:val="en-US" w:eastAsia="zh-CN"/>
        </w:rPr>
        <w:t>.2</w:t>
      </w:r>
      <w:r>
        <w:rPr>
          <w:rFonts w:hint="eastAsia" w:ascii="宋体" w:hAnsi="宋体" w:eastAsia="宋体" w:cs="宋体"/>
          <w:szCs w:val="32"/>
        </w:rPr>
        <w:t>响应供应商资格声明函</w:t>
      </w:r>
      <w:r>
        <w:tab/>
      </w:r>
      <w:r>
        <w:fldChar w:fldCharType="begin"/>
      </w:r>
      <w:r>
        <w:instrText xml:space="preserve"> PAGEREF _Toc24056 \h </w:instrText>
      </w:r>
      <w:r>
        <w:fldChar w:fldCharType="separate"/>
      </w:r>
      <w:r>
        <w:t>49</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_Toc276 </w:instrText>
      </w:r>
      <w:r>
        <w:rPr>
          <w:rFonts w:hint="eastAsia" w:ascii="宋体" w:hAnsi="宋体" w:eastAsia="宋体" w:cs="宋体"/>
          <w:i w:val="0"/>
          <w:iCs w:val="0"/>
          <w:highlight w:val="none"/>
        </w:rPr>
        <w:fldChar w:fldCharType="separate"/>
      </w:r>
      <w:r>
        <w:rPr>
          <w:rFonts w:hint="eastAsia" w:ascii="宋体" w:hAnsi="宋体" w:cs="宋体"/>
          <w:szCs w:val="28"/>
          <w:lang w:val="en-US" w:eastAsia="zh-CN"/>
        </w:rPr>
        <w:t>1.3</w:t>
      </w:r>
      <w:r>
        <w:rPr>
          <w:rFonts w:hint="eastAsia" w:ascii="宋体" w:hAnsi="宋体" w:cs="宋体"/>
          <w:szCs w:val="28"/>
        </w:rPr>
        <w:t>法定代表人</w:t>
      </w:r>
      <w:r>
        <w:rPr>
          <w:rFonts w:hint="eastAsia" w:ascii="宋体" w:hAnsi="宋体" w:cs="宋体"/>
          <w:szCs w:val="28"/>
          <w:lang w:eastAsia="zh-CN"/>
        </w:rPr>
        <w:t>（</w:t>
      </w:r>
      <w:r>
        <w:rPr>
          <w:rFonts w:hint="eastAsia" w:ascii="宋体" w:hAnsi="宋体" w:cs="宋体"/>
          <w:szCs w:val="28"/>
        </w:rPr>
        <w:t>负责人</w:t>
      </w:r>
      <w:r>
        <w:rPr>
          <w:rFonts w:hint="eastAsia" w:ascii="宋体" w:hAnsi="宋体" w:cs="宋体"/>
          <w:szCs w:val="28"/>
          <w:lang w:eastAsia="zh-CN"/>
        </w:rPr>
        <w:t>）</w:t>
      </w:r>
      <w:r>
        <w:rPr>
          <w:rFonts w:hint="eastAsia" w:ascii="宋体" w:hAnsi="宋体" w:cs="宋体"/>
          <w:szCs w:val="28"/>
        </w:rPr>
        <w:t>资格证明书及授权委托书</w:t>
      </w:r>
      <w:r>
        <w:tab/>
      </w:r>
      <w:r>
        <w:fldChar w:fldCharType="begin"/>
      </w:r>
      <w:r>
        <w:instrText xml:space="preserve"> PAGEREF _Toc276 \h </w:instrText>
      </w:r>
      <w:r>
        <w:fldChar w:fldCharType="separate"/>
      </w:r>
      <w:r>
        <w:t>51</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_Toc10967 </w:instrText>
      </w:r>
      <w:r>
        <w:rPr>
          <w:rFonts w:hint="eastAsia" w:ascii="宋体" w:hAnsi="宋体" w:eastAsia="宋体" w:cs="宋体"/>
          <w:i w:val="0"/>
          <w:iCs w:val="0"/>
          <w:highlight w:val="none"/>
        </w:rPr>
        <w:fldChar w:fldCharType="separate"/>
      </w:r>
      <w:r>
        <w:rPr>
          <w:rFonts w:hint="eastAsia" w:ascii="宋体" w:hAnsi="宋体" w:cs="宋体"/>
          <w:bCs/>
          <w:szCs w:val="44"/>
        </w:rPr>
        <w:t>二、商务文件</w:t>
      </w:r>
      <w:r>
        <w:tab/>
      </w:r>
      <w:r>
        <w:fldChar w:fldCharType="begin"/>
      </w:r>
      <w:r>
        <w:instrText xml:space="preserve"> PAGEREF _Toc10967 \h </w:instrText>
      </w:r>
      <w:r>
        <w:fldChar w:fldCharType="separate"/>
      </w:r>
      <w:r>
        <w:t>55</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_Toc24191 </w:instrText>
      </w:r>
      <w:r>
        <w:rPr>
          <w:rFonts w:hint="eastAsia" w:ascii="宋体" w:hAnsi="宋体" w:eastAsia="宋体" w:cs="宋体"/>
          <w:i w:val="0"/>
          <w:iCs w:val="0"/>
          <w:highlight w:val="none"/>
        </w:rPr>
        <w:fldChar w:fldCharType="separate"/>
      </w:r>
      <w:r>
        <w:rPr>
          <w:rFonts w:hint="eastAsia" w:ascii="宋体" w:hAnsi="宋体" w:cs="宋体"/>
          <w:szCs w:val="28"/>
        </w:rPr>
        <w:t>2.1供应商综合概况</w:t>
      </w:r>
      <w:r>
        <w:tab/>
      </w:r>
      <w:r>
        <w:fldChar w:fldCharType="begin"/>
      </w:r>
      <w:r>
        <w:instrText xml:space="preserve"> PAGEREF _Toc24191 \h </w:instrText>
      </w:r>
      <w:r>
        <w:fldChar w:fldCharType="separate"/>
      </w:r>
      <w:r>
        <w:t>55</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_Toc12832 </w:instrText>
      </w:r>
      <w:r>
        <w:rPr>
          <w:rFonts w:hint="eastAsia" w:ascii="宋体" w:hAnsi="宋体" w:eastAsia="宋体" w:cs="宋体"/>
          <w:i w:val="0"/>
          <w:iCs w:val="0"/>
          <w:highlight w:val="none"/>
        </w:rPr>
        <w:fldChar w:fldCharType="separate"/>
      </w:r>
      <w:r>
        <w:rPr>
          <w:rFonts w:hint="eastAsia" w:ascii="宋体" w:hAnsi="宋体" w:cs="宋体"/>
          <w:szCs w:val="28"/>
        </w:rPr>
        <w:t>2.2商务条款响应表</w:t>
      </w:r>
      <w:r>
        <w:tab/>
      </w:r>
      <w:r>
        <w:fldChar w:fldCharType="begin"/>
      </w:r>
      <w:r>
        <w:instrText xml:space="preserve"> PAGEREF _Toc12832 \h </w:instrText>
      </w:r>
      <w:r>
        <w:fldChar w:fldCharType="separate"/>
      </w:r>
      <w:r>
        <w:t>56</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_Toc10012 </w:instrText>
      </w:r>
      <w:r>
        <w:rPr>
          <w:rFonts w:hint="eastAsia" w:ascii="宋体" w:hAnsi="宋体" w:eastAsia="宋体" w:cs="宋体"/>
          <w:i w:val="0"/>
          <w:iCs w:val="0"/>
          <w:highlight w:val="none"/>
        </w:rPr>
        <w:fldChar w:fldCharType="separate"/>
      </w:r>
      <w:r>
        <w:rPr>
          <w:rFonts w:hint="eastAsia" w:ascii="宋体" w:hAnsi="宋体" w:cs="宋体"/>
          <w:bCs/>
          <w:szCs w:val="44"/>
        </w:rPr>
        <w:t>三、技术</w:t>
      </w:r>
      <w:r>
        <w:rPr>
          <w:rFonts w:hint="eastAsia" w:ascii="宋体" w:hAnsi="宋体" w:cs="宋体"/>
          <w:bCs/>
          <w:szCs w:val="44"/>
          <w:lang w:val="en-US" w:eastAsia="zh-CN"/>
        </w:rPr>
        <w:t>文件</w:t>
      </w:r>
      <w:r>
        <w:tab/>
      </w:r>
      <w:r>
        <w:fldChar w:fldCharType="begin"/>
      </w:r>
      <w:r>
        <w:instrText xml:space="preserve"> PAGEREF _Toc10012 \h </w:instrText>
      </w:r>
      <w:r>
        <w:fldChar w:fldCharType="separate"/>
      </w:r>
      <w:r>
        <w:t>57</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_Toc1406 </w:instrText>
      </w:r>
      <w:r>
        <w:rPr>
          <w:rFonts w:hint="eastAsia" w:ascii="宋体" w:hAnsi="宋体" w:eastAsia="宋体" w:cs="宋体"/>
          <w:i w:val="0"/>
          <w:iCs w:val="0"/>
          <w:highlight w:val="none"/>
        </w:rPr>
        <w:fldChar w:fldCharType="separate"/>
      </w:r>
      <w:r>
        <w:rPr>
          <w:rFonts w:hint="eastAsia" w:ascii="宋体" w:hAnsi="宋体" w:eastAsia="宋体" w:cs="宋体"/>
          <w:szCs w:val="21"/>
          <w:lang w:val="en-US" w:eastAsia="zh-CN"/>
        </w:rPr>
        <w:t>3.1</w:t>
      </w:r>
      <w:r>
        <w:rPr>
          <w:rFonts w:hint="eastAsia" w:ascii="宋体" w:hAnsi="宋体" w:eastAsia="宋体" w:cs="宋体"/>
          <w:szCs w:val="21"/>
        </w:rPr>
        <w:t>实质性响应技术条款</w:t>
      </w:r>
      <w:r>
        <w:rPr>
          <w:rFonts w:hint="eastAsia" w:ascii="宋体" w:hAnsi="宋体" w:cs="宋体"/>
          <w:szCs w:val="21"/>
          <w:lang w:eastAsia="zh-CN"/>
        </w:rPr>
        <w:t>（</w:t>
      </w:r>
      <w:r>
        <w:rPr>
          <w:rFonts w:hint="eastAsia" w:ascii="宋体" w:hAnsi="宋体" w:eastAsia="宋体" w:cs="宋体"/>
          <w:szCs w:val="21"/>
        </w:rPr>
        <w:t>“★”项</w:t>
      </w:r>
      <w:r>
        <w:rPr>
          <w:rFonts w:hint="eastAsia" w:ascii="宋体" w:hAnsi="宋体" w:cs="宋体"/>
          <w:szCs w:val="21"/>
          <w:lang w:eastAsia="zh-CN"/>
        </w:rPr>
        <w:t>）</w:t>
      </w:r>
      <w:r>
        <w:rPr>
          <w:rFonts w:hint="eastAsia" w:ascii="宋体" w:hAnsi="宋体" w:eastAsia="宋体" w:cs="宋体"/>
          <w:szCs w:val="21"/>
        </w:rPr>
        <w:t>响应表</w:t>
      </w:r>
      <w:r>
        <w:tab/>
      </w:r>
      <w:r>
        <w:fldChar w:fldCharType="begin"/>
      </w:r>
      <w:r>
        <w:instrText xml:space="preserve"> PAGEREF _Toc1406 \h </w:instrText>
      </w:r>
      <w:r>
        <w:fldChar w:fldCharType="separate"/>
      </w:r>
      <w:r>
        <w:t>57</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_Toc19337 </w:instrText>
      </w:r>
      <w:r>
        <w:rPr>
          <w:rFonts w:hint="eastAsia" w:ascii="宋体" w:hAnsi="宋体" w:eastAsia="宋体" w:cs="宋体"/>
          <w:i w:val="0"/>
          <w:iCs w:val="0"/>
          <w:highlight w:val="none"/>
        </w:rPr>
        <w:fldChar w:fldCharType="separate"/>
      </w:r>
      <w:r>
        <w:rPr>
          <w:rFonts w:hint="eastAsia" w:ascii="宋体" w:hAnsi="宋体" w:eastAsia="宋体" w:cs="宋体"/>
          <w:bCs/>
          <w:szCs w:val="21"/>
          <w:lang w:val="en-US" w:eastAsia="zh-CN"/>
        </w:rPr>
        <w:t>3.2</w:t>
      </w:r>
      <w:r>
        <w:rPr>
          <w:rFonts w:hint="eastAsia" w:ascii="宋体" w:hAnsi="宋体" w:eastAsia="宋体" w:cs="宋体"/>
          <w:bCs/>
          <w:szCs w:val="21"/>
        </w:rPr>
        <w:t>重要技术条款</w:t>
      </w:r>
      <w:r>
        <w:rPr>
          <w:rFonts w:hint="eastAsia" w:ascii="宋体" w:hAnsi="宋体" w:cs="宋体"/>
          <w:bCs/>
          <w:szCs w:val="21"/>
          <w:lang w:eastAsia="zh-CN"/>
        </w:rPr>
        <w:t>（</w:t>
      </w:r>
      <w:r>
        <w:rPr>
          <w:rFonts w:hint="eastAsia" w:ascii="宋体" w:hAnsi="宋体" w:eastAsia="宋体" w:cs="宋体"/>
          <w:bCs/>
          <w:szCs w:val="21"/>
        </w:rPr>
        <w:t>“▲”项</w:t>
      </w:r>
      <w:r>
        <w:rPr>
          <w:rFonts w:hint="eastAsia" w:ascii="宋体" w:hAnsi="宋体" w:cs="宋体"/>
          <w:bCs/>
          <w:szCs w:val="21"/>
          <w:lang w:eastAsia="zh-CN"/>
        </w:rPr>
        <w:t>）</w:t>
      </w:r>
      <w:r>
        <w:rPr>
          <w:rFonts w:hint="eastAsia" w:ascii="宋体" w:hAnsi="宋体" w:eastAsia="宋体" w:cs="宋体"/>
          <w:bCs/>
          <w:szCs w:val="21"/>
        </w:rPr>
        <w:t>响应表</w:t>
      </w:r>
      <w:r>
        <w:tab/>
      </w:r>
      <w:r>
        <w:fldChar w:fldCharType="begin"/>
      </w:r>
      <w:r>
        <w:instrText xml:space="preserve"> PAGEREF _Toc19337 \h </w:instrText>
      </w:r>
      <w:r>
        <w:fldChar w:fldCharType="separate"/>
      </w:r>
      <w:r>
        <w:t>58</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_Toc19010 </w:instrText>
      </w:r>
      <w:r>
        <w:rPr>
          <w:rFonts w:hint="eastAsia" w:ascii="宋体" w:hAnsi="宋体" w:eastAsia="宋体" w:cs="宋体"/>
          <w:i w:val="0"/>
          <w:iCs w:val="0"/>
          <w:highlight w:val="none"/>
        </w:rPr>
        <w:fldChar w:fldCharType="separate"/>
      </w:r>
      <w:r>
        <w:rPr>
          <w:rFonts w:hint="eastAsia" w:ascii="宋体" w:hAnsi="宋体" w:eastAsia="宋体" w:cs="宋体"/>
          <w:bCs/>
          <w:szCs w:val="21"/>
          <w:lang w:val="en-US" w:eastAsia="zh-CN"/>
        </w:rPr>
        <w:t>3.3《技术和服务要求响应表》</w:t>
      </w:r>
      <w:r>
        <w:tab/>
      </w:r>
      <w:r>
        <w:fldChar w:fldCharType="begin"/>
      </w:r>
      <w:r>
        <w:instrText xml:space="preserve"> PAGEREF _Toc19010 \h </w:instrText>
      </w:r>
      <w:r>
        <w:fldChar w:fldCharType="separate"/>
      </w:r>
      <w:r>
        <w:t>59</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_Toc15932 </w:instrText>
      </w:r>
      <w:r>
        <w:rPr>
          <w:rFonts w:hint="eastAsia" w:ascii="宋体" w:hAnsi="宋体" w:eastAsia="宋体" w:cs="宋体"/>
          <w:i w:val="0"/>
          <w:iCs w:val="0"/>
          <w:highlight w:val="none"/>
        </w:rPr>
        <w:fldChar w:fldCharType="separate"/>
      </w:r>
      <w:r>
        <w:rPr>
          <w:rFonts w:hint="eastAsia" w:ascii="宋体" w:hAnsi="宋体" w:cs="宋体"/>
          <w:szCs w:val="28"/>
          <w:lang w:val="en-US" w:eastAsia="zh-CN"/>
        </w:rPr>
        <w:t>3</w:t>
      </w:r>
      <w:r>
        <w:rPr>
          <w:rFonts w:hint="eastAsia" w:ascii="宋体" w:hAnsi="宋体" w:eastAsia="宋体" w:cs="宋体"/>
          <w:szCs w:val="28"/>
        </w:rPr>
        <w:t>.</w:t>
      </w:r>
      <w:r>
        <w:rPr>
          <w:rFonts w:hint="eastAsia" w:ascii="宋体" w:hAnsi="宋体" w:cs="宋体"/>
          <w:szCs w:val="28"/>
          <w:lang w:val="en-US" w:eastAsia="zh-CN"/>
        </w:rPr>
        <w:t>4</w:t>
      </w:r>
      <w:r>
        <w:rPr>
          <w:rFonts w:hint="eastAsia" w:ascii="宋体" w:hAnsi="宋体" w:eastAsia="宋体" w:cs="宋体"/>
          <w:szCs w:val="28"/>
        </w:rPr>
        <w:t>技术方案</w:t>
      </w:r>
      <w:r>
        <w:tab/>
      </w:r>
      <w:r>
        <w:fldChar w:fldCharType="begin"/>
      </w:r>
      <w:r>
        <w:instrText xml:space="preserve"> PAGEREF _Toc15932 \h </w:instrText>
      </w:r>
      <w:r>
        <w:fldChar w:fldCharType="separate"/>
      </w:r>
      <w:r>
        <w:t>60</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_Toc10701 </w:instrText>
      </w:r>
      <w:r>
        <w:rPr>
          <w:rFonts w:hint="eastAsia" w:ascii="宋体" w:hAnsi="宋体" w:eastAsia="宋体" w:cs="宋体"/>
          <w:i w:val="0"/>
          <w:iCs w:val="0"/>
          <w:highlight w:val="none"/>
        </w:rPr>
        <w:fldChar w:fldCharType="separate"/>
      </w:r>
      <w:r>
        <w:rPr>
          <w:rFonts w:hint="eastAsia" w:ascii="宋体" w:hAnsi="宋体" w:eastAsia="宋体" w:cs="宋体"/>
          <w:szCs w:val="32"/>
          <w:lang w:val="en-US" w:eastAsia="zh-CN"/>
        </w:rPr>
        <w:t>四</w:t>
      </w:r>
      <w:r>
        <w:rPr>
          <w:rFonts w:hint="eastAsia" w:ascii="宋体" w:hAnsi="宋体" w:eastAsia="宋体" w:cs="宋体"/>
          <w:szCs w:val="32"/>
        </w:rPr>
        <w:t>、</w:t>
      </w:r>
      <w:r>
        <w:rPr>
          <w:rFonts w:hint="eastAsia" w:ascii="宋体" w:hAnsi="宋体" w:cs="宋体"/>
          <w:bCs/>
          <w:szCs w:val="44"/>
        </w:rPr>
        <w:t>经济价格文件</w:t>
      </w:r>
      <w:r>
        <w:tab/>
      </w:r>
      <w:r>
        <w:fldChar w:fldCharType="begin"/>
      </w:r>
      <w:r>
        <w:instrText xml:space="preserve"> PAGEREF _Toc10701 \h </w:instrText>
      </w:r>
      <w:r>
        <w:fldChar w:fldCharType="separate"/>
      </w:r>
      <w:r>
        <w:t>61</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_Toc2249 </w:instrText>
      </w:r>
      <w:r>
        <w:rPr>
          <w:rFonts w:hint="eastAsia" w:ascii="宋体" w:hAnsi="宋体" w:eastAsia="宋体" w:cs="宋体"/>
          <w:i w:val="0"/>
          <w:iCs w:val="0"/>
          <w:highlight w:val="none"/>
        </w:rPr>
        <w:fldChar w:fldCharType="separate"/>
      </w:r>
      <w:r>
        <w:rPr>
          <w:rFonts w:hint="eastAsia" w:ascii="宋体" w:hAnsi="宋体" w:eastAsia="宋体" w:cs="宋体"/>
          <w:bCs/>
          <w:kern w:val="2"/>
          <w:szCs w:val="28"/>
          <w:lang w:val="en-US" w:eastAsia="zh-CN" w:bidi="ar-SA"/>
        </w:rPr>
        <w:t>4.1第一次报价一览表</w:t>
      </w:r>
      <w:r>
        <w:tab/>
      </w:r>
      <w:r>
        <w:fldChar w:fldCharType="begin"/>
      </w:r>
      <w:r>
        <w:instrText xml:space="preserve"> PAGEREF _Toc2249 \h </w:instrText>
      </w:r>
      <w:r>
        <w:fldChar w:fldCharType="separate"/>
      </w:r>
      <w:r>
        <w:t>61</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_Toc24120 </w:instrText>
      </w:r>
      <w:r>
        <w:rPr>
          <w:rFonts w:hint="eastAsia" w:ascii="宋体" w:hAnsi="宋体" w:eastAsia="宋体" w:cs="宋体"/>
          <w:i w:val="0"/>
          <w:iCs w:val="0"/>
          <w:highlight w:val="none"/>
        </w:rPr>
        <w:fldChar w:fldCharType="separate"/>
      </w:r>
      <w:r>
        <w:rPr>
          <w:rFonts w:hint="eastAsia" w:ascii="宋体" w:hAnsi="宋体" w:eastAsia="宋体" w:cs="宋体"/>
          <w:bCs/>
          <w:kern w:val="2"/>
          <w:szCs w:val="28"/>
          <w:lang w:val="en-US" w:eastAsia="zh-CN" w:bidi="ar-SA"/>
        </w:rPr>
        <w:t>4.2分项报价表</w:t>
      </w:r>
      <w:r>
        <w:tab/>
      </w:r>
      <w:r>
        <w:fldChar w:fldCharType="begin"/>
      </w:r>
      <w:r>
        <w:instrText xml:space="preserve"> PAGEREF _Toc24120 \h </w:instrText>
      </w:r>
      <w:r>
        <w:fldChar w:fldCharType="separate"/>
      </w:r>
      <w:r>
        <w:t>62</w:t>
      </w:r>
      <w:r>
        <w:fldChar w:fldCharType="end"/>
      </w:r>
      <w:r>
        <w:rPr>
          <w:rFonts w:hint="eastAsia" w:ascii="宋体" w:hAnsi="宋体" w:eastAsia="宋体" w:cs="宋体"/>
          <w:i w:val="0"/>
          <w:iCs w:val="0"/>
          <w:highlight w:val="none"/>
        </w:rPr>
        <w:fldChar w:fldCharType="end"/>
      </w:r>
    </w:p>
    <w:p>
      <w:pPr>
        <w:pStyle w:val="36"/>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_Toc16500 </w:instrText>
      </w:r>
      <w:r>
        <w:rPr>
          <w:rFonts w:hint="eastAsia" w:ascii="宋体" w:hAnsi="宋体" w:eastAsia="宋体" w:cs="宋体"/>
          <w:i w:val="0"/>
          <w:iCs w:val="0"/>
          <w:highlight w:val="none"/>
        </w:rPr>
        <w:fldChar w:fldCharType="separate"/>
      </w:r>
      <w:r>
        <w:rPr>
          <w:rFonts w:hint="eastAsia" w:ascii="宋体" w:hAnsi="宋体" w:eastAsia="宋体" w:cs="宋体"/>
          <w:bCs/>
          <w:kern w:val="2"/>
          <w:szCs w:val="28"/>
          <w:lang w:val="en-US" w:eastAsia="zh-CN" w:bidi="ar-SA"/>
        </w:rPr>
        <w:t>4.3最终报价一览表</w:t>
      </w:r>
      <w:r>
        <w:tab/>
      </w:r>
      <w:r>
        <w:fldChar w:fldCharType="begin"/>
      </w:r>
      <w:r>
        <w:instrText xml:space="preserve"> PAGEREF _Toc16500 \h </w:instrText>
      </w:r>
      <w:r>
        <w:fldChar w:fldCharType="separate"/>
      </w:r>
      <w:r>
        <w:t>63</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_Toc1304 </w:instrText>
      </w:r>
      <w:r>
        <w:rPr>
          <w:rFonts w:hint="eastAsia" w:ascii="宋体" w:hAnsi="宋体" w:eastAsia="宋体" w:cs="宋体"/>
          <w:i w:val="0"/>
          <w:iCs w:val="0"/>
          <w:highlight w:val="none"/>
        </w:rPr>
        <w:fldChar w:fldCharType="separate"/>
      </w:r>
      <w:r>
        <w:rPr>
          <w:rFonts w:hint="eastAsia" w:ascii="宋体" w:hAnsi="宋体" w:cs="宋体"/>
          <w:szCs w:val="32"/>
          <w:lang w:val="en-US" w:eastAsia="zh-CN"/>
        </w:rPr>
        <w:t xml:space="preserve">第三节 </w:t>
      </w:r>
      <w:r>
        <w:rPr>
          <w:rFonts w:hint="eastAsia" w:ascii="宋体" w:hAnsi="宋体" w:eastAsia="宋体" w:cs="宋体"/>
          <w:szCs w:val="32"/>
        </w:rPr>
        <w:t>通知函</w:t>
      </w:r>
      <w:r>
        <w:tab/>
      </w:r>
      <w:r>
        <w:fldChar w:fldCharType="begin"/>
      </w:r>
      <w:r>
        <w:instrText xml:space="preserve"> PAGEREF _Toc1304 \h </w:instrText>
      </w:r>
      <w:r>
        <w:fldChar w:fldCharType="separate"/>
      </w:r>
      <w:r>
        <w:t>64</w:t>
      </w:r>
      <w:r>
        <w:fldChar w:fldCharType="end"/>
      </w:r>
      <w:r>
        <w:rPr>
          <w:rFonts w:hint="eastAsia" w:ascii="宋体" w:hAnsi="宋体" w:eastAsia="宋体" w:cs="宋体"/>
          <w:i w:val="0"/>
          <w:iCs w:val="0"/>
          <w:highlight w:val="none"/>
        </w:rPr>
        <w:fldChar w:fldCharType="end"/>
      </w:r>
    </w:p>
    <w:p>
      <w:pPr>
        <w:pStyle w:val="60"/>
        <w:tabs>
          <w:tab w:val="right" w:leader="dot" w:pos="8306"/>
        </w:tabs>
      </w:pPr>
      <w:r>
        <w:rPr>
          <w:rFonts w:hint="eastAsia" w:ascii="宋体" w:hAnsi="宋体" w:eastAsia="宋体" w:cs="宋体"/>
          <w:i w:val="0"/>
          <w:iCs w:val="0"/>
          <w:highlight w:val="none"/>
        </w:rPr>
        <w:fldChar w:fldCharType="begin"/>
      </w:r>
      <w:r>
        <w:rPr>
          <w:rFonts w:hint="eastAsia" w:ascii="宋体" w:hAnsi="宋体" w:eastAsia="宋体" w:cs="宋体"/>
          <w:i w:val="0"/>
          <w:iCs w:val="0"/>
          <w:highlight w:val="none"/>
        </w:rPr>
        <w:instrText xml:space="preserve"> HYPERLINK \l _Toc31828 </w:instrText>
      </w:r>
      <w:r>
        <w:rPr>
          <w:rFonts w:hint="eastAsia" w:ascii="宋体" w:hAnsi="宋体" w:eastAsia="宋体" w:cs="宋体"/>
          <w:i w:val="0"/>
          <w:iCs w:val="0"/>
          <w:highlight w:val="none"/>
        </w:rPr>
        <w:fldChar w:fldCharType="separate"/>
      </w:r>
      <w:r>
        <w:rPr>
          <w:rFonts w:hint="eastAsia" w:ascii="宋体" w:hAnsi="宋体" w:eastAsia="宋体" w:cs="宋体"/>
          <w:szCs w:val="21"/>
        </w:rPr>
        <w:t>附件：询问函、质疑函、投诉书格式</w:t>
      </w:r>
      <w:r>
        <w:tab/>
      </w:r>
      <w:r>
        <w:fldChar w:fldCharType="begin"/>
      </w:r>
      <w:r>
        <w:instrText xml:space="preserve"> PAGEREF _Toc31828 \h </w:instrText>
      </w:r>
      <w:r>
        <w:fldChar w:fldCharType="separate"/>
      </w:r>
      <w:r>
        <w:t>65</w:t>
      </w:r>
      <w:r>
        <w:fldChar w:fldCharType="end"/>
      </w:r>
      <w:r>
        <w:rPr>
          <w:rFonts w:hint="eastAsia" w:ascii="宋体" w:hAnsi="宋体" w:eastAsia="宋体" w:cs="宋体"/>
          <w:i w:val="0"/>
          <w:iCs w:val="0"/>
          <w:highlight w:val="none"/>
        </w:rPr>
        <w:fldChar w:fldCharType="end"/>
      </w:r>
    </w:p>
    <w:p>
      <w:pPr>
        <w:rPr>
          <w:rFonts w:hint="eastAsia" w:ascii="宋体" w:hAnsi="宋体" w:eastAsia="宋体" w:cs="宋体"/>
          <w:iCs/>
          <w:highlight w:val="none"/>
        </w:rPr>
      </w:pPr>
      <w:r>
        <w:rPr>
          <w:rFonts w:hint="eastAsia" w:ascii="宋体" w:hAnsi="宋体" w:eastAsia="宋体" w:cs="宋体"/>
          <w:i w:val="0"/>
          <w:iCs w:val="0"/>
          <w:highlight w:val="none"/>
        </w:rPr>
        <w:fldChar w:fldCharType="end"/>
      </w:r>
    </w:p>
    <w:p>
      <w:pPr>
        <w:rPr>
          <w:rFonts w:hint="eastAsia" w:ascii="宋体" w:hAnsi="宋体" w:eastAsia="宋体" w:cs="宋体"/>
          <w:iCs/>
          <w:highlight w:val="none"/>
        </w:rPr>
      </w:pPr>
      <w:bookmarkStart w:id="0" w:name="_Toc35342044"/>
      <w:r>
        <w:rPr>
          <w:rFonts w:hint="eastAsia" w:ascii="宋体" w:hAnsi="宋体" w:eastAsia="宋体" w:cs="宋体"/>
          <w:iCs/>
          <w:highlight w:val="none"/>
        </w:rPr>
        <w:br w:type="page"/>
      </w:r>
      <w:bookmarkStart w:id="1" w:name="_Toc276645569"/>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3"/>
        <w:keepNext/>
        <w:keepLines/>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ascii="宋体" w:hAnsi="宋体" w:eastAsia="宋体" w:cs="宋体"/>
          <w:sz w:val="44"/>
          <w:szCs w:val="36"/>
          <w:highlight w:val="none"/>
        </w:rPr>
      </w:pPr>
      <w:bookmarkStart w:id="2" w:name="_Toc762"/>
      <w:bookmarkStart w:id="3" w:name="_Toc6975"/>
      <w:bookmarkStart w:id="4" w:name="_Toc531617865"/>
      <w:bookmarkStart w:id="5" w:name="_Toc7387"/>
      <w:bookmarkStart w:id="6" w:name="_Toc13039"/>
      <w:bookmarkStart w:id="7" w:name="_Toc5841"/>
      <w:bookmarkStart w:id="8" w:name="_Toc6174"/>
      <w:bookmarkStart w:id="9" w:name="_Toc12171"/>
      <w:bookmarkStart w:id="10" w:name="_Toc3386992"/>
      <w:bookmarkStart w:id="11" w:name="_Toc49930290"/>
      <w:bookmarkStart w:id="12" w:name="_Toc846"/>
      <w:bookmarkStart w:id="13" w:name="_Toc12284"/>
      <w:bookmarkStart w:id="14" w:name="_Toc37919846"/>
      <w:bookmarkStart w:id="15" w:name="_Toc32401"/>
      <w:bookmarkStart w:id="16" w:name="_Toc497076493"/>
      <w:r>
        <w:rPr>
          <w:rFonts w:hint="eastAsia" w:ascii="宋体" w:hAnsi="宋体" w:eastAsia="宋体" w:cs="宋体"/>
          <w:sz w:val="44"/>
          <w:szCs w:val="36"/>
          <w:highlight w:val="none"/>
        </w:rPr>
        <w:t>第一部分</w:t>
      </w:r>
      <w:bookmarkEnd w:id="0"/>
      <w:bookmarkEnd w:id="1"/>
      <w:r>
        <w:rPr>
          <w:rFonts w:hint="eastAsia" w:ascii="宋体" w:hAnsi="宋体" w:eastAsia="宋体" w:cs="宋体"/>
          <w:sz w:val="44"/>
          <w:szCs w:val="36"/>
          <w:highlight w:val="none"/>
        </w:rPr>
        <w:t xml:space="preserve"> 竞争性磋商邀请函</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before="240" w:beforeLines="100" w:after="240" w:afterLines="100"/>
        <w:jc w:val="center"/>
        <w:rPr>
          <w:rFonts w:hint="eastAsia" w:ascii="宋体" w:hAnsi="宋体" w:eastAsia="宋体" w:cs="宋体"/>
          <w:highlight w:val="none"/>
          <w:lang w:eastAsia="zh-CN"/>
        </w:rPr>
      </w:pPr>
      <w:r>
        <w:rPr>
          <w:rFonts w:hint="eastAsia" w:ascii="宋体" w:hAnsi="宋体" w:eastAsia="宋体" w:cs="宋体"/>
          <w:highlight w:val="none"/>
        </w:rPr>
        <w:br w:type="page"/>
      </w:r>
      <w:bookmarkStart w:id="17" w:name="_Toc28359011"/>
      <w:bookmarkStart w:id="18" w:name="_Toc35393797"/>
      <w:bookmarkStart w:id="19" w:name="_Toc35342045"/>
      <w:r>
        <w:rPr>
          <w:rFonts w:hint="eastAsia" w:ascii="宋体" w:hAnsi="宋体" w:eastAsia="宋体" w:cs="宋体"/>
          <w:b/>
          <w:bCs/>
          <w:sz w:val="36"/>
          <w:szCs w:val="36"/>
          <w:highlight w:val="none"/>
        </w:rPr>
        <w:t>磋商邀请</w:t>
      </w:r>
      <w:r>
        <w:rPr>
          <w:rFonts w:hint="eastAsia" w:ascii="宋体" w:hAnsi="宋体" w:cs="宋体"/>
          <w:b/>
          <w:bCs/>
          <w:sz w:val="36"/>
          <w:szCs w:val="36"/>
          <w:highlight w:val="none"/>
          <w:lang w:eastAsia="zh-CN"/>
        </w:rPr>
        <w:t>（</w:t>
      </w:r>
      <w:r>
        <w:rPr>
          <w:rFonts w:hint="eastAsia" w:ascii="宋体" w:hAnsi="宋体" w:eastAsia="宋体" w:cs="宋体"/>
          <w:b/>
          <w:bCs/>
          <w:sz w:val="36"/>
          <w:szCs w:val="36"/>
          <w:highlight w:val="none"/>
        </w:rPr>
        <w:t>竞争性磋商公告</w:t>
      </w:r>
      <w:bookmarkEnd w:id="17"/>
      <w:bookmarkEnd w:id="18"/>
      <w:r>
        <w:rPr>
          <w:rFonts w:hint="eastAsia" w:ascii="宋体" w:hAnsi="宋体" w:cs="宋体"/>
          <w:b/>
          <w:bCs/>
          <w:sz w:val="36"/>
          <w:szCs w:val="36"/>
          <w:highlight w:val="none"/>
          <w:lang w:eastAsia="zh-CN"/>
        </w:rPr>
        <w:t>）</w:t>
      </w:r>
    </w:p>
    <w:p>
      <w:pPr>
        <w:pBdr>
          <w:top w:val="single" w:color="auto" w:sz="4" w:space="1"/>
          <w:left w:val="single" w:color="auto" w:sz="4" w:space="4"/>
          <w:bottom w:val="single" w:color="auto" w:sz="4" w:space="1"/>
          <w:right w:val="single" w:color="auto" w:sz="4" w:space="4"/>
        </w:pBdr>
        <w:adjustRightInd w:val="0"/>
        <w:snapToGrid w:val="0"/>
        <w:spacing w:before="120" w:beforeLines="50" w:after="120" w:afterLines="50" w:line="30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u w:val="single"/>
          <w:lang w:eastAsia="zh-CN"/>
        </w:rPr>
        <w:t>珠海市中级人民法院2023年科技法庭租赁服务项目</w:t>
      </w:r>
      <w:r>
        <w:rPr>
          <w:rFonts w:hint="eastAsia" w:ascii="宋体" w:hAnsi="宋体" w:eastAsia="宋体" w:cs="宋体"/>
          <w:sz w:val="21"/>
          <w:szCs w:val="21"/>
          <w:highlight w:val="none"/>
        </w:rPr>
        <w:t>的潜在供应商应在</w:t>
      </w:r>
      <w:r>
        <w:rPr>
          <w:rFonts w:hint="eastAsia" w:ascii="宋体" w:hAnsi="宋体" w:eastAsia="宋体" w:cs="宋体"/>
          <w:sz w:val="21"/>
          <w:szCs w:val="21"/>
          <w:highlight w:val="none"/>
          <w:lang w:eastAsia="zh-CN"/>
        </w:rPr>
        <w:t>珠海市香洲区兴国街4号中立信大厦902珠海正诺工程咨询有限公司</w:t>
      </w:r>
      <w:r>
        <w:rPr>
          <w:rFonts w:hint="eastAsia" w:ascii="宋体" w:hAnsi="宋体" w:eastAsia="宋体" w:cs="宋体"/>
          <w:sz w:val="21"/>
          <w:szCs w:val="21"/>
          <w:highlight w:val="none"/>
        </w:rPr>
        <w:t>获取采购文件，并于</w:t>
      </w:r>
      <w:r>
        <w:rPr>
          <w:rFonts w:hint="eastAsia" w:ascii="宋体" w:hAnsi="宋体" w:eastAsia="宋体" w:cs="宋体"/>
          <w:sz w:val="21"/>
          <w:szCs w:val="21"/>
          <w:highlight w:val="none"/>
          <w:u w:val="single"/>
          <w:lang w:eastAsia="zh-CN"/>
        </w:rPr>
        <w:t>202</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年</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月</w:t>
      </w:r>
      <w:r>
        <w:rPr>
          <w:rFonts w:hint="eastAsia" w:ascii="宋体" w:hAnsi="宋体" w:cs="宋体"/>
          <w:sz w:val="21"/>
          <w:szCs w:val="21"/>
          <w:highlight w:val="none"/>
          <w:u w:val="single"/>
          <w:lang w:val="en-US" w:eastAsia="zh-CN"/>
        </w:rPr>
        <w:t>21</w:t>
      </w:r>
      <w:r>
        <w:rPr>
          <w:rFonts w:hint="eastAsia" w:ascii="宋体" w:hAnsi="宋体" w:eastAsia="宋体" w:cs="宋体"/>
          <w:sz w:val="21"/>
          <w:szCs w:val="21"/>
          <w:highlight w:val="none"/>
          <w:u w:val="single"/>
          <w:lang w:eastAsia="zh-CN"/>
        </w:rPr>
        <w:t>日</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点</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0分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北京时间</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前提交响应文件</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textAlignment w:val="auto"/>
        <w:outlineLvl w:val="9"/>
        <w:rPr>
          <w:rFonts w:hint="eastAsia" w:ascii="宋体" w:hAnsi="宋体" w:eastAsia="宋体" w:cs="宋体"/>
          <w:b/>
          <w:sz w:val="21"/>
          <w:szCs w:val="21"/>
          <w:highlight w:val="none"/>
        </w:rPr>
      </w:pPr>
      <w:bookmarkStart w:id="20" w:name="_Toc12285"/>
      <w:bookmarkStart w:id="21" w:name="_Toc35393798"/>
      <w:bookmarkStart w:id="22" w:name="_Toc6593"/>
      <w:bookmarkStart w:id="23" w:name="_Toc35393629"/>
      <w:bookmarkStart w:id="24" w:name="_Toc7485"/>
      <w:bookmarkStart w:id="25" w:name="_Toc28359012"/>
      <w:bookmarkStart w:id="26" w:name="_Toc16055"/>
      <w:bookmarkStart w:id="27" w:name="_Toc29332"/>
      <w:bookmarkStart w:id="28" w:name="_Toc24503"/>
      <w:bookmarkStart w:id="29" w:name="_Toc23624"/>
      <w:bookmarkStart w:id="30" w:name="_Toc49930291"/>
      <w:bookmarkStart w:id="31" w:name="_Toc28359089"/>
      <w:bookmarkStart w:id="32" w:name="_Toc25044"/>
      <w:r>
        <w:rPr>
          <w:rFonts w:hint="eastAsia" w:ascii="宋体" w:hAnsi="宋体" w:eastAsia="宋体" w:cs="宋体"/>
          <w:b/>
          <w:sz w:val="21"/>
          <w:szCs w:val="21"/>
          <w:highlight w:val="none"/>
        </w:rPr>
        <w:t>一、项目基本情况</w:t>
      </w:r>
      <w:bookmarkEnd w:id="20"/>
      <w:bookmarkEnd w:id="21"/>
      <w:bookmarkEnd w:id="22"/>
      <w:bookmarkEnd w:id="23"/>
      <w:bookmarkEnd w:id="24"/>
      <w:bookmarkEnd w:id="25"/>
      <w:bookmarkEnd w:id="26"/>
      <w:bookmarkEnd w:id="27"/>
      <w:bookmarkEnd w:id="28"/>
      <w:bookmarkEnd w:id="29"/>
      <w:bookmarkEnd w:id="30"/>
      <w:bookmarkEnd w:id="31"/>
      <w:bookmarkEnd w:id="32"/>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项目编号：</w:t>
      </w:r>
      <w:r>
        <w:rPr>
          <w:rFonts w:hint="eastAsia" w:ascii="宋体" w:hAnsi="宋体" w:cs="宋体"/>
          <w:sz w:val="21"/>
          <w:szCs w:val="21"/>
          <w:highlight w:val="none"/>
          <w:lang w:eastAsia="zh-CN"/>
        </w:rPr>
        <w:t>ZHZN2023-135</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u w:val="single"/>
          <w:lang w:eastAsia="zh-CN"/>
        </w:rPr>
      </w:pPr>
      <w:r>
        <w:rPr>
          <w:rFonts w:hint="eastAsia" w:ascii="宋体" w:hAnsi="宋体" w:eastAsia="宋体" w:cs="宋体"/>
          <w:sz w:val="21"/>
          <w:szCs w:val="21"/>
          <w:highlight w:val="none"/>
        </w:rPr>
        <w:t>项目名称：</w:t>
      </w:r>
      <w:r>
        <w:rPr>
          <w:rFonts w:hint="eastAsia" w:ascii="宋体" w:hAnsi="宋体" w:cs="宋体"/>
          <w:sz w:val="21"/>
          <w:szCs w:val="21"/>
          <w:highlight w:val="none"/>
          <w:lang w:eastAsia="zh-CN"/>
        </w:rPr>
        <w:t>珠海市中级人民法院2023年科技法庭租赁服务项目</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采购方式：竞争性磋商</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eastAsia="zh-CN"/>
        </w:rPr>
        <w:t>人民币</w:t>
      </w:r>
      <w:r>
        <w:rPr>
          <w:rFonts w:hint="eastAsia" w:ascii="宋体" w:hAnsi="宋体" w:cs="宋体"/>
          <w:sz w:val="21"/>
          <w:szCs w:val="21"/>
          <w:highlight w:val="none"/>
          <w:lang w:val="en-US" w:eastAsia="zh-CN"/>
        </w:rPr>
        <w:t>捌拾伍万零柒佰壹拾柒元整</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850</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717</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00</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trike w:val="0"/>
          <w:sz w:val="21"/>
          <w:szCs w:val="21"/>
          <w:highlight w:val="none"/>
        </w:rPr>
      </w:pPr>
      <w:r>
        <w:rPr>
          <w:rFonts w:hint="eastAsia" w:ascii="宋体" w:hAnsi="宋体" w:eastAsia="宋体" w:cs="宋体"/>
          <w:strike w:val="0"/>
          <w:sz w:val="21"/>
          <w:szCs w:val="21"/>
          <w:highlight w:val="none"/>
        </w:rPr>
        <w:t>最高限价：</w:t>
      </w:r>
      <w:r>
        <w:rPr>
          <w:rFonts w:hint="eastAsia" w:ascii="宋体" w:hAnsi="宋体" w:eastAsia="宋体" w:cs="宋体"/>
          <w:sz w:val="21"/>
          <w:szCs w:val="21"/>
          <w:highlight w:val="none"/>
          <w:lang w:eastAsia="zh-CN"/>
        </w:rPr>
        <w:t>人民币</w:t>
      </w:r>
      <w:r>
        <w:rPr>
          <w:rFonts w:hint="eastAsia" w:ascii="宋体" w:hAnsi="宋体" w:cs="宋体"/>
          <w:sz w:val="21"/>
          <w:szCs w:val="21"/>
          <w:highlight w:val="none"/>
          <w:lang w:val="en-US" w:eastAsia="zh-CN"/>
        </w:rPr>
        <w:t>捌拾伍万零柒佰壹拾柒元整</w:t>
      </w:r>
      <w:r>
        <w:rPr>
          <w:rFonts w:hint="eastAsia" w:ascii="宋体" w:hAnsi="宋体" w:cs="宋体"/>
          <w:sz w:val="21"/>
          <w:szCs w:val="21"/>
          <w:highlight w:val="none"/>
          <w:lang w:eastAsia="zh-CN"/>
        </w:rPr>
        <w:t>（</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850</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717</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00</w:t>
      </w:r>
      <w:r>
        <w:rPr>
          <w:rFonts w:hint="eastAsia" w:ascii="宋体" w:hAnsi="宋体" w:cs="宋体"/>
          <w:sz w:val="21"/>
          <w:szCs w:val="21"/>
          <w:highlight w:val="none"/>
          <w:lang w:eastAsia="zh-CN"/>
        </w:rPr>
        <w:t>）</w:t>
      </w:r>
      <w:r>
        <w:rPr>
          <w:rFonts w:hint="eastAsia" w:ascii="宋体" w:hAnsi="宋体" w:eastAsia="宋体" w:cs="宋体"/>
          <w:strike w:val="0"/>
          <w:sz w:val="21"/>
          <w:szCs w:val="21"/>
          <w:highlight w:val="none"/>
        </w:rPr>
        <w:t>；</w:t>
      </w:r>
      <w:r>
        <w:rPr>
          <w:rFonts w:hint="eastAsia" w:ascii="宋体" w:hAnsi="宋体" w:cs="宋体"/>
          <w:szCs w:val="21"/>
        </w:rPr>
        <w:t>报价超过最高限价的响应文件作无效响应处理</w:t>
      </w:r>
      <w:r>
        <w:rPr>
          <w:rFonts w:hint="eastAsia" w:ascii="宋体" w:hAnsi="宋体" w:eastAsia="宋体" w:cs="宋体"/>
          <w:sz w:val="21"/>
          <w:szCs w:val="21"/>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采购需求：具体详</w:t>
      </w:r>
      <w:r>
        <w:rPr>
          <w:rFonts w:hint="eastAsia" w:ascii="宋体" w:hAnsi="宋体" w:cs="宋体"/>
          <w:sz w:val="21"/>
          <w:szCs w:val="21"/>
          <w:lang w:val="en-US" w:eastAsia="zh-CN"/>
        </w:rPr>
        <w:t>见磋商</w:t>
      </w:r>
      <w:r>
        <w:rPr>
          <w:rFonts w:hint="eastAsia" w:ascii="宋体" w:hAnsi="宋体" w:eastAsia="宋体" w:cs="宋体"/>
          <w:sz w:val="21"/>
          <w:szCs w:val="21"/>
        </w:rPr>
        <w:t>文件第四</w:t>
      </w:r>
      <w:r>
        <w:rPr>
          <w:rFonts w:hint="eastAsia" w:ascii="宋体" w:hAnsi="宋体" w:cs="宋体"/>
          <w:sz w:val="21"/>
          <w:szCs w:val="21"/>
          <w:lang w:val="en-US" w:eastAsia="zh-CN"/>
        </w:rPr>
        <w:t>部分</w:t>
      </w:r>
      <w:r>
        <w:rPr>
          <w:rFonts w:hint="eastAsia" w:ascii="宋体" w:hAnsi="宋体" w:eastAsia="宋体" w:cs="宋体"/>
          <w:sz w:val="21"/>
          <w:szCs w:val="21"/>
        </w:rPr>
        <w:t>“用户需求书”。</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highlight w:val="none"/>
          <w:lang w:eastAsia="zh-CN"/>
        </w:rPr>
      </w:pPr>
      <w:r>
        <w:rPr>
          <w:rFonts w:hint="eastAsia" w:ascii="宋体" w:hAnsi="宋体" w:cs="宋体"/>
          <w:sz w:val="21"/>
          <w:szCs w:val="21"/>
          <w:lang w:val="en-US" w:eastAsia="zh-CN"/>
        </w:rPr>
        <w:t>合同履行期</w:t>
      </w:r>
      <w:r>
        <w:rPr>
          <w:rFonts w:hint="eastAsia" w:ascii="宋体" w:hAnsi="宋体" w:cs="宋体"/>
          <w:sz w:val="21"/>
          <w:szCs w:val="21"/>
          <w:highlight w:val="none"/>
          <w:lang w:val="en-US" w:eastAsia="zh-CN"/>
        </w:rPr>
        <w:t>限</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自合同签订生效之日起三年</w:t>
      </w:r>
      <w:r>
        <w:rPr>
          <w:rFonts w:hint="eastAsia" w:ascii="宋体" w:hAnsi="宋体" w:eastAsia="宋体" w:cs="宋体"/>
          <w:sz w:val="21"/>
          <w:szCs w:val="21"/>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rPr>
        <w:t>本项目不接受联合体</w:t>
      </w:r>
      <w:r>
        <w:rPr>
          <w:rFonts w:hint="eastAsia" w:ascii="宋体" w:hAnsi="宋体" w:eastAsia="宋体" w:cs="宋体"/>
          <w:sz w:val="21"/>
          <w:szCs w:val="21"/>
          <w:lang w:val="en-US" w:eastAsia="zh-CN"/>
        </w:rPr>
        <w:t>参加</w:t>
      </w:r>
      <w:r>
        <w:rPr>
          <w:rFonts w:hint="eastAsia" w:ascii="宋体" w:hAnsi="宋体" w:cs="宋体"/>
          <w:sz w:val="21"/>
          <w:szCs w:val="21"/>
          <w:lang w:val="en-US" w:eastAsia="zh-CN"/>
        </w:rPr>
        <w:t>磋商</w:t>
      </w:r>
      <w:r>
        <w:rPr>
          <w:rFonts w:hint="eastAsia" w:ascii="宋体" w:hAnsi="宋体" w:eastAsia="宋体" w:cs="宋体"/>
          <w:sz w:val="21"/>
          <w:szCs w:val="21"/>
        </w:rPr>
        <w:t>。</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33" w:name="_Toc1043"/>
      <w:bookmarkStart w:id="34" w:name="_Toc5733"/>
      <w:bookmarkStart w:id="35" w:name="_Toc49930292"/>
      <w:bookmarkStart w:id="36" w:name="_Toc19610"/>
      <w:bookmarkStart w:id="37" w:name="_Toc25222"/>
      <w:bookmarkStart w:id="38" w:name="_Toc28359090"/>
      <w:bookmarkStart w:id="39" w:name="_Toc7678"/>
      <w:bookmarkStart w:id="40" w:name="_Toc14565"/>
      <w:bookmarkStart w:id="41" w:name="_Toc11163"/>
      <w:bookmarkStart w:id="42" w:name="_Toc35393799"/>
      <w:bookmarkStart w:id="43" w:name="_Toc17830"/>
      <w:bookmarkStart w:id="44" w:name="_Toc28359013"/>
      <w:bookmarkStart w:id="45" w:name="_Toc35393630"/>
      <w:r>
        <w:rPr>
          <w:rFonts w:hint="eastAsia" w:ascii="宋体" w:hAnsi="宋体" w:eastAsia="宋体" w:cs="宋体"/>
          <w:b/>
          <w:sz w:val="21"/>
          <w:szCs w:val="21"/>
          <w:highlight w:val="none"/>
        </w:rPr>
        <w:t>二、</w:t>
      </w:r>
      <w:r>
        <w:rPr>
          <w:rFonts w:hint="eastAsia" w:ascii="宋体" w:hAnsi="宋体" w:cs="宋体"/>
          <w:b/>
          <w:sz w:val="21"/>
          <w:szCs w:val="21"/>
          <w:highlight w:val="none"/>
          <w:lang w:val="en-US" w:eastAsia="zh-CN"/>
        </w:rPr>
        <w:t>供应商</w:t>
      </w:r>
      <w:r>
        <w:rPr>
          <w:rFonts w:hint="eastAsia" w:ascii="宋体" w:hAnsi="宋体" w:eastAsia="宋体" w:cs="宋体"/>
          <w:b/>
          <w:sz w:val="21"/>
          <w:szCs w:val="21"/>
          <w:highlight w:val="none"/>
        </w:rPr>
        <w:t>的资格要求</w:t>
      </w:r>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bookmarkStart w:id="46" w:name="_Toc28359014"/>
      <w:bookmarkStart w:id="47" w:name="_Toc28359091"/>
      <w:r>
        <w:rPr>
          <w:rFonts w:hint="eastAsia" w:ascii="宋体" w:hAnsi="宋体" w:eastAsia="宋体" w:cs="宋体"/>
          <w:sz w:val="21"/>
          <w:szCs w:val="21"/>
        </w:rPr>
        <w:t>1</w:t>
      </w:r>
      <w:r>
        <w:rPr>
          <w:rFonts w:hint="eastAsia" w:ascii="宋体" w:hAnsi="宋体" w:cs="宋体"/>
          <w:sz w:val="21"/>
          <w:szCs w:val="21"/>
          <w:lang w:val="en-US" w:eastAsia="zh-CN"/>
        </w:rPr>
        <w:t>.供应商须具有独立承担民事责任的能力，响应文件中须包含以下资格证明文件</w:t>
      </w:r>
      <w:r>
        <w:rPr>
          <w:rFonts w:hint="eastAsia" w:ascii="宋体" w:hAnsi="宋体" w:eastAsia="宋体" w:cs="宋体"/>
          <w:sz w:val="21"/>
          <w:szCs w:val="21"/>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cs="宋体"/>
          <w:sz w:val="21"/>
          <w:szCs w:val="21"/>
          <w:lang w:val="en-US" w:eastAsia="zh-CN"/>
        </w:rPr>
        <w:t>提供</w:t>
      </w:r>
      <w:r>
        <w:rPr>
          <w:rFonts w:hint="eastAsia" w:ascii="宋体" w:hAnsi="宋体" w:eastAsia="宋体" w:cs="宋体"/>
          <w:sz w:val="21"/>
          <w:szCs w:val="21"/>
        </w:rPr>
        <w:t>在中华人民共和国境内注册的法人或其他组织或自然人，投标</w:t>
      </w:r>
      <w:r>
        <w:rPr>
          <w:rFonts w:hint="eastAsia" w:ascii="宋体" w:hAnsi="宋体" w:cs="宋体"/>
          <w:sz w:val="21"/>
          <w:szCs w:val="21"/>
          <w:lang w:eastAsia="zh-CN"/>
        </w:rPr>
        <w:t>（</w:t>
      </w:r>
      <w:r>
        <w:rPr>
          <w:rFonts w:hint="eastAsia" w:ascii="宋体" w:hAnsi="宋体" w:eastAsia="宋体" w:cs="宋体"/>
          <w:sz w:val="21"/>
          <w:szCs w:val="21"/>
        </w:rPr>
        <w:t>响应</w:t>
      </w:r>
      <w:r>
        <w:rPr>
          <w:rFonts w:hint="eastAsia" w:ascii="宋体" w:hAnsi="宋体" w:cs="宋体"/>
          <w:sz w:val="21"/>
          <w:szCs w:val="21"/>
          <w:lang w:eastAsia="zh-CN"/>
        </w:rPr>
        <w:t>）</w:t>
      </w:r>
      <w:r>
        <w:rPr>
          <w:rFonts w:hint="eastAsia" w:ascii="宋体" w:hAnsi="宋体" w:eastAsia="宋体" w:cs="宋体"/>
          <w:sz w:val="21"/>
          <w:szCs w:val="21"/>
        </w:rPr>
        <w:t>时提交有效的营业执照</w:t>
      </w:r>
      <w:r>
        <w:rPr>
          <w:rFonts w:hint="eastAsia" w:ascii="宋体" w:hAnsi="宋体" w:cs="宋体"/>
          <w:sz w:val="21"/>
          <w:szCs w:val="21"/>
          <w:lang w:eastAsia="zh-CN"/>
        </w:rPr>
        <w:t>（</w:t>
      </w:r>
      <w:r>
        <w:rPr>
          <w:rFonts w:hint="eastAsia" w:ascii="宋体" w:hAnsi="宋体" w:eastAsia="宋体" w:cs="宋体"/>
          <w:sz w:val="21"/>
          <w:szCs w:val="21"/>
        </w:rPr>
        <w:t>或事业法人登记证或身份证等相关证明</w:t>
      </w:r>
      <w:r>
        <w:rPr>
          <w:rFonts w:hint="eastAsia" w:ascii="宋体" w:hAnsi="宋体" w:cs="宋体"/>
          <w:sz w:val="21"/>
          <w:szCs w:val="21"/>
          <w:lang w:eastAsia="zh-CN"/>
        </w:rPr>
        <w:t>）</w:t>
      </w:r>
      <w:r>
        <w:rPr>
          <w:rFonts w:hint="eastAsia" w:ascii="宋体" w:hAnsi="宋体" w:eastAsia="宋体" w:cs="宋体"/>
          <w:sz w:val="21"/>
          <w:szCs w:val="21"/>
        </w:rPr>
        <w:t>副本复印件。分支机构投标的，须提供总公司和分公司营业执照副本复印件，总公司出具给分支机构的授权书。</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cs="宋体"/>
          <w:sz w:val="21"/>
          <w:szCs w:val="21"/>
          <w:lang w:val="en-US" w:eastAsia="zh-CN"/>
        </w:rPr>
        <w:t>具</w:t>
      </w:r>
      <w:r>
        <w:rPr>
          <w:rFonts w:hint="eastAsia" w:ascii="宋体" w:hAnsi="宋体" w:eastAsia="宋体" w:cs="宋体"/>
          <w:sz w:val="21"/>
          <w:szCs w:val="21"/>
        </w:rPr>
        <w:t>有依法缴纳税收和社会保障资金的良好记录：提供《资格条件承诺函》。</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具有良好的商业信誉和健全的财务会计制度：提供《资格条件承诺函》。</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履行合同所必需的设备和专业技术能力：提供《资格条件承诺函》。</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参加采购活动前3年内，在经营活动中没有重大违法记录：提供《资格条件承诺函》。重大违法记录，是指供应商因违法经营受到刑事处罚或者责令停产停业、吊销许可证或者执照、较大数额罚款等行政处罚。</w:t>
      </w:r>
      <w:r>
        <w:rPr>
          <w:rFonts w:hint="eastAsia" w:ascii="宋体" w:hAnsi="宋体" w:cs="宋体"/>
          <w:sz w:val="21"/>
          <w:szCs w:val="21"/>
          <w:lang w:eastAsia="zh-CN"/>
        </w:rPr>
        <w:t>（</w:t>
      </w:r>
      <w:r>
        <w:rPr>
          <w:rFonts w:hint="eastAsia" w:ascii="宋体" w:hAnsi="宋体" w:eastAsia="宋体" w:cs="宋体"/>
          <w:sz w:val="21"/>
          <w:szCs w:val="21"/>
        </w:rPr>
        <w:t>根据财库〔2022〕3号文，“较大数额罚款”认定为200万元以上的罚款，法律、行政法规以及国务院有关部门明确规定相关领域“较大数额罚款”标准高于200万元的，从其规定</w:t>
      </w:r>
      <w:r>
        <w:rPr>
          <w:rFonts w:hint="eastAsia" w:ascii="宋体" w:hAnsi="宋体" w:cs="宋体"/>
          <w:sz w:val="21"/>
          <w:szCs w:val="21"/>
          <w:lang w:eastAsia="zh-CN"/>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sz w:val="21"/>
          <w:szCs w:val="21"/>
        </w:rPr>
        <w:t>单位负责人为同一人或者存在直接控股、管理关系的不同供应商，不得参加同一合同项下的采购活动</w:t>
      </w:r>
      <w:r>
        <w:rPr>
          <w:rFonts w:hint="eastAsia" w:ascii="宋体" w:hAnsi="宋体" w:eastAsia="宋体" w:cs="宋体"/>
          <w:sz w:val="21"/>
          <w:szCs w:val="21"/>
          <w:lang w:val="en-US" w:eastAsia="zh-CN"/>
        </w:rPr>
        <w:t>。为本项目提供整体设计、规范编制或者项目管理、监理、检测等服务的供应商，不得再参与本项目投标</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响应</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color w:val="auto"/>
          <w:sz w:val="21"/>
          <w:szCs w:val="21"/>
        </w:rPr>
        <w:t>3.</w:t>
      </w:r>
      <w:r>
        <w:rPr>
          <w:rFonts w:hint="eastAsia" w:ascii="宋体" w:hAnsi="宋体" w:eastAsia="宋体" w:cs="宋体"/>
          <w:sz w:val="21"/>
          <w:szCs w:val="21"/>
        </w:rPr>
        <w:t>信用信息：供应商未被列入“信用中国”网站</w:t>
      </w:r>
      <w:r>
        <w:rPr>
          <w:rFonts w:hint="eastAsia" w:ascii="宋体" w:hAnsi="宋体" w:cs="宋体"/>
          <w:sz w:val="21"/>
          <w:szCs w:val="21"/>
          <w:lang w:eastAsia="zh-CN"/>
        </w:rPr>
        <w:t>（</w:t>
      </w:r>
      <w:r>
        <w:rPr>
          <w:rFonts w:hint="eastAsia" w:ascii="宋体" w:hAnsi="宋体" w:eastAsia="宋体" w:cs="宋体"/>
          <w:sz w:val="21"/>
          <w:szCs w:val="21"/>
        </w:rPr>
        <w:t>www.creditchina.gov.cn</w:t>
      </w:r>
      <w:r>
        <w:rPr>
          <w:rFonts w:hint="eastAsia" w:ascii="宋体" w:hAnsi="宋体" w:cs="宋体"/>
          <w:sz w:val="21"/>
          <w:szCs w:val="21"/>
          <w:lang w:eastAsia="zh-CN"/>
        </w:rPr>
        <w:t>）</w:t>
      </w:r>
      <w:r>
        <w:rPr>
          <w:rFonts w:hint="eastAsia" w:ascii="宋体" w:hAnsi="宋体" w:eastAsia="宋体" w:cs="宋体"/>
          <w:sz w:val="21"/>
          <w:szCs w:val="21"/>
        </w:rPr>
        <w:t>记录失信被执行人或重大税收违法案件当事人名单记录名单；不处于中国政府采购网</w:t>
      </w:r>
      <w:r>
        <w:rPr>
          <w:rFonts w:hint="eastAsia" w:ascii="宋体" w:hAnsi="宋体" w:cs="宋体"/>
          <w:sz w:val="21"/>
          <w:szCs w:val="21"/>
          <w:lang w:eastAsia="zh-CN"/>
        </w:rPr>
        <w:t>（</w:t>
      </w:r>
      <w:r>
        <w:rPr>
          <w:rFonts w:hint="eastAsia" w:ascii="宋体" w:hAnsi="宋体" w:eastAsia="宋体" w:cs="宋体"/>
          <w:sz w:val="21"/>
          <w:szCs w:val="21"/>
        </w:rPr>
        <w:t>www.ccgp.gov.cn</w:t>
      </w:r>
      <w:r>
        <w:rPr>
          <w:rFonts w:hint="eastAsia" w:ascii="宋体" w:hAnsi="宋体" w:cs="宋体"/>
          <w:sz w:val="21"/>
          <w:szCs w:val="21"/>
          <w:lang w:eastAsia="zh-CN"/>
        </w:rPr>
        <w:t>）</w:t>
      </w:r>
      <w:r>
        <w:rPr>
          <w:rFonts w:hint="eastAsia" w:ascii="宋体" w:hAnsi="宋体" w:eastAsia="宋体" w:cs="宋体"/>
          <w:sz w:val="21"/>
          <w:szCs w:val="21"/>
        </w:rPr>
        <w:t>“政府采购严重违法失信行为信息记录”中的禁止参加政府采购活动期间。</w:t>
      </w:r>
      <w:r>
        <w:rPr>
          <w:rFonts w:hint="eastAsia" w:ascii="宋体" w:hAnsi="宋体" w:cs="宋体"/>
          <w:sz w:val="21"/>
          <w:szCs w:val="21"/>
          <w:lang w:eastAsia="zh-CN"/>
        </w:rPr>
        <w:t>（</w:t>
      </w:r>
      <w:r>
        <w:rPr>
          <w:rFonts w:hint="eastAsia" w:ascii="宋体" w:hAnsi="宋体" w:eastAsia="宋体" w:cs="宋体"/>
          <w:sz w:val="21"/>
          <w:szCs w:val="21"/>
        </w:rPr>
        <w:t>以采购代理机构于评审当天在“信用中国”网站</w:t>
      </w:r>
      <w:r>
        <w:rPr>
          <w:rFonts w:hint="eastAsia" w:ascii="宋体" w:hAnsi="宋体" w:cs="宋体"/>
          <w:sz w:val="21"/>
          <w:szCs w:val="21"/>
          <w:lang w:eastAsia="zh-CN"/>
        </w:rPr>
        <w:t>（</w:t>
      </w:r>
      <w:r>
        <w:rPr>
          <w:rFonts w:hint="eastAsia" w:ascii="宋体" w:hAnsi="宋体" w:eastAsia="宋体" w:cs="宋体"/>
          <w:sz w:val="21"/>
          <w:szCs w:val="21"/>
        </w:rPr>
        <w:t>www.creditchina.gov.cn</w:t>
      </w:r>
      <w:r>
        <w:rPr>
          <w:rFonts w:hint="eastAsia" w:ascii="宋体" w:hAnsi="宋体" w:cs="宋体"/>
          <w:sz w:val="21"/>
          <w:szCs w:val="21"/>
          <w:lang w:eastAsia="zh-CN"/>
        </w:rPr>
        <w:t>）</w:t>
      </w:r>
      <w:r>
        <w:rPr>
          <w:rFonts w:hint="eastAsia" w:ascii="宋体" w:hAnsi="宋体" w:eastAsia="宋体" w:cs="宋体"/>
          <w:sz w:val="21"/>
          <w:szCs w:val="21"/>
        </w:rPr>
        <w:t>及中国政府采购网</w:t>
      </w:r>
      <w:r>
        <w:rPr>
          <w:rFonts w:hint="eastAsia" w:ascii="宋体" w:hAnsi="宋体" w:cs="宋体"/>
          <w:sz w:val="21"/>
          <w:szCs w:val="21"/>
          <w:lang w:eastAsia="zh-CN"/>
        </w:rPr>
        <w:t>（</w:t>
      </w:r>
      <w:r>
        <w:rPr>
          <w:rFonts w:hint="eastAsia" w:ascii="宋体" w:hAnsi="宋体" w:eastAsia="宋体" w:cs="宋体"/>
          <w:sz w:val="21"/>
          <w:szCs w:val="21"/>
        </w:rPr>
        <w:t>http://www.ccgp.gov.cn/</w:t>
      </w:r>
      <w:r>
        <w:rPr>
          <w:rFonts w:hint="eastAsia" w:ascii="宋体" w:hAnsi="宋体" w:cs="宋体"/>
          <w:sz w:val="21"/>
          <w:szCs w:val="21"/>
          <w:lang w:eastAsia="zh-CN"/>
        </w:rPr>
        <w:t>）</w:t>
      </w:r>
      <w:r>
        <w:rPr>
          <w:rFonts w:hint="eastAsia" w:ascii="宋体" w:hAnsi="宋体" w:eastAsia="宋体" w:cs="宋体"/>
          <w:sz w:val="21"/>
          <w:szCs w:val="21"/>
        </w:rPr>
        <w:t>查询结果为准，如相关失信记录已失效，供应商需提供相关证明资料</w:t>
      </w:r>
      <w:r>
        <w:rPr>
          <w:rFonts w:hint="eastAsia" w:ascii="宋体" w:hAnsi="宋体" w:cs="宋体"/>
          <w:sz w:val="21"/>
          <w:szCs w:val="21"/>
          <w:lang w:eastAsia="zh-CN"/>
        </w:rPr>
        <w:t>）</w:t>
      </w:r>
      <w:r>
        <w:rPr>
          <w:rFonts w:hint="eastAsia" w:ascii="宋体" w:hAnsi="宋体" w:eastAsia="宋体" w:cs="宋体"/>
          <w:sz w:val="21"/>
          <w:szCs w:val="21"/>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lang w:val="en-US" w:eastAsia="zh-CN"/>
        </w:rPr>
        <w:t>4.</w:t>
      </w:r>
      <w:r>
        <w:rPr>
          <w:rFonts w:hint="eastAsia" w:ascii="宋体" w:hAnsi="宋体" w:eastAsia="宋体" w:cs="宋体"/>
          <w:sz w:val="21"/>
          <w:szCs w:val="21"/>
        </w:rPr>
        <w:t>本项目只接受登记购买本竞争性磋商文件</w:t>
      </w:r>
      <w:r>
        <w:rPr>
          <w:rFonts w:hint="eastAsia" w:ascii="宋体" w:hAnsi="宋体" w:cs="宋体"/>
          <w:sz w:val="21"/>
          <w:szCs w:val="21"/>
          <w:lang w:eastAsia="zh-CN"/>
        </w:rPr>
        <w:t>的</w:t>
      </w:r>
      <w:r>
        <w:rPr>
          <w:rFonts w:hint="eastAsia" w:ascii="宋体" w:hAnsi="宋体" w:eastAsia="宋体" w:cs="宋体"/>
          <w:sz w:val="21"/>
          <w:szCs w:val="21"/>
        </w:rPr>
        <w:t>供应商参与磋商。</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48" w:name="_Toc23262"/>
      <w:bookmarkStart w:id="49" w:name="_Toc27054"/>
      <w:bookmarkStart w:id="50" w:name="_Toc30492"/>
      <w:bookmarkStart w:id="51" w:name="_Toc35393631"/>
      <w:bookmarkStart w:id="52" w:name="_Toc35393800"/>
      <w:bookmarkStart w:id="53" w:name="_Toc32400"/>
      <w:bookmarkStart w:id="54" w:name="_Toc49930293"/>
      <w:bookmarkStart w:id="55" w:name="_Toc4721"/>
      <w:bookmarkStart w:id="56" w:name="_Toc28422"/>
      <w:bookmarkStart w:id="57" w:name="_Toc26319"/>
      <w:bookmarkStart w:id="58" w:name="_Toc17951"/>
      <w:r>
        <w:rPr>
          <w:rFonts w:hint="eastAsia" w:ascii="宋体" w:hAnsi="宋体" w:eastAsia="宋体" w:cs="宋体"/>
          <w:b/>
          <w:sz w:val="21"/>
          <w:szCs w:val="21"/>
          <w:highlight w:val="none"/>
        </w:rPr>
        <w:t>三、获取采购文件</w:t>
      </w:r>
      <w:bookmarkEnd w:id="46"/>
      <w:bookmarkEnd w:id="47"/>
      <w:bookmarkEnd w:id="48"/>
      <w:bookmarkEnd w:id="49"/>
      <w:bookmarkEnd w:id="50"/>
      <w:bookmarkEnd w:id="51"/>
      <w:bookmarkEnd w:id="52"/>
      <w:bookmarkEnd w:id="53"/>
      <w:bookmarkEnd w:id="54"/>
      <w:bookmarkEnd w:id="55"/>
      <w:bookmarkEnd w:id="56"/>
      <w:bookmarkEnd w:id="57"/>
      <w:bookmarkEnd w:id="58"/>
    </w:p>
    <w:p>
      <w:pPr>
        <w:keepNext w:val="0"/>
        <w:keepLines w:val="0"/>
        <w:pageBreakBefore w:val="0"/>
        <w:kinsoku/>
        <w:overflowPunct/>
        <w:topLinePunct w:val="0"/>
        <w:autoSpaceDE/>
        <w:autoSpaceDN/>
        <w:bidi w:val="0"/>
        <w:adjustRightInd w:val="0"/>
        <w:snapToGrid w:val="0"/>
        <w:spacing w:line="360" w:lineRule="auto"/>
        <w:ind w:firstLine="54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时间：</w:t>
      </w:r>
      <w:r>
        <w:rPr>
          <w:rFonts w:hint="eastAsia" w:ascii="宋体" w:hAnsi="宋体" w:eastAsia="宋体" w:cs="宋体"/>
          <w:sz w:val="21"/>
          <w:szCs w:val="21"/>
          <w:highlight w:val="none"/>
          <w:u w:val="single"/>
        </w:rPr>
        <w:t>202</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u w:val="single"/>
        </w:rPr>
        <w:t>年</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rPr>
        <w:t>月</w:t>
      </w:r>
      <w:r>
        <w:rPr>
          <w:rFonts w:hint="eastAsia" w:ascii="宋体" w:hAnsi="宋体" w:cs="宋体"/>
          <w:sz w:val="21"/>
          <w:szCs w:val="21"/>
          <w:highlight w:val="none"/>
          <w:u w:val="single"/>
          <w:lang w:val="en-US" w:eastAsia="zh-CN"/>
        </w:rPr>
        <w:t>11</w:t>
      </w:r>
      <w:r>
        <w:rPr>
          <w:rFonts w:hint="eastAsia" w:ascii="宋体" w:hAnsi="宋体" w:eastAsia="宋体" w:cs="宋体"/>
          <w:sz w:val="21"/>
          <w:szCs w:val="21"/>
          <w:highlight w:val="none"/>
          <w:u w:val="single"/>
        </w:rPr>
        <w:t>日</w:t>
      </w:r>
      <w:r>
        <w:rPr>
          <w:rFonts w:hint="eastAsia" w:ascii="宋体" w:hAnsi="宋体" w:eastAsia="宋体" w:cs="宋体"/>
          <w:sz w:val="21"/>
          <w:szCs w:val="21"/>
          <w:highlight w:val="none"/>
        </w:rPr>
        <w:t>至</w:t>
      </w:r>
      <w:r>
        <w:rPr>
          <w:rFonts w:hint="eastAsia" w:ascii="宋体" w:hAnsi="宋体" w:eastAsia="宋体" w:cs="宋体"/>
          <w:sz w:val="21"/>
          <w:szCs w:val="21"/>
          <w:highlight w:val="none"/>
          <w:u w:val="single"/>
        </w:rPr>
        <w:t>202</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u w:val="single"/>
        </w:rPr>
        <w:t>年</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rPr>
        <w:t>月</w:t>
      </w:r>
      <w:r>
        <w:rPr>
          <w:rFonts w:hint="eastAsia" w:ascii="宋体" w:hAnsi="宋体" w:cs="宋体"/>
          <w:sz w:val="21"/>
          <w:szCs w:val="21"/>
          <w:highlight w:val="none"/>
          <w:u w:val="single"/>
          <w:lang w:val="en-US" w:eastAsia="zh-CN"/>
        </w:rPr>
        <w:t>15</w:t>
      </w:r>
      <w:r>
        <w:rPr>
          <w:rFonts w:hint="eastAsia" w:ascii="宋体" w:hAnsi="宋体" w:eastAsia="宋体" w:cs="宋体"/>
          <w:sz w:val="21"/>
          <w:szCs w:val="21"/>
          <w:highlight w:val="none"/>
          <w:u w:val="single"/>
        </w:rPr>
        <w:t>日</w:t>
      </w:r>
      <w:r>
        <w:rPr>
          <w:rFonts w:hint="eastAsia" w:ascii="宋体" w:hAnsi="宋体" w:cs="宋体"/>
          <w:iCs/>
          <w:sz w:val="21"/>
          <w:szCs w:val="21"/>
          <w:highlight w:val="none"/>
          <w:u w:val="single"/>
          <w:lang w:eastAsia="zh-CN"/>
        </w:rPr>
        <w:t>（</w:t>
      </w:r>
      <w:r>
        <w:rPr>
          <w:rFonts w:hint="eastAsia" w:ascii="宋体" w:hAnsi="宋体" w:eastAsia="宋体" w:cs="宋体"/>
          <w:i/>
          <w:sz w:val="21"/>
          <w:szCs w:val="21"/>
          <w:highlight w:val="none"/>
          <w:u w:val="single"/>
        </w:rPr>
        <w:t>磋商文件的发售期限自开始之日起不得少于5个工作日</w:t>
      </w:r>
      <w:r>
        <w:rPr>
          <w:rFonts w:hint="eastAsia" w:ascii="宋体" w:hAnsi="宋体" w:cs="宋体"/>
          <w:iCs/>
          <w:sz w:val="21"/>
          <w:szCs w:val="21"/>
          <w:highlight w:val="none"/>
          <w:u w:val="single"/>
          <w:lang w:eastAsia="zh-CN"/>
        </w:rPr>
        <w:t>）</w:t>
      </w:r>
      <w:r>
        <w:rPr>
          <w:rFonts w:hint="eastAsia" w:ascii="宋体" w:hAnsi="宋体" w:eastAsia="宋体" w:cs="宋体"/>
          <w:sz w:val="21"/>
          <w:szCs w:val="21"/>
          <w:highlight w:val="none"/>
        </w:rPr>
        <w:t>，每天上午0</w:t>
      </w: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0至12：00，下午14：30至17：30</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北京时间，法定节假日除外</w:t>
      </w:r>
      <w:r>
        <w:rPr>
          <w:rFonts w:hint="eastAsia" w:ascii="宋体" w:hAnsi="宋体" w:cs="宋体"/>
          <w:sz w:val="21"/>
          <w:szCs w:val="21"/>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54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eastAsia="zh-CN"/>
        </w:rPr>
        <w:t>珠海市香洲区兴国街4号中立信大厦902珠海正诺工程咨询有限公司</w:t>
      </w:r>
      <w:r>
        <w:rPr>
          <w:rFonts w:hint="eastAsia" w:ascii="宋体" w:hAnsi="宋体" w:eastAsia="宋体" w:cs="宋体"/>
          <w:sz w:val="21"/>
          <w:szCs w:val="21"/>
          <w:highlight w:val="none"/>
        </w:rPr>
        <w:t>。</w:t>
      </w:r>
    </w:p>
    <w:p>
      <w:pPr>
        <w:keepNext w:val="0"/>
        <w:keepLines w:val="0"/>
        <w:pageBreakBefore w:val="0"/>
        <w:kinsoku/>
        <w:overflowPunct/>
        <w:topLinePunct w:val="0"/>
        <w:autoSpaceDE/>
        <w:autoSpaceDN/>
        <w:bidi w:val="0"/>
        <w:adjustRightInd w:val="0"/>
        <w:snapToGrid w:val="0"/>
        <w:spacing w:line="360" w:lineRule="auto"/>
        <w:ind w:firstLine="54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方式：</w:t>
      </w:r>
      <w:r>
        <w:rPr>
          <w:rFonts w:hint="eastAsia" w:ascii="宋体" w:hAnsi="宋体" w:eastAsia="宋体" w:cs="宋体"/>
          <w:color w:val="auto"/>
          <w:sz w:val="21"/>
          <w:szCs w:val="21"/>
        </w:rPr>
        <w:t>现场购买或者</w:t>
      </w:r>
      <w:r>
        <w:rPr>
          <w:rFonts w:hint="eastAsia" w:hAnsi="宋体" w:cs="宋体"/>
          <w:color w:val="auto"/>
          <w:sz w:val="21"/>
          <w:szCs w:val="21"/>
          <w:lang w:val="en-US" w:eastAsia="zh-CN"/>
        </w:rPr>
        <w:t>网上报名</w:t>
      </w:r>
      <w:r>
        <w:rPr>
          <w:rFonts w:hint="eastAsia" w:ascii="宋体" w:hAnsi="宋体" w:cs="宋体"/>
          <w:bCs/>
          <w:sz w:val="21"/>
          <w:szCs w:val="21"/>
          <w:lang w:eastAsia="zh-CN"/>
        </w:rPr>
        <w:t>（</w:t>
      </w:r>
      <w:r>
        <w:rPr>
          <w:rFonts w:hint="eastAsia" w:ascii="宋体" w:hAnsi="宋体" w:eastAsia="宋体" w:cs="宋体"/>
          <w:bCs/>
          <w:sz w:val="21"/>
          <w:szCs w:val="21"/>
        </w:rPr>
        <w:t>详见“其他补充事宜”</w:t>
      </w:r>
      <w:r>
        <w:rPr>
          <w:rFonts w:hint="eastAsia" w:ascii="宋体" w:hAnsi="宋体" w:cs="宋体"/>
          <w:bCs/>
          <w:sz w:val="21"/>
          <w:szCs w:val="21"/>
          <w:lang w:eastAsia="zh-CN"/>
        </w:rPr>
        <w:t>）</w:t>
      </w:r>
      <w:r>
        <w:rPr>
          <w:rFonts w:hint="eastAsia" w:ascii="宋体" w:hAnsi="宋体" w:eastAsia="宋体" w:cs="宋体"/>
          <w:bCs/>
          <w:sz w:val="21"/>
          <w:szCs w:val="21"/>
          <w:lang w:eastAsia="zh-CN"/>
        </w:rPr>
        <w:t>。</w:t>
      </w:r>
    </w:p>
    <w:p>
      <w:pPr>
        <w:keepNext w:val="0"/>
        <w:keepLines w:val="0"/>
        <w:pageBreakBefore w:val="0"/>
        <w:kinsoku/>
        <w:overflowPunct/>
        <w:topLinePunct w:val="0"/>
        <w:autoSpaceDE/>
        <w:autoSpaceDN/>
        <w:bidi w:val="0"/>
        <w:adjustRightInd w:val="0"/>
        <w:snapToGrid w:val="0"/>
        <w:spacing w:line="360" w:lineRule="auto"/>
        <w:ind w:firstLine="54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售价：300元/套。</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59" w:name="_Toc35393632"/>
      <w:bookmarkStart w:id="60" w:name="_Toc7655"/>
      <w:bookmarkStart w:id="61" w:name="_Toc13643"/>
      <w:bookmarkStart w:id="62" w:name="_Toc15810"/>
      <w:bookmarkStart w:id="63" w:name="_Toc28359092"/>
      <w:bookmarkStart w:id="64" w:name="_Toc49930294"/>
      <w:bookmarkStart w:id="65" w:name="_Toc4146"/>
      <w:bookmarkStart w:id="66" w:name="_Toc8007"/>
      <w:bookmarkStart w:id="67" w:name="_Toc35393801"/>
      <w:bookmarkStart w:id="68" w:name="_Toc28359015"/>
      <w:bookmarkStart w:id="69" w:name="_Toc19281"/>
      <w:bookmarkStart w:id="70" w:name="_Toc23349"/>
      <w:bookmarkStart w:id="71" w:name="_Toc19066"/>
      <w:r>
        <w:rPr>
          <w:rFonts w:hint="eastAsia" w:ascii="宋体" w:hAnsi="宋体" w:eastAsia="宋体" w:cs="宋体"/>
          <w:b/>
          <w:sz w:val="21"/>
          <w:szCs w:val="21"/>
          <w:highlight w:val="none"/>
        </w:rPr>
        <w:t>四、响应文件</w:t>
      </w:r>
      <w:r>
        <w:rPr>
          <w:rFonts w:hint="eastAsia" w:ascii="宋体" w:hAnsi="宋体" w:eastAsia="宋体" w:cs="宋体"/>
          <w:b/>
          <w:i/>
          <w:sz w:val="21"/>
          <w:szCs w:val="21"/>
          <w:highlight w:val="none"/>
        </w:rPr>
        <w:t>提交</w:t>
      </w:r>
      <w:bookmarkEnd w:id="59"/>
      <w:bookmarkEnd w:id="60"/>
      <w:bookmarkEnd w:id="61"/>
      <w:bookmarkEnd w:id="62"/>
      <w:bookmarkEnd w:id="63"/>
      <w:bookmarkEnd w:id="64"/>
      <w:bookmarkEnd w:id="65"/>
      <w:bookmarkEnd w:id="66"/>
      <w:bookmarkEnd w:id="67"/>
      <w:bookmarkEnd w:id="68"/>
      <w:bookmarkEnd w:id="69"/>
      <w:bookmarkEnd w:id="70"/>
      <w:bookmarkEnd w:id="71"/>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bCs/>
          <w:sz w:val="21"/>
          <w:szCs w:val="21"/>
          <w:highlight w:val="none"/>
          <w:u w:val="single"/>
          <w:lang w:eastAsia="zh-CN"/>
        </w:rPr>
      </w:pPr>
      <w:r>
        <w:rPr>
          <w:rFonts w:hint="eastAsia" w:ascii="宋体" w:hAnsi="宋体" w:eastAsia="宋体" w:cs="宋体"/>
          <w:sz w:val="21"/>
          <w:szCs w:val="21"/>
          <w:highlight w:val="none"/>
        </w:rPr>
        <w:t>截止时间：</w:t>
      </w:r>
      <w:r>
        <w:rPr>
          <w:rFonts w:hint="eastAsia" w:ascii="宋体" w:hAnsi="宋体" w:eastAsia="宋体" w:cs="宋体"/>
          <w:sz w:val="21"/>
          <w:szCs w:val="21"/>
          <w:highlight w:val="none"/>
          <w:u w:val="single"/>
          <w:lang w:eastAsia="zh-CN"/>
        </w:rPr>
        <w:t>202</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年</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月</w:t>
      </w:r>
      <w:r>
        <w:rPr>
          <w:rFonts w:hint="eastAsia" w:ascii="宋体" w:hAnsi="宋体" w:cs="宋体"/>
          <w:sz w:val="21"/>
          <w:szCs w:val="21"/>
          <w:highlight w:val="none"/>
          <w:u w:val="single"/>
          <w:lang w:val="en-US" w:eastAsia="zh-CN"/>
        </w:rPr>
        <w:t>21</w:t>
      </w:r>
      <w:r>
        <w:rPr>
          <w:rFonts w:hint="eastAsia" w:ascii="宋体" w:hAnsi="宋体" w:eastAsia="宋体" w:cs="宋体"/>
          <w:sz w:val="21"/>
          <w:szCs w:val="21"/>
          <w:highlight w:val="none"/>
          <w:u w:val="single"/>
          <w:lang w:eastAsia="zh-CN"/>
        </w:rPr>
        <w:t>日</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点</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0分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北京时间</w:t>
      </w:r>
      <w:r>
        <w:rPr>
          <w:rFonts w:hint="eastAsia" w:ascii="宋体" w:hAnsi="宋体" w:cs="宋体"/>
          <w:bCs/>
          <w:sz w:val="21"/>
          <w:szCs w:val="21"/>
          <w:highlight w:val="none"/>
          <w:lang w:eastAsia="zh-CN"/>
        </w:rPr>
        <w:t>）</w:t>
      </w:r>
      <w:r>
        <w:rPr>
          <w:rFonts w:hint="eastAsia" w:ascii="宋体" w:hAnsi="宋体" w:cs="宋体"/>
          <w:iCs/>
          <w:sz w:val="21"/>
          <w:szCs w:val="21"/>
          <w:highlight w:val="none"/>
          <w:u w:val="single"/>
          <w:lang w:eastAsia="zh-CN"/>
        </w:rPr>
        <w:t>（</w:t>
      </w:r>
      <w:r>
        <w:rPr>
          <w:rFonts w:hint="eastAsia" w:ascii="宋体" w:hAnsi="宋体" w:eastAsia="宋体" w:cs="宋体"/>
          <w:i/>
          <w:sz w:val="21"/>
          <w:szCs w:val="21"/>
          <w:highlight w:val="none"/>
          <w:u w:val="single"/>
        </w:rPr>
        <w:t>从磋商文件开始发出之日起至供应商提交首次响应文件截止之日止不得少于10日</w:t>
      </w:r>
      <w:r>
        <w:rPr>
          <w:rFonts w:hint="eastAsia" w:ascii="宋体" w:hAnsi="宋体" w:cs="宋体"/>
          <w:iCs/>
          <w:sz w:val="21"/>
          <w:szCs w:val="21"/>
          <w:highlight w:val="none"/>
          <w:u w:val="singl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bCs/>
          <w:sz w:val="21"/>
          <w:szCs w:val="21"/>
          <w:highlight w:val="none"/>
          <w:u w:val="single"/>
        </w:rPr>
      </w:pPr>
      <w:r>
        <w:rPr>
          <w:rFonts w:hint="eastAsia" w:ascii="宋体" w:hAnsi="宋体" w:eastAsia="宋体" w:cs="宋体"/>
          <w:sz w:val="21"/>
          <w:szCs w:val="21"/>
          <w:highlight w:val="none"/>
        </w:rPr>
        <w:t>地点：</w:t>
      </w:r>
      <w:r>
        <w:rPr>
          <w:rFonts w:hint="eastAsia" w:ascii="宋体" w:hAnsi="宋体" w:eastAsia="宋体" w:cs="宋体"/>
          <w:kern w:val="28"/>
          <w:sz w:val="21"/>
          <w:szCs w:val="21"/>
          <w:lang w:eastAsia="zh-CN"/>
        </w:rPr>
        <w:t>珠海市香洲区兴国街4号中立信大厦902</w:t>
      </w:r>
      <w:r>
        <w:rPr>
          <w:rFonts w:hint="eastAsia" w:ascii="宋体" w:hAnsi="宋体" w:cs="宋体"/>
          <w:szCs w:val="21"/>
        </w:rPr>
        <w:t>开标室</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72" w:name="_Toc35393633"/>
      <w:bookmarkStart w:id="73" w:name="_Toc15657"/>
      <w:bookmarkStart w:id="74" w:name="_Toc35393802"/>
      <w:bookmarkStart w:id="75" w:name="_Toc49930295"/>
      <w:bookmarkStart w:id="76" w:name="_Toc28359016"/>
      <w:bookmarkStart w:id="77" w:name="_Toc2339"/>
      <w:bookmarkStart w:id="78" w:name="_Toc12177"/>
      <w:bookmarkStart w:id="79" w:name="_Toc18316"/>
      <w:bookmarkStart w:id="80" w:name="_Toc4910"/>
      <w:bookmarkStart w:id="81" w:name="_Toc15006"/>
      <w:bookmarkStart w:id="82" w:name="_Toc28359093"/>
      <w:bookmarkStart w:id="83" w:name="_Toc1431"/>
      <w:bookmarkStart w:id="84" w:name="_Toc15760"/>
      <w:r>
        <w:rPr>
          <w:rFonts w:hint="eastAsia" w:ascii="宋体" w:hAnsi="宋体" w:eastAsia="宋体" w:cs="宋体"/>
          <w:b/>
          <w:sz w:val="21"/>
          <w:szCs w:val="21"/>
          <w:highlight w:val="none"/>
        </w:rPr>
        <w:t>五、开启</w:t>
      </w:r>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bCs/>
          <w:sz w:val="21"/>
          <w:szCs w:val="21"/>
          <w:highlight w:val="none"/>
          <w:u w:val="single"/>
          <w:lang w:eastAsia="zh-CN"/>
        </w:rPr>
      </w:pPr>
      <w:r>
        <w:rPr>
          <w:rFonts w:hint="eastAsia" w:ascii="宋体" w:hAnsi="宋体" w:eastAsia="宋体" w:cs="宋体"/>
          <w:sz w:val="21"/>
          <w:szCs w:val="21"/>
          <w:highlight w:val="none"/>
        </w:rPr>
        <w:t>时间：</w:t>
      </w:r>
      <w:r>
        <w:rPr>
          <w:rFonts w:hint="eastAsia" w:ascii="宋体" w:hAnsi="宋体" w:eastAsia="宋体" w:cs="宋体"/>
          <w:sz w:val="21"/>
          <w:szCs w:val="21"/>
          <w:highlight w:val="none"/>
          <w:u w:val="single"/>
          <w:lang w:eastAsia="zh-CN"/>
        </w:rPr>
        <w:t>202</w:t>
      </w:r>
      <w:r>
        <w:rPr>
          <w:rFonts w:hint="eastAsia" w:ascii="宋体" w:hAnsi="宋体" w:eastAsia="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年</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月</w:t>
      </w:r>
      <w:r>
        <w:rPr>
          <w:rFonts w:hint="eastAsia" w:ascii="宋体" w:hAnsi="宋体" w:cs="宋体"/>
          <w:sz w:val="21"/>
          <w:szCs w:val="21"/>
          <w:highlight w:val="none"/>
          <w:u w:val="single"/>
          <w:lang w:val="en-US" w:eastAsia="zh-CN"/>
        </w:rPr>
        <w:t>21</w:t>
      </w:r>
      <w:r>
        <w:rPr>
          <w:rFonts w:hint="eastAsia" w:ascii="宋体" w:hAnsi="宋体" w:eastAsia="宋体" w:cs="宋体"/>
          <w:sz w:val="21"/>
          <w:szCs w:val="21"/>
          <w:highlight w:val="none"/>
          <w:u w:val="single"/>
          <w:lang w:eastAsia="zh-CN"/>
        </w:rPr>
        <w:t>日</w:t>
      </w:r>
      <w:r>
        <w:rPr>
          <w:rFonts w:hint="eastAsia" w:ascii="宋体" w:hAnsi="宋体" w:cs="宋体"/>
          <w:sz w:val="21"/>
          <w:szCs w:val="21"/>
          <w:highlight w:val="none"/>
          <w:u w:val="single"/>
          <w:lang w:val="en-US" w:eastAsia="zh-CN"/>
        </w:rPr>
        <w:t>09</w:t>
      </w:r>
      <w:r>
        <w:rPr>
          <w:rFonts w:hint="eastAsia" w:ascii="宋体" w:hAnsi="宋体" w:eastAsia="宋体" w:cs="宋体"/>
          <w:sz w:val="21"/>
          <w:szCs w:val="21"/>
          <w:highlight w:val="none"/>
          <w:u w:val="single"/>
          <w:lang w:eastAsia="zh-CN"/>
        </w:rPr>
        <w:t>点</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lang w:eastAsia="zh-CN"/>
        </w:rPr>
        <w:t>0分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北京时间</w:t>
      </w:r>
      <w:r>
        <w:rPr>
          <w:rFonts w:hint="eastAsia" w:ascii="宋体" w:hAnsi="宋体" w:cs="宋体"/>
          <w:bCs/>
          <w:sz w:val="21"/>
          <w:szCs w:val="21"/>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bCs/>
          <w:sz w:val="21"/>
          <w:szCs w:val="21"/>
          <w:highlight w:val="none"/>
          <w:u w:val="single"/>
        </w:rPr>
      </w:pPr>
      <w:r>
        <w:rPr>
          <w:rFonts w:hint="eastAsia" w:ascii="宋体" w:hAnsi="宋体" w:eastAsia="宋体" w:cs="宋体"/>
          <w:sz w:val="21"/>
          <w:szCs w:val="21"/>
          <w:highlight w:val="none"/>
        </w:rPr>
        <w:t>地点：</w:t>
      </w:r>
      <w:r>
        <w:rPr>
          <w:rFonts w:hint="eastAsia" w:ascii="宋体" w:hAnsi="宋体" w:eastAsia="宋体" w:cs="宋体"/>
          <w:kern w:val="28"/>
          <w:sz w:val="21"/>
          <w:szCs w:val="21"/>
          <w:lang w:eastAsia="zh-CN"/>
        </w:rPr>
        <w:t>珠海市香洲区兴国街4号中立信大厦902</w:t>
      </w:r>
      <w:r>
        <w:rPr>
          <w:rFonts w:hint="eastAsia" w:ascii="宋体" w:hAnsi="宋体" w:cs="宋体"/>
          <w:szCs w:val="21"/>
        </w:rPr>
        <w:t>开标室</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85" w:name="_Toc2334"/>
      <w:bookmarkStart w:id="86" w:name="_Toc23746"/>
      <w:bookmarkStart w:id="87" w:name="_Toc35393634"/>
      <w:bookmarkStart w:id="88" w:name="_Toc3434"/>
      <w:bookmarkStart w:id="89" w:name="_Toc25390"/>
      <w:bookmarkStart w:id="90" w:name="_Toc35393803"/>
      <w:bookmarkStart w:id="91" w:name="_Toc28359017"/>
      <w:bookmarkStart w:id="92" w:name="_Toc28359094"/>
      <w:bookmarkStart w:id="93" w:name="_Toc2005"/>
      <w:bookmarkStart w:id="94" w:name="_Toc13902"/>
      <w:bookmarkStart w:id="95" w:name="_Toc28193"/>
      <w:bookmarkStart w:id="96" w:name="_Toc28526"/>
      <w:bookmarkStart w:id="97" w:name="_Toc49930296"/>
      <w:r>
        <w:rPr>
          <w:rFonts w:hint="eastAsia" w:ascii="宋体" w:hAnsi="宋体" w:eastAsia="宋体" w:cs="宋体"/>
          <w:b/>
          <w:sz w:val="21"/>
          <w:szCs w:val="21"/>
          <w:highlight w:val="none"/>
        </w:rPr>
        <w:t>六、公告期限</w:t>
      </w:r>
      <w:bookmarkEnd w:id="85"/>
      <w:bookmarkEnd w:id="86"/>
      <w:bookmarkEnd w:id="87"/>
      <w:bookmarkEnd w:id="88"/>
      <w:bookmarkEnd w:id="89"/>
      <w:bookmarkEnd w:id="90"/>
      <w:bookmarkEnd w:id="91"/>
      <w:bookmarkEnd w:id="92"/>
      <w:bookmarkEnd w:id="93"/>
      <w:bookmarkEnd w:id="94"/>
      <w:bookmarkEnd w:id="95"/>
      <w:bookmarkEnd w:id="96"/>
      <w:bookmarkEnd w:id="97"/>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自本公告发布之日起3个工作日。</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98" w:name="_Toc13028"/>
      <w:bookmarkStart w:id="99" w:name="_Toc3420"/>
      <w:bookmarkStart w:id="100" w:name="_Toc49930297"/>
      <w:bookmarkStart w:id="101" w:name="_Toc19834"/>
      <w:bookmarkStart w:id="102" w:name="_Toc17758"/>
      <w:bookmarkStart w:id="103" w:name="_Toc25183"/>
      <w:bookmarkStart w:id="104" w:name="_Toc6807"/>
      <w:bookmarkStart w:id="105" w:name="_Toc23686"/>
      <w:bookmarkStart w:id="106" w:name="_Toc35393804"/>
      <w:bookmarkStart w:id="107" w:name="_Toc18456"/>
      <w:bookmarkStart w:id="108" w:name="_Toc35393635"/>
      <w:r>
        <w:rPr>
          <w:rFonts w:hint="eastAsia" w:ascii="宋体" w:hAnsi="宋体" w:eastAsia="宋体" w:cs="宋体"/>
          <w:b/>
          <w:sz w:val="21"/>
          <w:szCs w:val="21"/>
          <w:highlight w:val="none"/>
        </w:rPr>
        <w:t>七、其他补充事宜</w:t>
      </w:r>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报名事项：</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现场报名：供应商从网上自行下载并填写《购买标书登记表》，至采购文件获取地点递交《购买标书登记表》以及报名材料并缴纳标书款，并获取</w:t>
      </w:r>
      <w:r>
        <w:rPr>
          <w:rFonts w:hint="eastAsia" w:ascii="宋体" w:hAnsi="宋体" w:cs="宋体"/>
          <w:sz w:val="21"/>
          <w:szCs w:val="21"/>
          <w:lang w:eastAsia="zh-CN"/>
        </w:rPr>
        <w:t>磋商文件</w:t>
      </w:r>
      <w:r>
        <w:rPr>
          <w:rFonts w:hint="eastAsia" w:ascii="宋体" w:hAnsi="宋体" w:eastAsia="宋体" w:cs="宋体"/>
          <w:sz w:val="21"/>
          <w:szCs w:val="21"/>
        </w:rPr>
        <w:t>。</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网上报名：</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"mailto:供应商从网上自行下载并填写《购买标书登记表》，与缴纳标书款凭证一并加盖供应商公章扫描发至采购代理机构邮箱（ZHZN2020@163.com），并致电LUO" </w:instrText>
      </w:r>
      <w:r>
        <w:rPr>
          <w:rFonts w:hint="eastAsia" w:ascii="宋体" w:hAnsi="宋体" w:eastAsia="宋体" w:cs="宋体"/>
          <w:sz w:val="21"/>
          <w:szCs w:val="21"/>
        </w:rPr>
        <w:fldChar w:fldCharType="separate"/>
      </w:r>
      <w:r>
        <w:rPr>
          <w:rFonts w:hint="eastAsia" w:ascii="宋体" w:hAnsi="宋体" w:eastAsia="宋体" w:cs="宋体"/>
          <w:sz w:val="21"/>
          <w:szCs w:val="21"/>
        </w:rPr>
        <w:t>供应商从网上自行下载并填写《购买标书登记表》，与报名材料、缴纳标书款凭证彩色扫描发至采购代理机构邮箱</w:t>
      </w:r>
      <w:r>
        <w:rPr>
          <w:rFonts w:hint="eastAsia" w:ascii="宋体" w:hAnsi="宋体" w:cs="宋体"/>
          <w:sz w:val="21"/>
          <w:szCs w:val="21"/>
          <w:lang w:eastAsia="zh-CN"/>
        </w:rPr>
        <w:t>（</w:t>
      </w:r>
      <w:r>
        <w:rPr>
          <w:rFonts w:hint="eastAsia" w:ascii="宋体" w:hAnsi="宋体" w:eastAsia="宋体" w:cs="宋体"/>
          <w:sz w:val="21"/>
          <w:szCs w:val="21"/>
        </w:rPr>
        <w:t>ZHZN2020@163.com</w:t>
      </w:r>
      <w:r>
        <w:rPr>
          <w:rFonts w:hint="eastAsia" w:ascii="宋体" w:hAnsi="宋体" w:cs="宋体"/>
          <w:sz w:val="21"/>
          <w:szCs w:val="21"/>
          <w:lang w:eastAsia="zh-CN"/>
        </w:rPr>
        <w:t>）</w:t>
      </w:r>
      <w:r>
        <w:rPr>
          <w:rFonts w:hint="eastAsia" w:ascii="宋体" w:hAnsi="宋体" w:eastAsia="宋体" w:cs="宋体"/>
          <w:sz w:val="21"/>
          <w:szCs w:val="21"/>
        </w:rPr>
        <w:t>，并致电</w:t>
      </w:r>
      <w:r>
        <w:rPr>
          <w:rFonts w:hint="eastAsia" w:ascii="宋体" w:hAnsi="宋体" w:eastAsia="宋体" w:cs="宋体"/>
          <w:sz w:val="21"/>
          <w:szCs w:val="21"/>
        </w:rPr>
        <w:fldChar w:fldCharType="end"/>
      </w:r>
      <w:r>
        <w:rPr>
          <w:rFonts w:hint="eastAsia" w:ascii="宋体" w:hAnsi="宋体" w:eastAsia="宋体" w:cs="宋体"/>
          <w:sz w:val="21"/>
          <w:szCs w:val="21"/>
        </w:rPr>
        <w:t>罗小姐：0756-2897761</w:t>
      </w:r>
      <w:r>
        <w:rPr>
          <w:rFonts w:hint="eastAsia" w:ascii="宋体" w:hAnsi="宋体" w:cs="宋体"/>
          <w:sz w:val="21"/>
          <w:szCs w:val="21"/>
          <w:lang w:eastAsia="zh-CN"/>
        </w:rPr>
        <w:t>（</w:t>
      </w:r>
      <w:r>
        <w:rPr>
          <w:rFonts w:hint="eastAsia" w:ascii="宋体" w:hAnsi="宋体" w:eastAsia="宋体" w:cs="宋体"/>
          <w:sz w:val="21"/>
          <w:szCs w:val="21"/>
        </w:rPr>
        <w:t>80</w:t>
      </w:r>
      <w:r>
        <w:rPr>
          <w:rFonts w:hint="eastAsia" w:ascii="宋体" w:hAnsi="宋体" w:eastAsia="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color w:val="auto"/>
          <w:sz w:val="21"/>
          <w:szCs w:val="21"/>
        </w:rPr>
        <w:t>核对信息无误</w:t>
      </w:r>
      <w:r>
        <w:rPr>
          <w:rFonts w:hint="eastAsia" w:ascii="宋体" w:hAnsi="宋体" w:eastAsia="宋体" w:cs="宋体"/>
          <w:sz w:val="21"/>
          <w:szCs w:val="21"/>
        </w:rPr>
        <w:t>后并缴纳标书款</w:t>
      </w:r>
      <w:r>
        <w:rPr>
          <w:rFonts w:hint="eastAsia" w:ascii="宋体" w:hAnsi="宋体" w:cs="宋体"/>
          <w:sz w:val="21"/>
          <w:szCs w:val="21"/>
          <w:lang w:eastAsia="zh-CN"/>
        </w:rPr>
        <w:t>（</w:t>
      </w:r>
      <w:r>
        <w:rPr>
          <w:rFonts w:hint="eastAsia" w:ascii="宋体" w:hAnsi="宋体" w:eastAsia="宋体" w:cs="宋体"/>
          <w:sz w:val="21"/>
          <w:szCs w:val="21"/>
        </w:rPr>
        <w:t>网上报名须另加人民币50元</w:t>
      </w:r>
      <w:r>
        <w:rPr>
          <w:rFonts w:hint="eastAsia" w:ascii="宋体" w:hAnsi="宋体" w:cs="宋体"/>
          <w:sz w:val="21"/>
          <w:szCs w:val="21"/>
          <w:lang w:eastAsia="zh-CN"/>
        </w:rPr>
        <w:t>）</w:t>
      </w:r>
      <w:r>
        <w:rPr>
          <w:rFonts w:hint="eastAsia" w:ascii="宋体" w:hAnsi="宋体" w:eastAsia="宋体" w:cs="宋体"/>
          <w:sz w:val="21"/>
          <w:szCs w:val="21"/>
        </w:rPr>
        <w:t>成功后即为报名成功。</w:t>
      </w:r>
    </w:p>
    <w:p>
      <w:pPr>
        <w:keepNext w:val="0"/>
        <w:keepLines w:val="0"/>
        <w:pageBreakBefore w:val="0"/>
        <w:widowControl/>
        <w:kinsoku/>
        <w:wordWrap w:val="0"/>
        <w:overflowPunct/>
        <w:topLinePunct w:val="0"/>
        <w:autoSpaceDE/>
        <w:autoSpaceDN/>
        <w:bidi w:val="0"/>
        <w:adjustRightInd/>
        <w:snapToGrid/>
        <w:spacing w:line="360" w:lineRule="auto"/>
        <w:ind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报名材料：提供在中华人民共和国境内注册的法人或其他组织的营业执照或事业单位法人证书或社会团体法人登记证书复印件加盖公章，如</w:t>
      </w:r>
      <w:r>
        <w:rPr>
          <w:rFonts w:hint="eastAsia" w:ascii="宋体" w:hAnsi="宋体" w:cs="宋体"/>
          <w:sz w:val="21"/>
          <w:szCs w:val="21"/>
          <w:lang w:eastAsia="zh-CN"/>
        </w:rPr>
        <w:t>供应商</w:t>
      </w:r>
      <w:r>
        <w:rPr>
          <w:rFonts w:hint="eastAsia" w:ascii="宋体" w:hAnsi="宋体" w:eastAsia="宋体" w:cs="宋体"/>
          <w:sz w:val="21"/>
          <w:szCs w:val="21"/>
        </w:rPr>
        <w:t>为自然人的提供自然人身份证明复印件。</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.公告发布媒体：中国政府采购网</w:t>
      </w:r>
      <w:r>
        <w:rPr>
          <w:rFonts w:hint="eastAsia" w:ascii="宋体" w:hAnsi="宋体" w:cs="宋体"/>
          <w:color w:val="auto"/>
          <w:sz w:val="21"/>
          <w:szCs w:val="21"/>
          <w:lang w:eastAsia="zh-CN"/>
        </w:rPr>
        <w:t>（</w:t>
      </w:r>
      <w:r>
        <w:rPr>
          <w:rFonts w:hint="eastAsia" w:ascii="宋体" w:hAnsi="宋体" w:eastAsia="宋体" w:cs="宋体"/>
          <w:color w:val="auto"/>
          <w:sz w:val="21"/>
          <w:szCs w:val="21"/>
          <w:lang w:eastAsia="zh-CN"/>
        </w:rPr>
        <w:t>http://www.ccgp.gov.cn/</w:t>
      </w:r>
      <w:r>
        <w:rPr>
          <w:rFonts w:hint="eastAsia" w:ascii="宋体" w:hAnsi="宋体" w:cs="宋体"/>
          <w:color w:val="auto"/>
          <w:sz w:val="21"/>
          <w:szCs w:val="21"/>
          <w:lang w:eastAsia="zh-CN"/>
        </w:rPr>
        <w:t>）、广东省珠海市中级人民法院</w:t>
      </w:r>
      <w:bookmarkStart w:id="923" w:name="_GoBack"/>
      <w:bookmarkEnd w:id="923"/>
      <w:r>
        <w:rPr>
          <w:rFonts w:hint="eastAsia" w:ascii="宋体" w:hAnsi="宋体" w:cs="宋体"/>
          <w:color w:val="auto"/>
          <w:sz w:val="21"/>
          <w:szCs w:val="21"/>
          <w:lang w:val="en-US" w:eastAsia="zh-CN"/>
        </w:rPr>
        <w:t>官网</w:t>
      </w:r>
      <w:r>
        <w:rPr>
          <w:rFonts w:hint="eastAsia" w:ascii="宋体" w:hAnsi="宋体" w:cs="宋体"/>
          <w:color w:val="auto"/>
          <w:sz w:val="21"/>
          <w:szCs w:val="21"/>
          <w:lang w:eastAsia="zh-CN"/>
        </w:rPr>
        <w:t>（ http://www.zhcourt.gov.cn/）。</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rPr>
      </w:pPr>
      <w:r>
        <w:rPr>
          <w:rFonts w:hint="eastAsia" w:ascii="宋体" w:hAnsi="宋体" w:eastAsia="宋体" w:cs="宋体"/>
          <w:color w:val="auto"/>
          <w:sz w:val="21"/>
          <w:szCs w:val="21"/>
          <w:lang w:val="en-US" w:eastAsia="zh-CN"/>
        </w:rPr>
        <w:t>3.本项目属于</w:t>
      </w:r>
      <w:r>
        <w:rPr>
          <w:rFonts w:hint="eastAsia" w:cs="宋体"/>
          <w:color w:val="auto"/>
          <w:sz w:val="21"/>
          <w:szCs w:val="21"/>
          <w:lang w:val="en-US" w:eastAsia="zh-CN"/>
        </w:rPr>
        <w:t>采购人</w:t>
      </w:r>
      <w:r>
        <w:rPr>
          <w:rFonts w:hint="eastAsia" w:ascii="宋体" w:hAnsi="宋体" w:eastAsia="宋体" w:cs="宋体"/>
          <w:color w:val="auto"/>
          <w:sz w:val="21"/>
          <w:szCs w:val="21"/>
          <w:lang w:val="en-US" w:eastAsia="zh-CN"/>
        </w:rPr>
        <w:t>自主采购项目。</w:t>
      </w:r>
    </w:p>
    <w:p>
      <w:pPr>
        <w:keepNext w:val="0"/>
        <w:keepLines w:val="0"/>
        <w:pageBreakBefore w:val="0"/>
        <w:kinsoku/>
        <w:overflowPunct/>
        <w:topLinePunct w:val="0"/>
        <w:autoSpaceDE/>
        <w:autoSpaceDN/>
        <w:bidi w:val="0"/>
        <w:adjustRightInd w:val="0"/>
        <w:snapToGrid w:val="0"/>
        <w:spacing w:line="360" w:lineRule="auto"/>
        <w:textAlignment w:val="auto"/>
        <w:outlineLvl w:val="9"/>
        <w:rPr>
          <w:rFonts w:hint="eastAsia" w:ascii="宋体" w:hAnsi="宋体" w:eastAsia="宋体" w:cs="宋体"/>
          <w:b/>
          <w:sz w:val="21"/>
          <w:szCs w:val="21"/>
          <w:highlight w:val="none"/>
        </w:rPr>
      </w:pPr>
      <w:bookmarkStart w:id="109" w:name="_Toc15448"/>
      <w:bookmarkStart w:id="110" w:name="_Toc5043"/>
      <w:bookmarkStart w:id="111" w:name="_Toc28359095"/>
      <w:bookmarkStart w:id="112" w:name="_Toc49930298"/>
      <w:bookmarkStart w:id="113" w:name="_Toc35393805"/>
      <w:bookmarkStart w:id="114" w:name="_Toc14445"/>
      <w:bookmarkStart w:id="115" w:name="_Toc4203"/>
      <w:bookmarkStart w:id="116" w:name="_Toc13089"/>
      <w:bookmarkStart w:id="117" w:name="_Toc35393636"/>
      <w:bookmarkStart w:id="118" w:name="_Toc28359018"/>
      <w:bookmarkStart w:id="119" w:name="_Toc21815"/>
      <w:bookmarkStart w:id="120" w:name="_Toc12829"/>
      <w:bookmarkStart w:id="121" w:name="_Toc14030"/>
      <w:r>
        <w:rPr>
          <w:rFonts w:hint="eastAsia" w:ascii="宋体" w:hAnsi="宋体" w:eastAsia="宋体" w:cs="宋体"/>
          <w:b/>
          <w:sz w:val="21"/>
          <w:szCs w:val="21"/>
          <w:highlight w:val="none"/>
        </w:rPr>
        <w:t>八、凡对本次采购提出询问，请按以下方式联系</w:t>
      </w:r>
      <w:bookmarkEnd w:id="109"/>
      <w:bookmarkEnd w:id="110"/>
      <w:bookmarkEnd w:id="111"/>
      <w:bookmarkEnd w:id="112"/>
      <w:bookmarkEnd w:id="113"/>
      <w:bookmarkEnd w:id="114"/>
      <w:bookmarkEnd w:id="115"/>
      <w:bookmarkEnd w:id="116"/>
      <w:bookmarkEnd w:id="117"/>
      <w:bookmarkEnd w:id="118"/>
      <w:bookmarkEnd w:id="119"/>
      <w:bookmarkEnd w:id="120"/>
      <w:bookmarkEnd w:id="121"/>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rPr>
      </w:pPr>
      <w:bookmarkStart w:id="122" w:name="_Toc35393806"/>
      <w:bookmarkStart w:id="123" w:name="_Toc28359096"/>
      <w:bookmarkStart w:id="124" w:name="_Toc28359019"/>
      <w:bookmarkStart w:id="125" w:name="_Toc35393637"/>
      <w:r>
        <w:rPr>
          <w:rFonts w:hint="eastAsia" w:ascii="宋体" w:hAnsi="宋体" w:eastAsia="宋体" w:cs="宋体"/>
          <w:kern w:val="0"/>
          <w:sz w:val="21"/>
          <w:szCs w:val="21"/>
          <w:highlight w:val="none"/>
        </w:rPr>
        <w:t>1.采购人信息</w:t>
      </w:r>
      <w:bookmarkEnd w:id="122"/>
      <w:bookmarkEnd w:id="123"/>
      <w:bookmarkEnd w:id="124"/>
      <w:bookmarkEnd w:id="125"/>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bookmarkStart w:id="126" w:name="_Toc35393807"/>
      <w:bookmarkStart w:id="127" w:name="_Toc28359097"/>
      <w:bookmarkStart w:id="128" w:name="_Toc28359020"/>
      <w:bookmarkStart w:id="129" w:name="_Toc35393638"/>
      <w:r>
        <w:rPr>
          <w:rFonts w:hint="eastAsia" w:ascii="宋体" w:hAnsi="宋体" w:eastAsia="宋体" w:cs="宋体"/>
          <w:kern w:val="0"/>
          <w:sz w:val="21"/>
          <w:szCs w:val="21"/>
          <w:highlight w:val="none"/>
        </w:rPr>
        <w:t>名    称：</w:t>
      </w:r>
      <w:r>
        <w:rPr>
          <w:rFonts w:hint="eastAsia" w:ascii="宋体" w:hAnsi="宋体" w:cs="宋体"/>
          <w:kern w:val="0"/>
          <w:sz w:val="21"/>
          <w:szCs w:val="21"/>
          <w:highlight w:val="none"/>
          <w:lang w:eastAsia="zh-CN"/>
        </w:rPr>
        <w:t>广东省珠海市中级人民法院</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地　　址：珠海市香洲区梅华西路168号</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yellow"/>
          <w:lang w:eastAsia="zh-CN"/>
        </w:rPr>
      </w:pPr>
      <w:r>
        <w:rPr>
          <w:rFonts w:hint="eastAsia" w:ascii="宋体" w:hAnsi="宋体" w:eastAsia="宋体" w:cs="宋体"/>
          <w:kern w:val="0"/>
          <w:sz w:val="21"/>
          <w:szCs w:val="21"/>
          <w:highlight w:val="none"/>
        </w:rPr>
        <w:t>联系方式：</w:t>
      </w:r>
      <w:r>
        <w:rPr>
          <w:rFonts w:hint="eastAsia" w:ascii="宋体" w:hAnsi="宋体" w:eastAsia="宋体" w:cs="宋体"/>
          <w:kern w:val="0"/>
          <w:sz w:val="21"/>
          <w:szCs w:val="21"/>
          <w:highlight w:val="none"/>
          <w:lang w:eastAsia="zh-CN"/>
        </w:rPr>
        <w:t>0756-266</w:t>
      </w:r>
      <w:r>
        <w:rPr>
          <w:rFonts w:hint="eastAsia" w:ascii="宋体" w:hAnsi="宋体" w:cs="宋体"/>
          <w:szCs w:val="21"/>
          <w:lang w:eastAsia="zh-CN"/>
        </w:rPr>
        <w:t>6356</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2.采购代理机构信息</w:t>
      </w:r>
      <w:bookmarkEnd w:id="126"/>
      <w:bookmarkEnd w:id="127"/>
      <w:bookmarkEnd w:id="128"/>
      <w:bookmarkEnd w:id="129"/>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名    称：</w:t>
      </w:r>
      <w:r>
        <w:rPr>
          <w:rFonts w:hint="eastAsia" w:ascii="宋体" w:hAnsi="宋体" w:eastAsia="宋体" w:cs="宋体"/>
          <w:kern w:val="0"/>
          <w:sz w:val="21"/>
          <w:szCs w:val="21"/>
          <w:highlight w:val="none"/>
          <w:lang w:eastAsia="zh-CN"/>
        </w:rPr>
        <w:t>珠海正诺工程咨询有限公司</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地　　址：</w:t>
      </w:r>
      <w:r>
        <w:rPr>
          <w:rFonts w:hint="eastAsia" w:ascii="宋体" w:hAnsi="宋体" w:eastAsia="宋体" w:cs="宋体"/>
          <w:kern w:val="0"/>
          <w:sz w:val="21"/>
          <w:szCs w:val="21"/>
          <w:highlight w:val="none"/>
          <w:lang w:eastAsia="zh-CN"/>
        </w:rPr>
        <w:t>珠海市香洲区兴国街4号中立信大厦902</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联系方式：</w:t>
      </w:r>
      <w:r>
        <w:rPr>
          <w:rFonts w:hint="eastAsia" w:ascii="宋体" w:hAnsi="宋体" w:eastAsia="宋体" w:cs="宋体"/>
          <w:kern w:val="0"/>
          <w:sz w:val="21"/>
          <w:szCs w:val="21"/>
          <w:highlight w:val="none"/>
          <w:lang w:eastAsia="zh-CN"/>
        </w:rPr>
        <w:t>0756-2897761</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rPr>
      </w:pPr>
      <w:bookmarkStart w:id="130" w:name="_Toc28359021"/>
      <w:bookmarkStart w:id="131" w:name="_Toc28359098"/>
      <w:bookmarkStart w:id="132" w:name="_Toc35393808"/>
      <w:bookmarkStart w:id="133" w:name="_Toc35393639"/>
      <w:r>
        <w:rPr>
          <w:rFonts w:hint="eastAsia" w:ascii="宋体" w:hAnsi="宋体" w:eastAsia="宋体" w:cs="宋体"/>
          <w:kern w:val="0"/>
          <w:sz w:val="21"/>
          <w:szCs w:val="21"/>
          <w:highlight w:val="none"/>
        </w:rPr>
        <w:t>3.项目联系方式</w:t>
      </w:r>
      <w:bookmarkEnd w:id="130"/>
      <w:bookmarkEnd w:id="131"/>
      <w:bookmarkEnd w:id="132"/>
      <w:bookmarkEnd w:id="133"/>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项目联系人：</w:t>
      </w:r>
      <w:r>
        <w:rPr>
          <w:rFonts w:hint="eastAsia" w:ascii="宋体" w:hAnsi="宋体" w:eastAsia="宋体" w:cs="宋体"/>
          <w:kern w:val="0"/>
          <w:sz w:val="21"/>
          <w:szCs w:val="21"/>
          <w:highlight w:val="none"/>
          <w:lang w:eastAsia="zh-CN"/>
        </w:rPr>
        <w:t>刘鹏</w:t>
      </w:r>
      <w:r>
        <w:rPr>
          <w:rFonts w:hint="eastAsia" w:ascii="宋体" w:hAnsi="宋体" w:cs="宋体"/>
          <w:kern w:val="0"/>
          <w:sz w:val="21"/>
          <w:szCs w:val="21"/>
          <w:highlight w:val="none"/>
          <w:lang w:eastAsia="zh-CN"/>
        </w:rPr>
        <w:t>（</w:t>
      </w:r>
      <w:r>
        <w:rPr>
          <w:rFonts w:hint="eastAsia" w:ascii="宋体" w:hAnsi="宋体" w:eastAsia="宋体" w:cs="宋体"/>
          <w:kern w:val="0"/>
          <w:sz w:val="21"/>
          <w:szCs w:val="21"/>
          <w:highlight w:val="none"/>
        </w:rPr>
        <w:t>项目咨询</w:t>
      </w:r>
      <w:r>
        <w:rPr>
          <w:rFonts w:hint="eastAsia" w:ascii="宋体" w:hAnsi="宋体" w:cs="宋体"/>
          <w:kern w:val="0"/>
          <w:sz w:val="21"/>
          <w:szCs w:val="21"/>
          <w:highlight w:val="none"/>
          <w:lang w:eastAsia="zh-CN"/>
        </w:rPr>
        <w:t>）</w:t>
      </w:r>
    </w:p>
    <w:p>
      <w:pPr>
        <w:keepNext w:val="0"/>
        <w:keepLines w:val="0"/>
        <w:pageBreakBefore w:val="0"/>
        <w:kinsoku/>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电　　话：</w:t>
      </w:r>
      <w:r>
        <w:rPr>
          <w:rFonts w:hint="eastAsia" w:ascii="宋体" w:hAnsi="宋体" w:eastAsia="宋体" w:cs="宋体"/>
          <w:kern w:val="0"/>
          <w:sz w:val="21"/>
          <w:szCs w:val="21"/>
          <w:highlight w:val="none"/>
          <w:lang w:eastAsia="zh-CN"/>
        </w:rPr>
        <w:t>0756-2897761</w:t>
      </w:r>
    </w:p>
    <w:p>
      <w:pPr>
        <w:pStyle w:val="68"/>
        <w:adjustRightInd w:val="0"/>
        <w:snapToGrid w:val="0"/>
        <w:spacing w:before="120" w:beforeLines="50" w:afterLines="50" w:line="300" w:lineRule="auto"/>
        <w:ind w:firstLine="210"/>
        <w:outlineLvl w:val="9"/>
        <w:rPr>
          <w:rFonts w:hint="eastAsia" w:ascii="宋体" w:hAnsi="宋体" w:eastAsia="宋体" w:cs="宋体"/>
          <w:sz w:val="21"/>
          <w:szCs w:val="21"/>
          <w:highlight w:val="none"/>
        </w:rPr>
      </w:pPr>
    </w:p>
    <w:p>
      <w:pPr>
        <w:pStyle w:val="68"/>
        <w:adjustRightInd w:val="0"/>
        <w:snapToGrid w:val="0"/>
        <w:spacing w:before="120" w:beforeLines="50" w:afterLines="50" w:line="300" w:lineRule="auto"/>
        <w:ind w:firstLine="210"/>
        <w:outlineLvl w:val="9"/>
        <w:rPr>
          <w:rFonts w:hint="eastAsia" w:ascii="宋体" w:hAnsi="宋体" w:eastAsia="宋体" w:cs="宋体"/>
          <w:sz w:val="21"/>
          <w:szCs w:val="21"/>
          <w:highlight w:val="none"/>
        </w:rPr>
      </w:pPr>
    </w:p>
    <w:p>
      <w:pPr>
        <w:adjustRightInd w:val="0"/>
        <w:snapToGrid w:val="0"/>
        <w:spacing w:before="24" w:beforeLines="10" w:after="24" w:afterLines="10" w:line="360" w:lineRule="auto"/>
        <w:ind w:left="630" w:leftChars="300" w:firstLine="3147" w:firstLineChars="1499"/>
        <w:jc w:val="right"/>
        <w:outlineLvl w:val="9"/>
        <w:rPr>
          <w:rFonts w:hint="eastAsia" w:ascii="宋体" w:hAnsi="宋体" w:eastAsia="宋体" w:cs="宋体"/>
          <w:bCs/>
          <w:sz w:val="21"/>
          <w:szCs w:val="21"/>
          <w:highlight w:val="none"/>
          <w:lang w:eastAsia="zh-CN"/>
        </w:rPr>
      </w:pPr>
      <w:r>
        <w:rPr>
          <w:rFonts w:hint="eastAsia" w:ascii="宋体" w:hAnsi="宋体" w:cs="宋体"/>
          <w:bCs/>
          <w:sz w:val="21"/>
          <w:szCs w:val="21"/>
          <w:highlight w:val="none"/>
          <w:lang w:eastAsia="zh-CN"/>
        </w:rPr>
        <w:t>广东省珠海市中级人民法院</w:t>
      </w:r>
    </w:p>
    <w:p>
      <w:pPr>
        <w:adjustRightInd w:val="0"/>
        <w:snapToGrid w:val="0"/>
        <w:spacing w:before="24" w:beforeLines="10" w:after="24" w:afterLines="10" w:line="360" w:lineRule="auto"/>
        <w:ind w:left="630" w:leftChars="300" w:firstLine="3147" w:firstLineChars="1499"/>
        <w:jc w:val="right"/>
        <w:outlineLvl w:val="9"/>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珠海正诺工程咨询有限公司</w:t>
      </w:r>
    </w:p>
    <w:p>
      <w:pPr>
        <w:adjustRightInd w:val="0"/>
        <w:snapToGrid w:val="0"/>
        <w:spacing w:before="24" w:beforeLines="10" w:after="24" w:afterLines="10" w:line="360" w:lineRule="auto"/>
        <w:ind w:left="630" w:leftChars="300" w:firstLine="3147" w:firstLineChars="1499"/>
        <w:jc w:val="right"/>
        <w:outlineLvl w:val="9"/>
        <w:rPr>
          <w:rFonts w:hint="eastAsia" w:ascii="宋体" w:hAnsi="宋体" w:eastAsia="宋体" w:cs="宋体"/>
          <w:highlight w:val="none"/>
        </w:rPr>
      </w:pPr>
      <w:r>
        <w:rPr>
          <w:rFonts w:hint="eastAsia" w:ascii="宋体" w:hAnsi="宋体" w:eastAsia="宋体" w:cs="宋体"/>
          <w:sz w:val="21"/>
          <w:szCs w:val="21"/>
          <w:highlight w:val="none"/>
        </w:rPr>
        <w:t>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09</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08</w:t>
      </w:r>
      <w:r>
        <w:rPr>
          <w:rFonts w:hint="eastAsia" w:ascii="宋体" w:hAnsi="宋体" w:eastAsia="宋体" w:cs="宋体"/>
          <w:sz w:val="21"/>
          <w:szCs w:val="21"/>
          <w:highlight w:val="none"/>
        </w:rPr>
        <w:t>日</w:t>
      </w:r>
    </w:p>
    <w:p>
      <w:pPr>
        <w:adjustRightInd w:val="0"/>
        <w:snapToGrid w:val="0"/>
        <w:spacing w:before="24" w:beforeLines="10" w:after="24" w:afterLines="10" w:line="360" w:lineRule="auto"/>
        <w:ind w:firstLine="2992" w:firstLineChars="1425"/>
        <w:jc w:val="center"/>
        <w:rPr>
          <w:rFonts w:hint="eastAsia" w:ascii="宋体" w:hAnsi="宋体" w:eastAsia="宋体" w:cs="宋体"/>
          <w:highlight w:val="none"/>
        </w:rPr>
      </w:pPr>
      <w:r>
        <w:rPr>
          <w:rFonts w:hint="eastAsia" w:ascii="宋体" w:hAnsi="宋体" w:eastAsia="宋体" w:cs="宋体"/>
          <w:highlight w:val="none"/>
        </w:rPr>
        <w:br w:type="page"/>
      </w: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3"/>
        <w:keepNext/>
        <w:keepLines/>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ascii="宋体" w:hAnsi="宋体" w:eastAsia="宋体" w:cs="宋体"/>
          <w:sz w:val="44"/>
          <w:szCs w:val="36"/>
          <w:highlight w:val="none"/>
        </w:rPr>
      </w:pPr>
      <w:bookmarkStart w:id="134" w:name="_Toc37919847"/>
      <w:bookmarkStart w:id="135" w:name="_Toc3386993"/>
      <w:bookmarkStart w:id="136" w:name="_Toc28338"/>
      <w:bookmarkStart w:id="137" w:name="_Toc276645570"/>
      <w:bookmarkStart w:id="138" w:name="_Toc497076494"/>
      <w:bookmarkStart w:id="139" w:name="_Toc1597"/>
      <w:bookmarkStart w:id="140" w:name="_Toc49930299"/>
      <w:bookmarkStart w:id="141" w:name="_Toc7244"/>
      <w:bookmarkStart w:id="142" w:name="_Toc8773"/>
      <w:bookmarkStart w:id="143" w:name="_Toc13757"/>
      <w:bookmarkStart w:id="144" w:name="_Toc531617866"/>
      <w:bookmarkStart w:id="145" w:name="_Toc21629"/>
      <w:bookmarkStart w:id="146" w:name="_Toc26517"/>
      <w:bookmarkStart w:id="147" w:name="_Toc17880"/>
      <w:bookmarkStart w:id="148" w:name="_Toc17058"/>
      <w:bookmarkStart w:id="149" w:name="_Toc16863"/>
      <w:r>
        <w:rPr>
          <w:rFonts w:hint="eastAsia" w:ascii="宋体" w:hAnsi="宋体" w:eastAsia="宋体" w:cs="宋体"/>
          <w:sz w:val="44"/>
          <w:szCs w:val="36"/>
          <w:highlight w:val="none"/>
        </w:rPr>
        <w:t>第二部分 磋商资料表</w:t>
      </w:r>
      <w:bookmarkEnd w:id="1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4"/>
        <w:spacing w:before="120" w:after="120" w:line="240" w:lineRule="auto"/>
        <w:jc w:val="left"/>
        <w:rPr>
          <w:rFonts w:hint="eastAsia" w:ascii="宋体" w:hAnsi="宋体" w:eastAsia="宋体" w:cs="宋体"/>
          <w:b/>
          <w:bCs/>
          <w:kern w:val="2"/>
          <w:sz w:val="36"/>
          <w:szCs w:val="44"/>
          <w:highlight w:val="none"/>
          <w:lang w:val="en-US" w:eastAsia="zh-CN" w:bidi="ar-SA"/>
        </w:rPr>
      </w:pPr>
      <w:r>
        <w:rPr>
          <w:rFonts w:hint="eastAsia" w:ascii="宋体" w:hAnsi="宋体" w:eastAsia="宋体" w:cs="宋体"/>
          <w:highlight w:val="none"/>
        </w:rPr>
        <w:br w:type="page"/>
      </w:r>
      <w:bookmarkStart w:id="150" w:name="_Toc7896"/>
      <w:bookmarkStart w:id="151" w:name="_Toc37919848"/>
      <w:bookmarkStart w:id="152" w:name="_Toc49930300"/>
      <w:bookmarkStart w:id="153" w:name="_Toc31431"/>
      <w:bookmarkStart w:id="154" w:name="_Toc276645571"/>
      <w:bookmarkStart w:id="155" w:name="_Toc32682"/>
      <w:bookmarkStart w:id="156" w:name="_Toc27558"/>
      <w:bookmarkStart w:id="157" w:name="_Toc497076495"/>
      <w:bookmarkStart w:id="158" w:name="_Toc25984"/>
      <w:bookmarkStart w:id="159" w:name="_Toc14850"/>
      <w:bookmarkStart w:id="160" w:name="_Toc531617867"/>
      <w:bookmarkStart w:id="161" w:name="_Toc3386994"/>
      <w:bookmarkStart w:id="162" w:name="_Toc28768"/>
      <w:bookmarkStart w:id="163" w:name="_Toc2133"/>
      <w:bookmarkStart w:id="164" w:name="_Toc749"/>
      <w:bookmarkStart w:id="165" w:name="_Toc25269"/>
      <w:r>
        <w:rPr>
          <w:rFonts w:hint="eastAsia" w:ascii="宋体" w:hAnsi="宋体" w:eastAsia="宋体" w:cs="宋体"/>
          <w:b/>
          <w:bCs/>
          <w:kern w:val="2"/>
          <w:sz w:val="36"/>
          <w:szCs w:val="44"/>
          <w:highlight w:val="none"/>
          <w:lang w:val="en-US" w:eastAsia="zh-CN" w:bidi="ar-SA"/>
        </w:rPr>
        <w:t>一、磋商须知前附表</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29"/>
        <w:ind w:firstLine="480"/>
        <w:rPr>
          <w:rFonts w:hint="eastAsia" w:ascii="宋体" w:hAnsi="宋体" w:eastAsia="宋体" w:cs="宋体"/>
          <w:sz w:val="24"/>
          <w:highlight w:val="none"/>
        </w:rPr>
      </w:pPr>
      <w:r>
        <w:rPr>
          <w:rFonts w:hint="eastAsia" w:ascii="宋体" w:hAnsi="宋体" w:eastAsia="宋体" w:cs="宋体"/>
          <w:sz w:val="21"/>
          <w:szCs w:val="21"/>
          <w:highlight w:val="none"/>
        </w:rPr>
        <w:t>本表是对《供应商须知》的具体补充和说明，如有矛盾，应以本表为准。</w:t>
      </w:r>
    </w:p>
    <w:tbl>
      <w:tblPr>
        <w:tblStyle w:val="70"/>
        <w:tblW w:w="8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8"/>
        <w:gridCol w:w="78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条款号</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内</w:t>
            </w:r>
            <w:r>
              <w:rPr>
                <w:rFonts w:hint="eastAsia" w:ascii="宋体" w:hAnsi="宋体" w:eastAsia="宋体" w:cs="宋体"/>
                <w:b/>
                <w:sz w:val="21"/>
                <w:szCs w:val="21"/>
                <w:highlight w:val="none"/>
              </w:rPr>
              <w:tab/>
            </w:r>
            <w:r>
              <w:rPr>
                <w:rFonts w:hint="eastAsia" w:ascii="宋体" w:hAnsi="宋体" w:eastAsia="宋体" w:cs="宋体"/>
                <w:b/>
                <w:sz w:val="21"/>
                <w:szCs w:val="21"/>
                <w:highlight w:val="none"/>
              </w:rPr>
              <w:tab/>
            </w:r>
            <w:r>
              <w:rPr>
                <w:rFonts w:hint="eastAsia" w:ascii="宋体" w:hAnsi="宋体" w:eastAsia="宋体" w:cs="宋体"/>
                <w:b/>
                <w:sz w:val="21"/>
                <w:szCs w:val="21"/>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60" w:type="dxa"/>
            <w:gridSpan w:val="2"/>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7832" w:type="dxa"/>
            <w:noWrap w:val="0"/>
            <w:vAlign w:val="center"/>
          </w:tcPr>
          <w:p>
            <w:pPr>
              <w:keepNext w:val="0"/>
              <w:pageBreakBefore w:val="0"/>
              <w:kinsoku/>
              <w:wordWrap/>
              <w:overflowPunct/>
              <w:topLinePunct w:val="0"/>
              <w:bidi w:val="0"/>
              <w:spacing w:line="360" w:lineRule="auto"/>
              <w:ind w:left="1062" w:leftChars="50" w:right="105" w:rightChars="50" w:hanging="957" w:hangingChars="456"/>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项目名称：</w:t>
            </w:r>
            <w:r>
              <w:rPr>
                <w:rFonts w:hint="eastAsia" w:ascii="宋体" w:hAnsi="宋体" w:cs="宋体"/>
                <w:sz w:val="21"/>
                <w:szCs w:val="21"/>
                <w:highlight w:val="none"/>
                <w:lang w:eastAsia="zh-CN"/>
              </w:rPr>
              <w:t>珠海市中级人民法院2023年科技法庭租赁服务项目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采购人名称：</w:t>
            </w:r>
            <w:r>
              <w:rPr>
                <w:rFonts w:hint="eastAsia" w:ascii="宋体" w:hAnsi="宋体" w:cs="宋体"/>
                <w:sz w:val="21"/>
                <w:szCs w:val="21"/>
                <w:highlight w:val="none"/>
                <w:lang w:eastAsia="zh-CN"/>
              </w:rPr>
              <w:t>广东省珠海市中级人民法院</w:t>
            </w:r>
          </w:p>
          <w:p>
            <w:pPr>
              <w:keepNext w:val="0"/>
              <w:pageBreakBefore w:val="0"/>
              <w:kinsoku/>
              <w:wordWrap/>
              <w:overflowPunct/>
              <w:topLinePunct w:val="0"/>
              <w:bidi w:val="0"/>
              <w:spacing w:line="360" w:lineRule="auto"/>
              <w:ind w:left="105" w:leftChars="50" w:right="105" w:rightChars="50"/>
              <w:rPr>
                <w:rFonts w:hint="eastAsia"/>
                <w:lang w:eastAsia="zh-CN"/>
              </w:rPr>
            </w:pPr>
            <w:r>
              <w:rPr>
                <w:rFonts w:hint="eastAsia" w:ascii="宋体" w:hAnsi="宋体" w:eastAsia="宋体" w:cs="宋体"/>
                <w:sz w:val="21"/>
                <w:szCs w:val="21"/>
                <w:highlight w:val="none"/>
                <w:lang w:val="en-US" w:eastAsia="zh-CN"/>
              </w:rPr>
              <w:t>采购人地址：广东省珠海市香洲区梅华西路168号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400" w:lineRule="exact"/>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w:t>
            </w:r>
          </w:p>
          <w:p>
            <w:pPr>
              <w:keepNext w:val="0"/>
              <w:pageBreakBefore w:val="0"/>
              <w:kinsoku/>
              <w:wordWrap/>
              <w:overflowPunct/>
              <w:topLinePunct w:val="0"/>
              <w:bidi w:val="0"/>
              <w:spacing w:before="24" w:beforeLines="10" w:after="24" w:afterLines="10" w:line="360" w:lineRule="auto"/>
              <w:ind w:left="105" w:leftChars="50" w:right="105" w:rightChars="5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名称：</w:t>
            </w:r>
            <w:r>
              <w:rPr>
                <w:rFonts w:hint="eastAsia" w:ascii="宋体" w:hAnsi="宋体" w:eastAsia="宋体" w:cs="宋体"/>
                <w:sz w:val="21"/>
                <w:szCs w:val="21"/>
                <w:highlight w:val="none"/>
                <w:lang w:eastAsia="zh-CN"/>
              </w:rPr>
              <w:t>珠海正诺工程咨询有限公司</w:t>
            </w:r>
          </w:p>
          <w:p>
            <w:pPr>
              <w:keepNext w:val="0"/>
              <w:pageBreakBefore w:val="0"/>
              <w:kinsoku/>
              <w:wordWrap/>
              <w:overflowPunct/>
              <w:topLinePunct w:val="0"/>
              <w:bidi w:val="0"/>
              <w:spacing w:before="24" w:beforeLines="10" w:after="24" w:afterLines="10" w:line="360" w:lineRule="auto"/>
              <w:ind w:left="105" w:leftChars="50" w:right="105" w:rightChars="5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联系地址：</w:t>
            </w:r>
            <w:r>
              <w:rPr>
                <w:rFonts w:hint="eastAsia" w:ascii="宋体" w:hAnsi="宋体" w:eastAsia="宋体" w:cs="宋体"/>
                <w:sz w:val="21"/>
                <w:szCs w:val="21"/>
                <w:highlight w:val="none"/>
                <w:lang w:eastAsia="zh-CN"/>
              </w:rPr>
              <w:t>珠海市香洲区兴国街4号中立信大厦902</w:t>
            </w:r>
          </w:p>
          <w:p>
            <w:pPr>
              <w:keepNext w:val="0"/>
              <w:pageBreakBefore w:val="0"/>
              <w:kinsoku/>
              <w:wordWrap/>
              <w:overflowPunct/>
              <w:topLinePunct w:val="0"/>
              <w:bidi w:val="0"/>
              <w:spacing w:before="24" w:beforeLines="10" w:after="24" w:afterLines="10"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联系</w:t>
            </w:r>
            <w:r>
              <w:rPr>
                <w:rFonts w:hint="eastAsia" w:ascii="宋体" w:hAnsi="宋体" w:eastAsia="宋体" w:cs="宋体"/>
                <w:sz w:val="21"/>
                <w:szCs w:val="21"/>
                <w:highlight w:val="none"/>
                <w:lang w:val="en-US" w:eastAsia="zh-CN"/>
              </w:rPr>
              <w:t>电话：</w:t>
            </w:r>
            <w:r>
              <w:rPr>
                <w:rFonts w:hint="eastAsia" w:ascii="宋体" w:hAnsi="宋体" w:eastAsia="宋体" w:cs="宋体"/>
                <w:sz w:val="21"/>
                <w:szCs w:val="21"/>
                <w:highlight w:val="none"/>
                <w:lang w:eastAsia="zh-CN"/>
              </w:rPr>
              <w:t>0756-2897761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3.5</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供应商资格要求：详见第一部分“</w:t>
            </w:r>
            <w:r>
              <w:rPr>
                <w:rFonts w:hint="eastAsia" w:ascii="宋体" w:hAnsi="宋体" w:cs="宋体"/>
                <w:sz w:val="21"/>
                <w:szCs w:val="21"/>
                <w:highlight w:val="none"/>
                <w:lang w:eastAsia="zh-CN"/>
              </w:rPr>
              <w:t>供应商的资格要求</w:t>
            </w:r>
            <w:r>
              <w:rPr>
                <w:rFonts w:hint="eastAsia" w:ascii="宋体" w:hAnsi="宋体" w:eastAsia="宋体" w:cs="宋体"/>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60" w:type="dxa"/>
            <w:gridSpan w:val="2"/>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响应文件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7.3</w:t>
            </w:r>
          </w:p>
        </w:tc>
        <w:tc>
          <w:tcPr>
            <w:tcW w:w="7832" w:type="dxa"/>
            <w:noWrap w:val="0"/>
            <w:vAlign w:val="center"/>
          </w:tcPr>
          <w:p>
            <w:pPr>
              <w:pStyle w:val="28"/>
              <w:keepNext w:val="0"/>
              <w:pageBreakBefore w:val="0"/>
              <w:kinsoku/>
              <w:wordWrap/>
              <w:overflowPunct/>
              <w:topLinePunct w:val="0"/>
              <w:bidi w:val="0"/>
              <w:ind w:left="105" w:leftChars="50" w:right="105" w:rightChars="5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报价：总价包干，包括但不仅限于所有设备</w:t>
            </w:r>
            <w:r>
              <w:rPr>
                <w:rFonts w:hint="eastAsia" w:ascii="宋体" w:hAnsi="宋体" w:eastAsia="宋体" w:cs="宋体"/>
                <w:sz w:val="21"/>
                <w:szCs w:val="21"/>
                <w:highlight w:val="none"/>
                <w:lang w:val="en-US" w:eastAsia="zh-CN"/>
              </w:rPr>
              <w:t>租赁</w:t>
            </w:r>
            <w:r>
              <w:rPr>
                <w:rFonts w:hint="eastAsia" w:ascii="宋体" w:hAnsi="宋体" w:eastAsia="宋体" w:cs="宋体"/>
                <w:sz w:val="21"/>
                <w:szCs w:val="21"/>
                <w:highlight w:val="none"/>
                <w:lang w:eastAsia="zh-CN"/>
              </w:rPr>
              <w:t>费、专用工具费、包装运输费、技术支持费、装卸费、保险费、检测费、安装调试费、税费、所有需要向第三方支付的知识产权费用以及维修保养等费用在内的完成本项目所需的全部费用的总和。供应商漏报或不报，采购人将视为该漏报或不报部分的费用已包括在已报的分项报价中而不予支付。在服务期限内，如出现社会生产物资、人员成本大幅上升等，由成交人自行承担，采购人除按规定支付成交价外，不再另行支付任何费用。供应商报价不得超过最高限价，否则按无效响应文件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8.1</w:t>
            </w:r>
          </w:p>
        </w:tc>
        <w:tc>
          <w:tcPr>
            <w:tcW w:w="7832" w:type="dxa"/>
            <w:noWrap w:val="0"/>
            <w:vAlign w:val="center"/>
          </w:tcPr>
          <w:p>
            <w:pPr>
              <w:pStyle w:val="64"/>
              <w:keepNext w:val="0"/>
              <w:pageBreakBefore w:val="0"/>
              <w:kinsoku/>
              <w:wordWrap/>
              <w:overflowPunct/>
              <w:topLinePunct w:val="0"/>
              <w:bidi w:val="0"/>
              <w:spacing w:before="0" w:beforeAutospacing="0" w:after="0" w:afterAutospacing="0" w:line="360" w:lineRule="exact"/>
              <w:ind w:left="105" w:leftChars="50" w:right="105" w:rightChars="5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响应文件格式：见磋商文件第五部分第二节。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9.1</w:t>
            </w:r>
          </w:p>
        </w:tc>
        <w:tc>
          <w:tcPr>
            <w:tcW w:w="7832" w:type="dxa"/>
            <w:noWrap w:val="0"/>
            <w:vAlign w:val="center"/>
          </w:tcPr>
          <w:p>
            <w:pPr>
              <w:keepNext w:val="0"/>
              <w:pageBreakBefore w:val="0"/>
              <w:kinsoku/>
              <w:wordWrap/>
              <w:overflowPunct/>
              <w:topLinePunct w:val="0"/>
              <w:bidi w:val="0"/>
              <w:spacing w:before="120" w:beforeLines="50" w:after="120" w:afterLines="50"/>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响应文件：</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1、纸质文件：正本一份，副本二份，正本与副本有差异的，以正本为准；</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2、电子版文件</w:t>
            </w:r>
            <w:r>
              <w:rPr>
                <w:rFonts w:hint="eastAsia" w:hAnsi="宋体" w:cs="宋体"/>
                <w:sz w:val="21"/>
                <w:szCs w:val="21"/>
                <w:highlight w:val="none"/>
                <w:lang w:eastAsia="zh-CN"/>
              </w:rPr>
              <w:t>（</w:t>
            </w:r>
            <w:r>
              <w:rPr>
                <w:rFonts w:hint="eastAsia" w:ascii="宋体" w:hAnsi="宋体" w:eastAsia="宋体" w:cs="宋体"/>
                <w:sz w:val="21"/>
                <w:szCs w:val="21"/>
                <w:highlight w:val="none"/>
              </w:rPr>
              <w:t>签字盖章的正本扫描件，PDF格式</w:t>
            </w:r>
            <w:r>
              <w:rPr>
                <w:rFonts w:hint="eastAsia" w:hAnsi="宋体" w:cs="宋体"/>
                <w:sz w:val="21"/>
                <w:szCs w:val="21"/>
                <w:highlight w:val="none"/>
                <w:lang w:eastAsia="zh-CN"/>
              </w:rPr>
              <w:t>）</w:t>
            </w:r>
            <w:r>
              <w:rPr>
                <w:rFonts w:hint="eastAsia" w:ascii="宋体" w:hAnsi="宋体" w:eastAsia="宋体" w:cs="宋体"/>
                <w:sz w:val="21"/>
                <w:szCs w:val="21"/>
                <w:highlight w:val="none"/>
              </w:rPr>
              <w:t>，光盘或者U盘存贮，分项报价部分需提供可编辑、拷贝的Excel或者Word版本。</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sz w:val="21"/>
                <w:szCs w:val="21"/>
                <w:highlight w:val="none"/>
              </w:rPr>
              <w:t>评审时以纸质文件为准。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10.1</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磋商有效期：磋商开始之日起90个日历日。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11.1</w:t>
            </w:r>
          </w:p>
        </w:tc>
        <w:tc>
          <w:tcPr>
            <w:tcW w:w="7832" w:type="dxa"/>
            <w:noWrap w:val="0"/>
            <w:vAlign w:val="center"/>
          </w:tcPr>
          <w:p>
            <w:pPr>
              <w:pStyle w:val="48"/>
              <w:keepNext w:val="0"/>
              <w:pageBreakBefore w:val="0"/>
              <w:kinsoku/>
              <w:wordWrap/>
              <w:overflowPunct/>
              <w:topLinePunct w:val="0"/>
              <w:bidi w:val="0"/>
              <w:spacing w:line="360" w:lineRule="auto"/>
              <w:ind w:left="105" w:leftChars="50" w:right="105" w:rightChars="50"/>
              <w:rPr>
                <w:rFonts w:hint="eastAsia" w:ascii="宋体" w:hAnsi="宋体" w:eastAsia="宋体" w:cs="宋体"/>
                <w:kern w:val="0"/>
                <w:sz w:val="21"/>
                <w:szCs w:val="21"/>
                <w:highlight w:val="none"/>
              </w:rPr>
            </w:pPr>
            <w:r>
              <w:rPr>
                <w:rFonts w:hint="eastAsia" w:ascii="宋体" w:hAnsi="宋体" w:eastAsia="宋体" w:cs="宋体"/>
                <w:i w:val="0"/>
                <w:iCs w:val="0"/>
                <w:sz w:val="21"/>
                <w:szCs w:val="21"/>
                <w:highlight w:val="none"/>
              </w:rPr>
              <w:t>磋商保证金：本项目无须提交保证金。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12.1</w:t>
            </w:r>
          </w:p>
        </w:tc>
        <w:tc>
          <w:tcPr>
            <w:tcW w:w="7832" w:type="dxa"/>
            <w:noWrap w:val="0"/>
            <w:vAlign w:val="center"/>
          </w:tcPr>
          <w:p>
            <w:pPr>
              <w:keepNext w:val="0"/>
              <w:pageBreakBefore w:val="0"/>
              <w:kinsoku/>
              <w:wordWrap/>
              <w:overflowPunct/>
              <w:topLinePunct w:val="0"/>
              <w:bidi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提交响应文件的时间、地点详见《磋商邀请函》。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60" w:type="dxa"/>
            <w:gridSpan w:val="2"/>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磋商及评审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13.1</w:t>
            </w:r>
          </w:p>
        </w:tc>
        <w:tc>
          <w:tcPr>
            <w:tcW w:w="7832" w:type="dxa"/>
            <w:noWrap w:val="0"/>
            <w:vAlign w:val="center"/>
          </w:tcPr>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本项目磋商由依法组建的磋商小组负责，其成员由有关技术、经济等方面的专家共3人组成，其中采购人代表1人，其余专家在专家库中随机抽取，采购代理机构工作人员不作为磋商小组成员。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15.2-1</w:t>
            </w:r>
          </w:p>
        </w:tc>
        <w:tc>
          <w:tcPr>
            <w:tcW w:w="7832" w:type="dxa"/>
            <w:noWrap w:val="0"/>
            <w:vAlign w:val="center"/>
          </w:tcPr>
          <w:p>
            <w:pPr>
              <w:pStyle w:val="18"/>
              <w:keepNext w:val="0"/>
              <w:pageBreakBefore w:val="0"/>
              <w:kinsoku/>
              <w:wordWrap/>
              <w:overflowPunct/>
              <w:topLinePunct w:val="0"/>
              <w:bidi w:val="0"/>
              <w:spacing w:line="360" w:lineRule="auto"/>
              <w:ind w:left="0" w:leftChars="0" w:right="105" w:rightChars="50" w:firstLine="0" w:firstLineChars="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正式磋商前的审查中，如发现下列情况之一的，将作无效响应文件处理：</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1.响应文件未加盖供应商公章的；</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2.响应文件没有供应商代表签字或盖印章的；</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3.磋商响应文件签字代表不是法定代表人或其授权代表的。</w:t>
            </w:r>
          </w:p>
          <w:p>
            <w:pPr>
              <w:pStyle w:val="18"/>
              <w:keepNext w:val="0"/>
              <w:pageBreakBefore w:val="0"/>
              <w:kinsoku/>
              <w:wordWrap/>
              <w:overflowPunct/>
              <w:topLinePunct w:val="0"/>
              <w:bidi w:val="0"/>
              <w:spacing w:line="360" w:lineRule="auto"/>
              <w:ind w:left="105" w:leftChars="50" w:right="105" w:rightChars="5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4.供应商不满足资格要求或资格证明文件不全的；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15.2-2</w:t>
            </w:r>
          </w:p>
        </w:tc>
        <w:tc>
          <w:tcPr>
            <w:tcW w:w="7832" w:type="dxa"/>
            <w:noWrap w:val="0"/>
            <w:vAlign w:val="center"/>
          </w:tcPr>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经过磋商及澄清、承诺后，响应文件仍存在以下问题之一的，将作无效响应文件处理：</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1.响应文件载明的服务期不满足磋商文件要求的；</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2.要求提供第二次报价</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如有</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的，报价超过项目最高限价的；</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3.磋商有效期不足的；</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4.响应文件附有采购人不能接受的条件的；</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5.不符合关键技术要求的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即磋商文件中作出专门标识并说明为关键款项的条款</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6.不符合</w:t>
            </w:r>
            <w:r>
              <w:rPr>
                <w:rFonts w:hint="eastAsia" w:ascii="宋体" w:hAnsi="宋体" w:cs="宋体"/>
                <w:sz w:val="21"/>
                <w:szCs w:val="21"/>
                <w:highlight w:val="none"/>
                <w:lang w:eastAsia="zh-CN"/>
              </w:rPr>
              <w:t>法律法规</w:t>
            </w:r>
            <w:r>
              <w:rPr>
                <w:rFonts w:hint="eastAsia" w:ascii="宋体" w:hAnsi="宋体" w:eastAsia="宋体" w:cs="宋体"/>
                <w:sz w:val="21"/>
                <w:szCs w:val="21"/>
                <w:highlight w:val="none"/>
              </w:rPr>
              <w:t>和磋商文件规定的其他实质性要求的。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16.2</w:t>
            </w:r>
          </w:p>
        </w:tc>
        <w:tc>
          <w:tcPr>
            <w:tcW w:w="7832" w:type="dxa"/>
            <w:noWrap w:val="0"/>
            <w:vAlign w:val="center"/>
          </w:tcPr>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通过资格审查</w:t>
            </w:r>
            <w:r>
              <w:rPr>
                <w:rStyle w:val="83"/>
                <w:rFonts w:hint="eastAsia" w:ascii="宋体" w:hAnsi="宋体" w:eastAsia="宋体" w:cs="宋体"/>
                <w:sz w:val="21"/>
                <w:szCs w:val="21"/>
                <w:highlight w:val="none"/>
              </w:rPr>
              <w:t>和符合性审查</w:t>
            </w:r>
            <w:r>
              <w:rPr>
                <w:rFonts w:hint="eastAsia" w:ascii="宋体" w:hAnsi="宋体" w:eastAsia="宋体" w:cs="宋体"/>
                <w:sz w:val="21"/>
                <w:szCs w:val="21"/>
                <w:highlight w:val="none"/>
              </w:rPr>
              <w:t>的供应商少于三家，本项目流标；通过资格审查</w:t>
            </w:r>
            <w:r>
              <w:rPr>
                <w:rStyle w:val="83"/>
                <w:rFonts w:hint="eastAsia" w:ascii="宋体" w:hAnsi="宋体" w:eastAsia="宋体" w:cs="宋体"/>
                <w:sz w:val="21"/>
                <w:szCs w:val="21"/>
                <w:highlight w:val="none"/>
              </w:rPr>
              <w:t>和符合性审查</w:t>
            </w:r>
            <w:r>
              <w:rPr>
                <w:rFonts w:hint="eastAsia" w:ascii="宋体" w:hAnsi="宋体" w:eastAsia="宋体" w:cs="宋体"/>
                <w:sz w:val="21"/>
                <w:szCs w:val="21"/>
                <w:highlight w:val="none"/>
              </w:rPr>
              <w:t>的供应商不少于三家的，磋商小组按照评分细则进行评审，并推荐成交候选人。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60" w:type="dxa"/>
            <w:gridSpan w:val="2"/>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成交供应商及成交服务费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17.1</w:t>
            </w:r>
          </w:p>
        </w:tc>
        <w:tc>
          <w:tcPr>
            <w:tcW w:w="7832" w:type="dxa"/>
            <w:noWrap w:val="0"/>
            <w:vAlign w:val="center"/>
          </w:tcPr>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firstLine="315" w:firstLineChars="150"/>
              <w:rPr>
                <w:rFonts w:hint="eastAsia" w:ascii="宋体" w:hAnsi="宋体" w:eastAsia="宋体" w:cs="宋体"/>
                <w:sz w:val="21"/>
                <w:szCs w:val="21"/>
                <w:highlight w:val="none"/>
              </w:rPr>
            </w:pPr>
            <w:r>
              <w:rPr>
                <w:rFonts w:hint="eastAsia" w:ascii="宋体" w:hAnsi="宋体" w:eastAsia="宋体" w:cs="宋体"/>
                <w:sz w:val="21"/>
                <w:szCs w:val="21"/>
                <w:highlight w:val="none"/>
              </w:rPr>
              <w:t>本项目按照最终得分由高到低排名，推荐前三名供应商为成交候选人。采购人确定排名第一的候选人为成交供应商。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05" w:hRule="atLeast"/>
          <w:jc w:val="center"/>
        </w:trPr>
        <w:tc>
          <w:tcPr>
            <w:tcW w:w="928" w:type="dxa"/>
            <w:noWrap w:val="0"/>
            <w:vAlign w:val="center"/>
          </w:tcPr>
          <w:p>
            <w:pPr>
              <w:keepNext w:val="0"/>
              <w:pageBreakBefore w:val="0"/>
              <w:kinsoku/>
              <w:wordWrap/>
              <w:overflowPunct/>
              <w:topLinePunct w:val="0"/>
              <w:bidi w:val="0"/>
              <w:spacing w:line="360" w:lineRule="auto"/>
              <w:ind w:left="105" w:leftChars="50" w:right="105" w:rightChars="5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17.4</w:t>
            </w:r>
          </w:p>
        </w:tc>
        <w:tc>
          <w:tcPr>
            <w:tcW w:w="7832" w:type="dxa"/>
            <w:noWrap w:val="0"/>
            <w:vAlign w:val="center"/>
          </w:tcPr>
          <w:p>
            <w:pPr>
              <w:keepNext w:val="0"/>
              <w:pageBreakBefore w:val="0"/>
              <w:kinsoku/>
              <w:wordWrap/>
              <w:overflowPunct/>
              <w:topLinePunct w:val="0"/>
              <w:bidi w:val="0"/>
              <w:snapToGrid w:val="0"/>
              <w:spacing w:line="360" w:lineRule="auto"/>
              <w:ind w:left="105" w:leftChars="50" w:right="105" w:rightChars="50"/>
              <w:jc w:val="both"/>
              <w:rPr>
                <w:rFonts w:hint="eastAsia" w:ascii="宋体" w:hAnsi="宋体" w:eastAsia="宋体" w:cs="宋体"/>
                <w:b/>
                <w:bCs/>
                <w:sz w:val="21"/>
                <w:szCs w:val="21"/>
              </w:rPr>
            </w:pPr>
            <w:r>
              <w:rPr>
                <w:rFonts w:hint="eastAsia" w:ascii="宋体" w:hAnsi="宋体" w:eastAsia="宋体" w:cs="宋体"/>
                <w:b/>
                <w:bCs/>
                <w:sz w:val="21"/>
                <w:szCs w:val="21"/>
              </w:rPr>
              <w:t>采代理服务费：</w:t>
            </w:r>
          </w:p>
          <w:p>
            <w:pPr>
              <w:keepNext w:val="0"/>
              <w:pageBreakBefore w:val="0"/>
              <w:kinsoku/>
              <w:wordWrap/>
              <w:overflowPunct/>
              <w:topLinePunct w:val="0"/>
              <w:bidi w:val="0"/>
              <w:snapToGrid w:val="0"/>
              <w:spacing w:line="360" w:lineRule="auto"/>
              <w:ind w:left="105" w:leftChars="50" w:right="105" w:rightChars="50"/>
              <w:jc w:val="both"/>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代理服务费：成交供应商应在确定成交</w:t>
            </w:r>
            <w:r>
              <w:rPr>
                <w:rFonts w:hint="eastAsia" w:ascii="宋体" w:hAnsi="宋体" w:cs="宋体"/>
                <w:sz w:val="21"/>
                <w:szCs w:val="21"/>
                <w:lang w:eastAsia="zh-CN"/>
              </w:rPr>
              <w:t>（</w:t>
            </w:r>
            <w:r>
              <w:rPr>
                <w:rFonts w:hint="eastAsia" w:ascii="宋体" w:hAnsi="宋体" w:eastAsia="宋体" w:cs="宋体"/>
                <w:sz w:val="21"/>
                <w:szCs w:val="21"/>
              </w:rPr>
              <w:t>中标</w:t>
            </w:r>
            <w:r>
              <w:rPr>
                <w:rFonts w:hint="eastAsia" w:ascii="宋体" w:hAnsi="宋体" w:cs="宋体"/>
                <w:sz w:val="21"/>
                <w:szCs w:val="21"/>
                <w:lang w:eastAsia="zh-CN"/>
              </w:rPr>
              <w:t>）</w:t>
            </w:r>
            <w:r>
              <w:rPr>
                <w:rFonts w:hint="eastAsia" w:ascii="宋体" w:hAnsi="宋体" w:eastAsia="宋体" w:cs="宋体"/>
                <w:sz w:val="21"/>
                <w:szCs w:val="21"/>
              </w:rPr>
              <w:t>结果后</w:t>
            </w: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日内向采购代理机构</w:t>
            </w:r>
            <w:r>
              <w:rPr>
                <w:rFonts w:hint="eastAsia" w:ascii="宋体" w:hAnsi="宋体" w:cs="宋体"/>
                <w:sz w:val="21"/>
                <w:szCs w:val="21"/>
                <w:lang w:eastAsia="zh-CN"/>
              </w:rPr>
              <w:t>（</w:t>
            </w:r>
            <w:r>
              <w:rPr>
                <w:rFonts w:hint="eastAsia" w:ascii="宋体" w:hAnsi="宋体" w:eastAsia="宋体" w:cs="宋体"/>
                <w:sz w:val="21"/>
                <w:szCs w:val="21"/>
              </w:rPr>
              <w:t>珠海正诺工程咨询有限公司</w:t>
            </w:r>
            <w:r>
              <w:rPr>
                <w:rFonts w:hint="eastAsia" w:ascii="宋体" w:hAnsi="宋体" w:cs="宋体"/>
                <w:sz w:val="21"/>
                <w:szCs w:val="21"/>
                <w:lang w:eastAsia="zh-CN"/>
              </w:rPr>
              <w:t>）</w:t>
            </w:r>
            <w:r>
              <w:rPr>
                <w:rFonts w:hint="eastAsia" w:ascii="宋体" w:hAnsi="宋体" w:eastAsia="宋体" w:cs="宋体"/>
                <w:sz w:val="21"/>
                <w:szCs w:val="21"/>
              </w:rPr>
              <w:t>缴纳服务费并领取《成交通知书》。以本项目的成交金额作为收费的计算基数。代理服务费低于肆仟元则按肆仟元收取。</w:t>
            </w:r>
          </w:p>
          <w:p>
            <w:pPr>
              <w:keepNext w:val="0"/>
              <w:pageBreakBefore w:val="0"/>
              <w:kinsoku/>
              <w:wordWrap/>
              <w:overflowPunct/>
              <w:topLinePunct w:val="0"/>
              <w:bidi w:val="0"/>
              <w:snapToGrid w:val="0"/>
              <w:spacing w:line="360" w:lineRule="auto"/>
              <w:ind w:left="105" w:leftChars="50" w:right="105" w:rightChars="50"/>
              <w:jc w:val="both"/>
              <w:rPr>
                <w:rFonts w:hint="eastAsia" w:ascii="宋体" w:hAnsi="宋体" w:eastAsia="宋体" w:cs="宋体"/>
                <w:b/>
                <w:bCs/>
                <w:sz w:val="21"/>
                <w:szCs w:val="21"/>
              </w:rPr>
            </w:pPr>
            <w:r>
              <w:rPr>
                <w:rFonts w:hint="eastAsia" w:ascii="宋体" w:hAnsi="宋体" w:cs="宋体"/>
                <w:sz w:val="21"/>
                <w:szCs w:val="21"/>
                <w:lang w:eastAsia="zh-CN"/>
              </w:rPr>
              <w:t>（</w:t>
            </w: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代理服务费收费标准为：</w:t>
            </w:r>
            <w:r>
              <w:rPr>
                <w:rFonts w:hint="eastAsia" w:ascii="宋体" w:hAnsi="宋体" w:eastAsia="宋体" w:cs="宋体"/>
                <w:b/>
                <w:bCs/>
                <w:sz w:val="21"/>
                <w:szCs w:val="21"/>
              </w:rPr>
              <w:t>收费标准＝成交金额×收费费率</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37" w:type="dxa"/>
                  <w:noWrap w:val="0"/>
                  <w:vAlign w:val="center"/>
                </w:tcPr>
                <w:p>
                  <w:pPr>
                    <w:keepNext w:val="0"/>
                    <w:pageBreakBefore w:val="0"/>
                    <w:kinsoku/>
                    <w:wordWrap/>
                    <w:overflowPunct/>
                    <w:topLinePunct w:val="0"/>
                    <w:bidi w:val="0"/>
                    <w:snapToGrid w:val="0"/>
                    <w:spacing w:line="360" w:lineRule="auto"/>
                    <w:ind w:left="105" w:leftChars="50" w:right="105" w:rightChars="50"/>
                    <w:jc w:val="center"/>
                    <w:rPr>
                      <w:rFonts w:hint="eastAsia" w:ascii="宋体" w:hAnsi="宋体" w:eastAsia="宋体" w:cs="宋体"/>
                      <w:sz w:val="21"/>
                      <w:szCs w:val="21"/>
                      <w:lang w:eastAsia="zh-CN"/>
                    </w:rPr>
                  </w:pPr>
                  <w:r>
                    <w:rPr>
                      <w:rFonts w:hint="eastAsia" w:ascii="宋体" w:hAnsi="宋体" w:eastAsia="宋体" w:cs="宋体"/>
                      <w:sz w:val="21"/>
                      <w:szCs w:val="21"/>
                    </w:rPr>
                    <w:t>金额</w:t>
                  </w:r>
                  <w:r>
                    <w:rPr>
                      <w:rFonts w:hint="eastAsia" w:ascii="宋体" w:hAnsi="宋体" w:cs="宋体"/>
                      <w:sz w:val="21"/>
                      <w:szCs w:val="21"/>
                      <w:lang w:eastAsia="zh-CN"/>
                    </w:rPr>
                    <w:t>（</w:t>
                  </w:r>
                  <w:r>
                    <w:rPr>
                      <w:rFonts w:hint="eastAsia" w:ascii="宋体" w:hAnsi="宋体" w:eastAsia="宋体" w:cs="宋体"/>
                      <w:sz w:val="21"/>
                      <w:szCs w:val="21"/>
                    </w:rPr>
                    <w:t>万元</w:t>
                  </w:r>
                  <w:r>
                    <w:rPr>
                      <w:rFonts w:hint="eastAsia" w:ascii="宋体" w:hAnsi="宋体" w:cs="宋体"/>
                      <w:sz w:val="21"/>
                      <w:szCs w:val="21"/>
                      <w:lang w:eastAsia="zh-CN"/>
                    </w:rPr>
                    <w:t>）</w:t>
                  </w:r>
                </w:p>
              </w:tc>
              <w:tc>
                <w:tcPr>
                  <w:tcW w:w="2443" w:type="dxa"/>
                  <w:noWrap w:val="0"/>
                  <w:vAlign w:val="center"/>
                </w:tcPr>
                <w:p>
                  <w:pPr>
                    <w:keepNext w:val="0"/>
                    <w:pageBreakBefore w:val="0"/>
                    <w:kinsoku/>
                    <w:wordWrap/>
                    <w:overflowPunct/>
                    <w:topLinePunct w:val="0"/>
                    <w:bidi w:val="0"/>
                    <w:snapToGrid w:val="0"/>
                    <w:spacing w:line="360" w:lineRule="auto"/>
                    <w:ind w:left="105" w:leftChars="50" w:right="105" w:rightChars="50"/>
                    <w:jc w:val="center"/>
                    <w:rPr>
                      <w:rFonts w:hint="eastAsia" w:ascii="宋体" w:hAnsi="宋体" w:eastAsia="宋体" w:cs="宋体"/>
                      <w:sz w:val="21"/>
                      <w:szCs w:val="21"/>
                    </w:rPr>
                  </w:pPr>
                  <w:r>
                    <w:rPr>
                      <w:rFonts w:hint="eastAsia" w:ascii="宋体" w:hAnsi="宋体" w:eastAsia="宋体" w:cs="宋体"/>
                      <w:sz w:val="21"/>
                      <w:szCs w:val="21"/>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437" w:type="dxa"/>
                  <w:noWrap w:val="0"/>
                  <w:vAlign w:val="top"/>
                </w:tcPr>
                <w:p>
                  <w:pPr>
                    <w:keepNext w:val="0"/>
                    <w:pageBreakBefore w:val="0"/>
                    <w:kinsoku/>
                    <w:wordWrap/>
                    <w:overflowPunct/>
                    <w:topLinePunct w:val="0"/>
                    <w:bidi w:val="0"/>
                    <w:snapToGrid w:val="0"/>
                    <w:spacing w:line="360" w:lineRule="auto"/>
                    <w:ind w:left="105" w:leftChars="50" w:right="105" w:rightChars="50"/>
                    <w:jc w:val="center"/>
                    <w:rPr>
                      <w:rFonts w:hint="eastAsia" w:ascii="宋体" w:hAnsi="宋体" w:eastAsia="宋体" w:cs="宋体"/>
                      <w:sz w:val="21"/>
                      <w:szCs w:val="21"/>
                    </w:rPr>
                  </w:pPr>
                  <w:r>
                    <w:rPr>
                      <w:rFonts w:hint="eastAsia" w:ascii="宋体" w:hAnsi="宋体" w:eastAsia="宋体" w:cs="宋体"/>
                      <w:sz w:val="21"/>
                      <w:szCs w:val="21"/>
                    </w:rPr>
                    <w:t>0-100</w:t>
                  </w:r>
                </w:p>
              </w:tc>
              <w:tc>
                <w:tcPr>
                  <w:tcW w:w="2443" w:type="dxa"/>
                  <w:noWrap w:val="0"/>
                  <w:vAlign w:val="top"/>
                </w:tcPr>
                <w:p>
                  <w:pPr>
                    <w:keepNext w:val="0"/>
                    <w:pageBreakBefore w:val="0"/>
                    <w:kinsoku/>
                    <w:wordWrap/>
                    <w:overflowPunct/>
                    <w:topLinePunct w:val="0"/>
                    <w:bidi w:val="0"/>
                    <w:snapToGrid w:val="0"/>
                    <w:spacing w:line="360" w:lineRule="auto"/>
                    <w:ind w:left="105" w:leftChars="50" w:right="105" w:rightChars="50"/>
                    <w:jc w:val="center"/>
                    <w:rPr>
                      <w:rFonts w:hint="eastAsia" w:ascii="宋体" w:hAnsi="宋体" w:eastAsia="宋体" w:cs="宋体"/>
                      <w:sz w:val="21"/>
                      <w:szCs w:val="21"/>
                    </w:rPr>
                  </w:pPr>
                  <w:r>
                    <w:rPr>
                      <w:rFonts w:hint="eastAsia" w:ascii="宋体" w:hAnsi="宋体" w:eastAsia="宋体" w:cs="宋体"/>
                      <w:sz w:val="21"/>
                      <w:szCs w:val="21"/>
                    </w:rPr>
                    <w:t>1.8%</w:t>
                  </w:r>
                </w:p>
              </w:tc>
            </w:tr>
          </w:tbl>
          <w:p>
            <w:pPr>
              <w:keepNext w:val="0"/>
              <w:keepLines/>
              <w:pageBreakBefore w:val="0"/>
              <w:widowControl/>
              <w:tabs>
                <w:tab w:val="left" w:pos="-30"/>
              </w:tabs>
              <w:kinsoku/>
              <w:wordWrap/>
              <w:overflowPunct/>
              <w:topLinePunct w:val="0"/>
              <w:bidi w:val="0"/>
              <w:adjustRightInd w:val="0"/>
              <w:snapToGrid w:val="0"/>
              <w:spacing w:line="360" w:lineRule="auto"/>
              <w:ind w:left="105" w:leftChars="50" w:right="105" w:rightChars="50"/>
              <w:rPr>
                <w:rFonts w:hint="eastAsia" w:ascii="宋体" w:hAnsi="宋体" w:eastAsia="宋体" w:cs="宋体"/>
                <w:sz w:val="21"/>
                <w:szCs w:val="21"/>
                <w:highlight w:val="none"/>
              </w:rPr>
            </w:pP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代理服务费的交纳方式：收到采购代理机构开出的付款通知书3天内向采购代理机构交纳代理服务费。可用现金、支票、汇票、电汇等付款方式支付。该项费用由响应供应商人综合考虑在报价总价中，不单独列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5" w:hRule="atLeast"/>
          <w:jc w:val="center"/>
        </w:trPr>
        <w:tc>
          <w:tcPr>
            <w:tcW w:w="928" w:type="dxa"/>
            <w:noWrap w:val="0"/>
            <w:vAlign w:val="center"/>
          </w:tcPr>
          <w:p>
            <w:pPr>
              <w:keepNext w:val="0"/>
              <w:pageBreakBefore w:val="0"/>
              <w:kinsoku/>
              <w:wordWrap/>
              <w:overflowPunct/>
              <w:topLinePunct w:val="0"/>
              <w:bidi w:val="0"/>
              <w:snapToGrid w:val="0"/>
              <w:spacing w:line="360" w:lineRule="auto"/>
              <w:ind w:left="105" w:leftChars="50" w:right="105" w:rightChars="50"/>
              <w:jc w:val="center"/>
              <w:rPr>
                <w:rFonts w:hint="eastAsia" w:ascii="宋体" w:hAnsi="宋体" w:eastAsia="宋体" w:cs="宋体"/>
                <w:sz w:val="21"/>
                <w:szCs w:val="21"/>
                <w:highlight w:val="none"/>
              </w:rPr>
            </w:pPr>
            <w:bookmarkStart w:id="166" w:name="_Toc276645572"/>
            <w:bookmarkStart w:id="167" w:name="_Toc35342046"/>
            <w:bookmarkStart w:id="168" w:name="_Toc50864444"/>
            <w:r>
              <w:rPr>
                <w:rFonts w:hint="eastAsia" w:ascii="宋体" w:hAnsi="宋体" w:eastAsia="宋体" w:cs="宋体"/>
                <w:sz w:val="21"/>
                <w:szCs w:val="21"/>
              </w:rPr>
              <w:t>其他</w:t>
            </w:r>
          </w:p>
        </w:tc>
        <w:tc>
          <w:tcPr>
            <w:tcW w:w="7832" w:type="dxa"/>
            <w:noWrap w:val="0"/>
            <w:vAlign w:val="center"/>
          </w:tcPr>
          <w:p>
            <w:pPr>
              <w:keepNext w:val="0"/>
              <w:pageBreakBefore w:val="0"/>
              <w:kinsoku/>
              <w:wordWrap/>
              <w:overflowPunct/>
              <w:topLinePunct w:val="0"/>
              <w:bidi w:val="0"/>
              <w:snapToGrid w:val="0"/>
              <w:spacing w:line="360" w:lineRule="auto"/>
              <w:ind w:left="105" w:leftChars="50" w:right="105" w:rightChars="50"/>
              <w:jc w:val="both"/>
              <w:rPr>
                <w:rFonts w:hint="eastAsia" w:ascii="宋体" w:hAnsi="宋体" w:eastAsia="宋体" w:cs="宋体"/>
                <w:b/>
                <w:bCs/>
                <w:sz w:val="21"/>
                <w:szCs w:val="21"/>
              </w:rPr>
            </w:pPr>
            <w:r>
              <w:rPr>
                <w:rFonts w:hint="eastAsia" w:ascii="宋体" w:hAnsi="宋体" w:eastAsia="宋体" w:cs="宋体"/>
                <w:b/>
                <w:bCs/>
                <w:sz w:val="21"/>
                <w:szCs w:val="21"/>
              </w:rPr>
              <w:t>通知函：</w:t>
            </w:r>
          </w:p>
          <w:p>
            <w:pPr>
              <w:keepNext w:val="0"/>
              <w:pageBreakBefore w:val="0"/>
              <w:kinsoku/>
              <w:wordWrap/>
              <w:overflowPunct/>
              <w:topLinePunct w:val="0"/>
              <w:bidi w:val="0"/>
              <w:snapToGrid w:val="0"/>
              <w:spacing w:line="360" w:lineRule="auto"/>
              <w:ind w:left="105" w:leftChars="50" w:right="105" w:rightChars="50"/>
              <w:jc w:val="both"/>
              <w:rPr>
                <w:rFonts w:hint="eastAsia" w:ascii="宋体" w:hAnsi="宋体" w:eastAsia="宋体" w:cs="宋体"/>
                <w:sz w:val="21"/>
                <w:szCs w:val="21"/>
              </w:rPr>
            </w:pPr>
            <w:r>
              <w:rPr>
                <w:rFonts w:hint="eastAsia" w:ascii="宋体" w:hAnsi="宋体" w:eastAsia="宋体" w:cs="宋体"/>
                <w:b/>
                <w:bCs/>
                <w:sz w:val="21"/>
                <w:szCs w:val="21"/>
              </w:rPr>
              <w:t>请各供应商在递交响应文件截止时间前2个工作日，将《通知函》书面传真通知至：0756－2897791或以邮件发送至zhzn2020@163.com 。《通知函》格式详见附件。</w:t>
            </w:r>
          </w:p>
        </w:tc>
      </w:tr>
    </w:tbl>
    <w:p>
      <w:pPr>
        <w:outlineLvl w:val="1"/>
        <w:rPr>
          <w:rFonts w:hint="eastAsia" w:ascii="宋体" w:hAnsi="宋体" w:eastAsia="宋体" w:cs="宋体"/>
          <w:b/>
          <w:bCs/>
          <w:sz w:val="36"/>
          <w:szCs w:val="44"/>
          <w:highlight w:val="none"/>
        </w:rPr>
      </w:pPr>
      <w:r>
        <w:rPr>
          <w:rFonts w:hint="eastAsia" w:ascii="宋体" w:hAnsi="宋体" w:eastAsia="宋体" w:cs="宋体"/>
          <w:highlight w:val="none"/>
        </w:rPr>
        <w:br w:type="page"/>
      </w:r>
      <w:bookmarkStart w:id="169" w:name="_Toc49930301"/>
      <w:bookmarkStart w:id="170" w:name="_Toc15236"/>
      <w:bookmarkStart w:id="171" w:name="_Toc9211"/>
      <w:bookmarkStart w:id="172" w:name="_Toc17553"/>
      <w:bookmarkStart w:id="173" w:name="_Toc30021"/>
      <w:bookmarkStart w:id="174" w:name="_Toc20640"/>
      <w:bookmarkStart w:id="175" w:name="_Toc3359"/>
      <w:bookmarkStart w:id="176" w:name="_Toc8728"/>
      <w:bookmarkStart w:id="177" w:name="_Toc22708"/>
      <w:bookmarkStart w:id="178" w:name="_Toc3386995"/>
      <w:bookmarkStart w:id="179" w:name="_Toc37919849"/>
      <w:bookmarkStart w:id="180" w:name="_Toc16419"/>
      <w:bookmarkStart w:id="181" w:name="_Toc531617868"/>
      <w:bookmarkStart w:id="182" w:name="_Toc497076496"/>
      <w:bookmarkStart w:id="183" w:name="_Toc28195"/>
      <w:r>
        <w:rPr>
          <w:rFonts w:hint="eastAsia" w:ascii="宋体" w:hAnsi="宋体" w:eastAsia="宋体" w:cs="宋体"/>
          <w:b/>
          <w:bCs/>
          <w:sz w:val="36"/>
          <w:szCs w:val="44"/>
          <w:highlight w:val="none"/>
        </w:rPr>
        <w:t>二、</w:t>
      </w:r>
      <w:bookmarkEnd w:id="169"/>
      <w:bookmarkEnd w:id="170"/>
      <w:bookmarkEnd w:id="171"/>
      <w:bookmarkEnd w:id="172"/>
      <w:bookmarkEnd w:id="173"/>
      <w:bookmarkEnd w:id="174"/>
      <w:bookmarkEnd w:id="175"/>
      <w:bookmarkEnd w:id="176"/>
      <w:bookmarkStart w:id="184" w:name="_Toc13195"/>
      <w:r>
        <w:rPr>
          <w:rFonts w:hint="eastAsia" w:ascii="宋体" w:hAnsi="宋体" w:eastAsia="宋体" w:cs="宋体"/>
          <w:b/>
          <w:bCs/>
          <w:sz w:val="36"/>
          <w:szCs w:val="44"/>
          <w:highlight w:val="none"/>
        </w:rPr>
        <w:t>评审细则</w:t>
      </w:r>
      <w:bookmarkEnd w:id="177"/>
    </w:p>
    <w:p>
      <w:pPr>
        <w:jc w:val="left"/>
        <w:outlineLvl w:val="2"/>
        <w:rPr>
          <w:rFonts w:hint="eastAsia" w:ascii="宋体" w:hAnsi="宋体" w:eastAsia="宋体" w:cs="宋体"/>
          <w:b/>
          <w:bCs/>
          <w:kern w:val="2"/>
          <w:sz w:val="28"/>
          <w:szCs w:val="28"/>
          <w:highlight w:val="none"/>
          <w:lang w:val="en-US" w:eastAsia="zh-CN" w:bidi="ar-SA"/>
        </w:rPr>
      </w:pPr>
      <w:bookmarkStart w:id="185" w:name="_Toc23141"/>
      <w:r>
        <w:rPr>
          <w:rFonts w:hint="eastAsia" w:ascii="宋体" w:hAnsi="宋体" w:eastAsia="宋体" w:cs="宋体"/>
          <w:b/>
          <w:bCs/>
          <w:kern w:val="2"/>
          <w:sz w:val="28"/>
          <w:szCs w:val="28"/>
          <w:highlight w:val="none"/>
          <w:lang w:val="en-US" w:eastAsia="zh-CN" w:bidi="ar-SA"/>
        </w:rPr>
        <w:t>1、资格和符合性审查表</w:t>
      </w:r>
      <w:bookmarkEnd w:id="184"/>
      <w:bookmarkEnd w:id="185"/>
    </w:p>
    <w:tbl>
      <w:tblPr>
        <w:tblStyle w:val="70"/>
        <w:tblW w:w="86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76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7647" w:type="dxa"/>
            <w:tcBorders>
              <w:lef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具备竞争性磋商文件中规定资格要求的及资格证明文件齐全；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按照竞争性磋商文件规定要求签署、盖章且响应文件有法定代表人签字，或签字人有法定代表人有效授权书的；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首次报价未超过本项目的最高限价；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响应文件没有竞争性磋商文件中规定的其它无效响应条款的；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990" w:type="dxa"/>
            <w:tcBorders>
              <w:right w:val="single" w:color="auto" w:sz="4" w:space="0"/>
            </w:tcBorders>
            <w:noWrap w:val="0"/>
            <w:vAlign w:val="center"/>
          </w:tcPr>
          <w:p>
            <w:pPr>
              <w:widowControl w:val="0"/>
              <w:numPr>
                <w:ilvl w:val="0"/>
                <w:numId w:val="1"/>
              </w:numPr>
              <w:tabs>
                <w:tab w:val="left" w:pos="420"/>
                <w:tab w:val="left" w:pos="612"/>
              </w:tabs>
              <w:jc w:val="center"/>
              <w:rPr>
                <w:rFonts w:hint="eastAsia" w:ascii="宋体" w:hAnsi="宋体" w:eastAsia="宋体" w:cs="宋体"/>
                <w:sz w:val="21"/>
                <w:szCs w:val="21"/>
              </w:rPr>
            </w:pPr>
          </w:p>
        </w:tc>
        <w:tc>
          <w:tcPr>
            <w:tcW w:w="7647" w:type="dxa"/>
            <w:tcBorders>
              <w:left w:val="single" w:color="auto" w:sz="4" w:space="0"/>
            </w:tcBorders>
            <w:noWrap w:val="0"/>
            <w:vAlign w:val="center"/>
          </w:tcPr>
          <w:p>
            <w:pPr>
              <w:snapToGrid w:val="0"/>
              <w:spacing w:line="360" w:lineRule="auto"/>
              <w:jc w:val="both"/>
              <w:rPr>
                <w:rFonts w:hint="eastAsia" w:ascii="宋体" w:hAnsi="宋体" w:eastAsia="宋体" w:cs="宋体"/>
                <w:bCs/>
                <w:sz w:val="21"/>
                <w:szCs w:val="21"/>
              </w:rPr>
            </w:pPr>
            <w:r>
              <w:rPr>
                <w:rFonts w:hint="eastAsia" w:ascii="宋体" w:hAnsi="宋体" w:eastAsia="宋体" w:cs="宋体"/>
                <w:bCs/>
                <w:sz w:val="21"/>
                <w:szCs w:val="21"/>
              </w:rPr>
              <w:t>按有关法律、法规、规章不属于响应无效的。</w:t>
            </w:r>
          </w:p>
        </w:tc>
      </w:tr>
    </w:tbl>
    <w:p>
      <w:pPr>
        <w:tabs>
          <w:tab w:val="left" w:pos="450"/>
        </w:tabs>
        <w:rPr>
          <w:rStyle w:val="73"/>
          <w:rFonts w:hint="eastAsia" w:ascii="宋体" w:hAnsi="宋体" w:eastAsia="宋体" w:cs="宋体"/>
          <w:b w:val="0"/>
          <w:bCs w:val="0"/>
          <w:sz w:val="28"/>
          <w:szCs w:val="28"/>
          <w:highlight w:val="none"/>
        </w:rPr>
      </w:pPr>
    </w:p>
    <w:bookmarkEnd w:id="178"/>
    <w:bookmarkEnd w:id="179"/>
    <w:bookmarkEnd w:id="180"/>
    <w:bookmarkEnd w:id="181"/>
    <w:bookmarkEnd w:id="182"/>
    <w:bookmarkEnd w:id="183"/>
    <w:p>
      <w:pPr>
        <w:pStyle w:val="5"/>
        <w:spacing w:before="120" w:after="120" w:line="240" w:lineRule="auto"/>
        <w:jc w:val="left"/>
        <w:rPr>
          <w:rFonts w:hint="eastAsia" w:ascii="宋体" w:hAnsi="宋体" w:eastAsia="宋体" w:cs="宋体"/>
          <w:b/>
          <w:bCs/>
          <w:sz w:val="28"/>
          <w:szCs w:val="28"/>
          <w:highlight w:val="none"/>
          <w:lang w:val="en-US" w:eastAsia="zh-CN"/>
        </w:rPr>
      </w:pPr>
      <w:bookmarkStart w:id="186" w:name="_Toc37919850"/>
      <w:bookmarkStart w:id="187" w:name="_Toc531617869"/>
      <w:bookmarkStart w:id="188" w:name="_Toc14528"/>
      <w:bookmarkStart w:id="189" w:name="_Toc18056"/>
      <w:bookmarkStart w:id="190" w:name="_Toc19622"/>
      <w:bookmarkStart w:id="191" w:name="_Toc9936"/>
      <w:bookmarkStart w:id="192" w:name="_Toc30226"/>
      <w:bookmarkStart w:id="193" w:name="_Toc497076497"/>
      <w:bookmarkStart w:id="194" w:name="_Toc2830"/>
      <w:bookmarkStart w:id="195" w:name="_Toc22021"/>
      <w:bookmarkStart w:id="196" w:name="_Toc10626"/>
      <w:bookmarkStart w:id="197" w:name="_Toc49930304"/>
      <w:bookmarkStart w:id="198" w:name="_Toc492999689"/>
      <w:bookmarkStart w:id="199" w:name="_Toc5338"/>
      <w:bookmarkStart w:id="200" w:name="_Toc3386996"/>
      <w:r>
        <w:rPr>
          <w:rFonts w:hint="eastAsia" w:ascii="宋体" w:hAnsi="宋体" w:eastAsia="宋体" w:cs="宋体"/>
          <w:b/>
          <w:bCs/>
          <w:sz w:val="36"/>
          <w:szCs w:val="36"/>
          <w:highlight w:val="none"/>
        </w:rPr>
        <w:br w:type="page"/>
      </w:r>
      <w:bookmarkStart w:id="201" w:name="_Toc23791"/>
      <w:r>
        <w:rPr>
          <w:rFonts w:hint="eastAsia" w:ascii="宋体" w:hAnsi="宋体" w:eastAsia="宋体" w:cs="宋体"/>
          <w:b/>
          <w:bCs/>
          <w:sz w:val="28"/>
          <w:szCs w:val="28"/>
          <w:highlight w:val="none"/>
          <w:lang w:val="en-US" w:eastAsia="zh-CN"/>
        </w:rPr>
        <w:t>2、技术评分细则</w:t>
      </w:r>
      <w:r>
        <w:rPr>
          <w:rFonts w:hint="eastAsia" w:ascii="宋体" w:hAnsi="宋体" w:cs="宋体"/>
          <w:b/>
          <w:bCs/>
          <w:sz w:val="28"/>
          <w:szCs w:val="28"/>
          <w:highlight w:val="none"/>
          <w:lang w:val="en-US" w:eastAsia="zh-CN"/>
        </w:rPr>
        <w:t>（66</w:t>
      </w:r>
      <w:r>
        <w:rPr>
          <w:rFonts w:hint="eastAsia" w:ascii="宋体" w:hAnsi="宋体" w:eastAsia="宋体" w:cs="宋体"/>
          <w:b/>
          <w:bCs/>
          <w:sz w:val="28"/>
          <w:szCs w:val="28"/>
          <w:highlight w:val="none"/>
          <w:lang w:val="en-US" w:eastAsia="zh-CN"/>
        </w:rPr>
        <w:t>分</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hint="eastAsia" w:ascii="宋体" w:hAnsi="宋体" w:cs="宋体"/>
          <w:b/>
          <w:bCs/>
          <w:sz w:val="28"/>
          <w:szCs w:val="28"/>
          <w:highlight w:val="none"/>
          <w:lang w:val="en-US" w:eastAsia="zh-CN"/>
        </w:rPr>
        <w:t>）</w:t>
      </w:r>
      <w:bookmarkEnd w:id="201"/>
    </w:p>
    <w:tbl>
      <w:tblPr>
        <w:tblStyle w:val="70"/>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96" w:type="dxa"/>
            <w:noWrap w:val="0"/>
            <w:vAlign w:val="center"/>
          </w:tcPr>
          <w:p>
            <w:pPr>
              <w:adjustRightInd w:val="0"/>
              <w:snapToGrid w:val="0"/>
              <w:spacing w:line="360" w:lineRule="auto"/>
              <w:jc w:val="center"/>
              <w:rPr>
                <w:rFonts w:hint="eastAsia" w:ascii="宋体" w:hAnsi="宋体" w:eastAsia="宋体" w:cs="宋体"/>
                <w:b/>
                <w:bCs/>
                <w:snapToGrid w:val="0"/>
                <w:kern w:val="0"/>
                <w:sz w:val="21"/>
                <w:szCs w:val="21"/>
                <w:highlight w:val="none"/>
              </w:rPr>
            </w:pPr>
            <w:bookmarkStart w:id="202" w:name="_Toc435371799"/>
            <w:r>
              <w:rPr>
                <w:rFonts w:hint="eastAsia" w:ascii="宋体" w:hAnsi="宋体" w:eastAsia="宋体" w:cs="宋体"/>
                <w:b/>
                <w:bCs/>
                <w:snapToGrid w:val="0"/>
                <w:kern w:val="0"/>
                <w:sz w:val="21"/>
                <w:szCs w:val="21"/>
                <w:highlight w:val="none"/>
              </w:rPr>
              <w:t>评分项目</w:t>
            </w:r>
          </w:p>
        </w:tc>
        <w:tc>
          <w:tcPr>
            <w:tcW w:w="7262" w:type="dxa"/>
            <w:noWrap w:val="0"/>
            <w:vAlign w:val="center"/>
          </w:tcPr>
          <w:p>
            <w:pPr>
              <w:adjustRightInd w:val="0"/>
              <w:snapToGrid w:val="0"/>
              <w:spacing w:line="360" w:lineRule="auto"/>
              <w:jc w:val="center"/>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496" w:type="dxa"/>
            <w:noWrap w:val="0"/>
            <w:vAlign w:val="center"/>
          </w:tcPr>
          <w:p>
            <w:pPr>
              <w:keepLines/>
              <w:widowControl/>
              <w:tabs>
                <w:tab w:val="left" w:pos="567"/>
              </w:tabs>
              <w:snapToGrid w:val="0"/>
              <w:spacing w:line="360" w:lineRule="auto"/>
              <w:jc w:val="center"/>
              <w:rPr>
                <w:rFonts w:hint="eastAsia" w:ascii="宋体" w:hAnsi="宋体" w:eastAsia="宋体"/>
              </w:rPr>
            </w:pPr>
            <w:r>
              <w:rPr>
                <w:rFonts w:hint="eastAsia" w:ascii="宋体" w:hAnsi="宋体" w:eastAsia="宋体"/>
              </w:rPr>
              <w:t>重要技术参数</w:t>
            </w:r>
          </w:p>
          <w:p>
            <w:pPr>
              <w:keepLines/>
              <w:widowControl/>
              <w:tabs>
                <w:tab w:val="left" w:pos="567"/>
              </w:tabs>
              <w:snapToGrid w:val="0"/>
              <w:spacing w:line="360" w:lineRule="auto"/>
              <w:jc w:val="center"/>
              <w:rPr>
                <w:rFonts w:hint="eastAsia" w:ascii="宋体" w:hAnsi="宋体" w:eastAsia="宋体" w:cs="宋体"/>
                <w:kern w:val="0"/>
                <w:sz w:val="21"/>
                <w:szCs w:val="21"/>
                <w:highlight w:val="none"/>
                <w:lang w:eastAsia="zh-CN"/>
              </w:rPr>
            </w:pPr>
            <w:r>
              <w:rPr>
                <w:rFonts w:hint="eastAsia" w:ascii="宋体" w:hAnsi="宋体"/>
                <w:lang w:eastAsia="zh-CN"/>
              </w:rPr>
              <w:t>（</w:t>
            </w:r>
            <w:r>
              <w:rPr>
                <w:rFonts w:ascii="宋体" w:hAnsi="宋体" w:eastAsia="宋体"/>
              </w:rPr>
              <w:t>30分</w:t>
            </w:r>
            <w:r>
              <w:rPr>
                <w:rFonts w:hint="eastAsia" w:ascii="宋体" w:hAnsi="宋体"/>
                <w:lang w:eastAsia="zh-CN"/>
              </w:rPr>
              <w:t>）</w:t>
            </w:r>
          </w:p>
        </w:tc>
        <w:tc>
          <w:tcPr>
            <w:tcW w:w="7262" w:type="dxa"/>
            <w:noWrap w:val="0"/>
            <w:vAlign w:val="center"/>
          </w:tcPr>
          <w:p>
            <w:pPr>
              <w:keepNext w:val="0"/>
              <w:keepLines w:val="0"/>
              <w:pageBreakBefore w:val="0"/>
              <w:widowControl w:val="0"/>
              <w:kinsoku/>
              <w:wordWrap/>
              <w:overflowPunct/>
              <w:topLinePunct w:val="0"/>
              <w:bidi w:val="0"/>
              <w:snapToGrid/>
              <w:spacing w:line="360" w:lineRule="auto"/>
              <w:textAlignment w:val="auto"/>
              <w:rPr>
                <w:rFonts w:ascii="宋体" w:hAnsi="宋体" w:eastAsia="宋体"/>
              </w:rPr>
            </w:pPr>
            <w:r>
              <w:rPr>
                <w:rFonts w:hint="eastAsia" w:ascii="宋体" w:hAnsi="宋体" w:eastAsia="宋体"/>
              </w:rPr>
              <w:t>根据各</w:t>
            </w:r>
            <w:r>
              <w:rPr>
                <w:rFonts w:hint="eastAsia" w:ascii="宋体" w:hAnsi="宋体" w:eastAsia="宋体"/>
                <w:lang w:eastAsia="zh-CN"/>
              </w:rPr>
              <w:t>供应商</w:t>
            </w:r>
            <w:r>
              <w:rPr>
                <w:rFonts w:hint="eastAsia" w:ascii="宋体" w:hAnsi="宋体"/>
                <w:lang w:val="en-US" w:eastAsia="zh-CN"/>
              </w:rPr>
              <w:t>所投</w:t>
            </w:r>
            <w:r>
              <w:rPr>
                <w:rFonts w:hint="eastAsia" w:ascii="宋体" w:hAnsi="宋体" w:eastAsia="宋体"/>
              </w:rPr>
              <w:t>产品对</w:t>
            </w:r>
            <w:r>
              <w:rPr>
                <w:rFonts w:hint="eastAsia" w:ascii="宋体" w:hAnsi="宋体" w:eastAsia="宋体"/>
                <w:lang w:eastAsia="zh-CN"/>
              </w:rPr>
              <w:t>磋商文件</w:t>
            </w:r>
            <w:r>
              <w:rPr>
                <w:rFonts w:hint="eastAsia" w:ascii="宋体" w:hAnsi="宋体" w:cs="宋体"/>
                <w:szCs w:val="21"/>
              </w:rPr>
              <w:t>第四</w:t>
            </w:r>
            <w:r>
              <w:rPr>
                <w:rFonts w:hint="eastAsia" w:ascii="宋体" w:hAnsi="宋体" w:cs="宋体"/>
                <w:szCs w:val="21"/>
                <w:lang w:val="en-US" w:eastAsia="zh-CN"/>
              </w:rPr>
              <w:t>部分</w:t>
            </w:r>
            <w:r>
              <w:rPr>
                <w:rFonts w:hint="eastAsia" w:ascii="宋体" w:hAnsi="宋体" w:cs="宋体"/>
                <w:szCs w:val="21"/>
              </w:rPr>
              <w:t>用户需求书</w:t>
            </w:r>
            <w:r>
              <w:rPr>
                <w:rFonts w:hint="eastAsia" w:ascii="宋体" w:hAnsi="宋体" w:eastAsia="宋体"/>
              </w:rPr>
              <w:t>“</w:t>
            </w:r>
            <w:r>
              <w:rPr>
                <w:rFonts w:ascii="宋体" w:hAnsi="宋体" w:eastAsia="宋体"/>
              </w:rPr>
              <w:t>租赁清单及技术参数要求</w:t>
            </w:r>
            <w:r>
              <w:rPr>
                <w:rFonts w:hint="eastAsia" w:ascii="宋体" w:hAnsi="宋体" w:eastAsia="宋体"/>
              </w:rPr>
              <w:t>”的技术参数中</w:t>
            </w:r>
            <w:r>
              <w:rPr>
                <w:rFonts w:hint="eastAsia" w:ascii="宋体" w:hAnsi="宋体"/>
                <w:lang w:val="en-US" w:eastAsia="zh-CN"/>
              </w:rPr>
              <w:t>标记</w:t>
            </w:r>
            <w:r>
              <w:rPr>
                <w:rFonts w:hint="eastAsia" w:ascii="宋体" w:hAnsi="宋体" w:eastAsia="宋体"/>
              </w:rPr>
              <w:t>“▲”关键指标参数的响应程度进行评分：</w:t>
            </w:r>
            <w:r>
              <w:t>完全响应或有正偏离的</w:t>
            </w:r>
            <w:r>
              <w:rPr>
                <w:rFonts w:ascii="宋体" w:hAnsi="宋体" w:eastAsia="宋体"/>
              </w:rPr>
              <w:t>得30分</w:t>
            </w:r>
            <w:r>
              <w:rPr>
                <w:rFonts w:hint="eastAsia" w:ascii="宋体" w:hAnsi="宋体"/>
                <w:lang w:eastAsia="zh-CN"/>
              </w:rPr>
              <w:t>，</w:t>
            </w:r>
            <w:r>
              <w:rPr>
                <w:rFonts w:ascii="宋体" w:hAnsi="宋体" w:eastAsia="宋体"/>
              </w:rPr>
              <w:t>每有一项参数</w:t>
            </w:r>
            <w:r>
              <w:t>负偏离或未响应</w:t>
            </w:r>
            <w:r>
              <w:rPr>
                <w:rFonts w:ascii="宋体" w:hAnsi="宋体" w:eastAsia="宋体"/>
              </w:rPr>
              <w:t>的扣1.5分</w:t>
            </w:r>
            <w:r>
              <w:rPr>
                <w:rFonts w:hint="eastAsia" w:ascii="宋体" w:hAnsi="宋体"/>
                <w:lang w:eastAsia="zh-CN"/>
              </w:rPr>
              <w:t>，</w:t>
            </w:r>
            <w:r>
              <w:rPr>
                <w:rFonts w:ascii="宋体" w:hAnsi="宋体" w:eastAsia="宋体"/>
              </w:rPr>
              <w:t>扣完即止。</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kern w:val="0"/>
                <w:sz w:val="21"/>
                <w:szCs w:val="21"/>
                <w:highlight w:val="none"/>
              </w:rPr>
            </w:pPr>
            <w:r>
              <w:rPr>
                <w:rFonts w:ascii="宋体" w:hAnsi="宋体" w:eastAsia="宋体"/>
                <w:b/>
                <w:bCs/>
              </w:rPr>
              <w:t>注：</w:t>
            </w:r>
            <w:r>
              <w:rPr>
                <w:rFonts w:ascii="宋体" w:hAnsi="宋体" w:eastAsia="宋体"/>
              </w:rPr>
              <w:t>对</w:t>
            </w:r>
            <w:r>
              <w:rPr>
                <w:rFonts w:hint="eastAsia" w:ascii="宋体" w:hAnsi="宋体" w:eastAsia="宋体"/>
              </w:rPr>
              <w:t>于技术要求中参数响应，用户需求书中要求提供证明资料的，则</w:t>
            </w:r>
            <w:r>
              <w:rPr>
                <w:rFonts w:hint="eastAsia" w:ascii="宋体" w:hAnsi="宋体" w:eastAsia="宋体"/>
                <w:lang w:eastAsia="zh-CN"/>
              </w:rPr>
              <w:t>响应文件</w:t>
            </w:r>
            <w:r>
              <w:rPr>
                <w:rFonts w:hint="eastAsia" w:ascii="宋体" w:hAnsi="宋体" w:eastAsia="宋体"/>
              </w:rPr>
              <w:t>中须提供对应技术条款的证明资料，否则不得分。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96" w:type="dxa"/>
            <w:noWrap w:val="0"/>
            <w:vAlign w:val="center"/>
          </w:tcPr>
          <w:p>
            <w:pPr>
              <w:jc w:val="center"/>
              <w:rPr>
                <w:rFonts w:hint="eastAsia" w:ascii="宋体" w:hAnsi="宋体" w:eastAsia="宋体"/>
              </w:rPr>
            </w:pPr>
            <w:r>
              <w:rPr>
                <w:rFonts w:hint="eastAsia" w:ascii="宋体" w:hAnsi="宋体" w:eastAsia="宋体"/>
              </w:rPr>
              <w:t>一般技术参数</w:t>
            </w:r>
          </w:p>
          <w:p>
            <w:pPr>
              <w:jc w:val="center"/>
              <w:rPr>
                <w:rFonts w:hint="eastAsia" w:ascii="宋体" w:hAnsi="宋体" w:eastAsia="宋体" w:cs="宋体"/>
                <w:kern w:val="0"/>
                <w:sz w:val="21"/>
                <w:szCs w:val="21"/>
                <w:highlight w:val="none"/>
                <w:lang w:eastAsia="zh-CN"/>
              </w:rPr>
            </w:pPr>
            <w:r>
              <w:rPr>
                <w:rFonts w:hint="eastAsia" w:ascii="宋体" w:hAnsi="宋体"/>
                <w:lang w:eastAsia="zh-CN"/>
              </w:rPr>
              <w:t>（</w:t>
            </w:r>
            <w:r>
              <w:rPr>
                <w:rFonts w:ascii="宋体" w:hAnsi="宋体" w:eastAsia="宋体"/>
              </w:rPr>
              <w:t>10分</w:t>
            </w:r>
            <w:r>
              <w:rPr>
                <w:rFonts w:hint="eastAsia" w:ascii="宋体" w:hAnsi="宋体"/>
                <w:lang w:eastAsia="zh-CN"/>
              </w:rPr>
              <w:t>）</w:t>
            </w:r>
          </w:p>
        </w:tc>
        <w:tc>
          <w:tcPr>
            <w:tcW w:w="7262" w:type="dxa"/>
            <w:noWrap w:val="0"/>
            <w:vAlign w:val="top"/>
          </w:tcPr>
          <w:p>
            <w:pPr>
              <w:keepNext w:val="0"/>
              <w:keepLines w:val="0"/>
              <w:pageBreakBefore w:val="0"/>
              <w:widowControl w:val="0"/>
              <w:kinsoku/>
              <w:wordWrap/>
              <w:overflowPunct/>
              <w:topLinePunct w:val="0"/>
              <w:bidi w:val="0"/>
              <w:snapToGrid/>
              <w:spacing w:line="360" w:lineRule="auto"/>
              <w:textAlignment w:val="auto"/>
              <w:rPr>
                <w:rFonts w:ascii="宋体" w:hAnsi="宋体" w:eastAsia="宋体"/>
              </w:rPr>
            </w:pPr>
            <w:r>
              <w:rPr>
                <w:rFonts w:hint="eastAsia" w:ascii="宋体" w:hAnsi="宋体" w:eastAsia="宋体"/>
              </w:rPr>
              <w:t>根据各</w:t>
            </w:r>
            <w:r>
              <w:rPr>
                <w:rFonts w:hint="eastAsia" w:ascii="宋体" w:hAnsi="宋体"/>
                <w:lang w:eastAsia="zh-CN"/>
              </w:rPr>
              <w:t>供应商</w:t>
            </w:r>
            <w:r>
              <w:rPr>
                <w:rFonts w:hint="eastAsia" w:ascii="宋体" w:hAnsi="宋体" w:eastAsia="宋体"/>
              </w:rPr>
              <w:t>拟投标产品对</w:t>
            </w:r>
            <w:r>
              <w:rPr>
                <w:rFonts w:hint="eastAsia" w:ascii="宋体" w:hAnsi="宋体"/>
                <w:lang w:eastAsia="zh-CN"/>
              </w:rPr>
              <w:t>磋商文件</w:t>
            </w:r>
            <w:r>
              <w:rPr>
                <w:rFonts w:hint="eastAsia" w:ascii="宋体" w:hAnsi="宋体" w:cs="宋体"/>
                <w:szCs w:val="21"/>
              </w:rPr>
              <w:t>第四</w:t>
            </w:r>
            <w:r>
              <w:rPr>
                <w:rFonts w:hint="eastAsia" w:ascii="宋体" w:hAnsi="宋体" w:cs="宋体"/>
                <w:szCs w:val="21"/>
                <w:lang w:val="en-US" w:eastAsia="zh-CN"/>
              </w:rPr>
              <w:t>部分</w:t>
            </w:r>
            <w:r>
              <w:rPr>
                <w:rFonts w:hint="eastAsia" w:ascii="宋体" w:hAnsi="宋体" w:cs="宋体"/>
                <w:szCs w:val="21"/>
              </w:rPr>
              <w:t>用户需求书</w:t>
            </w:r>
            <w:r>
              <w:rPr>
                <w:rFonts w:hint="eastAsia" w:ascii="宋体" w:hAnsi="宋体" w:eastAsia="宋体"/>
              </w:rPr>
              <w:t>“</w:t>
            </w:r>
            <w:r>
              <w:rPr>
                <w:rFonts w:ascii="宋体" w:hAnsi="宋体" w:eastAsia="宋体"/>
              </w:rPr>
              <w:t>租赁清单及技术参数要求</w:t>
            </w:r>
            <w:r>
              <w:rPr>
                <w:rFonts w:hint="eastAsia" w:ascii="宋体" w:hAnsi="宋体" w:eastAsia="宋体"/>
              </w:rPr>
              <w:t>”的技术参数中一般参数</w:t>
            </w:r>
            <w:r>
              <w:rPr>
                <w:rFonts w:hint="eastAsia" w:ascii="宋体" w:hAnsi="宋体"/>
                <w:lang w:eastAsia="zh-CN"/>
              </w:rPr>
              <w:t>（</w:t>
            </w:r>
            <w:r>
              <w:rPr>
                <w:rFonts w:hint="eastAsia" w:ascii="宋体" w:hAnsi="宋体" w:eastAsia="宋体"/>
              </w:rPr>
              <w:t>非</w:t>
            </w:r>
            <w:r>
              <w:rPr>
                <w:rFonts w:ascii="宋体" w:hAnsi="宋体" w:eastAsia="宋体"/>
              </w:rPr>
              <w:t>“★、▲”参</w:t>
            </w:r>
            <w:r>
              <w:rPr>
                <w:rFonts w:hint="eastAsia" w:ascii="宋体" w:hAnsi="宋体" w:eastAsia="宋体"/>
              </w:rPr>
              <w:t>数</w:t>
            </w:r>
            <w:r>
              <w:rPr>
                <w:rFonts w:hint="eastAsia" w:ascii="宋体" w:hAnsi="宋体"/>
                <w:lang w:eastAsia="zh-CN"/>
              </w:rPr>
              <w:t>）</w:t>
            </w:r>
            <w:r>
              <w:rPr>
                <w:rFonts w:hint="eastAsia" w:ascii="宋体" w:hAnsi="宋体" w:eastAsia="宋体"/>
              </w:rPr>
              <w:t>的响应程度进行评分：</w:t>
            </w:r>
            <w:r>
              <w:t>完全响应或有正偏离的</w:t>
            </w:r>
            <w:r>
              <w:rPr>
                <w:rFonts w:ascii="宋体" w:hAnsi="宋体" w:eastAsia="宋体"/>
              </w:rPr>
              <w:t>得10分</w:t>
            </w:r>
            <w:r>
              <w:rPr>
                <w:rFonts w:hint="eastAsia" w:ascii="宋体" w:hAnsi="宋体"/>
                <w:lang w:eastAsia="zh-CN"/>
              </w:rPr>
              <w:t>，</w:t>
            </w:r>
            <w:r>
              <w:rPr>
                <w:rFonts w:ascii="宋体" w:hAnsi="宋体" w:eastAsia="宋体"/>
              </w:rPr>
              <w:t>每有一项参数</w:t>
            </w:r>
            <w:r>
              <w:t>负偏离或未响应</w:t>
            </w:r>
            <w:r>
              <w:rPr>
                <w:rFonts w:ascii="宋体" w:hAnsi="宋体" w:eastAsia="宋体"/>
              </w:rPr>
              <w:t>的扣0.5</w:t>
            </w:r>
            <w:r>
              <w:rPr>
                <w:rFonts w:hint="eastAsia" w:ascii="宋体" w:hAnsi="宋体" w:eastAsia="宋体"/>
              </w:rPr>
              <w:t>分</w:t>
            </w:r>
            <w:r>
              <w:rPr>
                <w:rFonts w:hint="eastAsia" w:ascii="宋体" w:hAnsi="宋体"/>
                <w:lang w:eastAsia="zh-CN"/>
              </w:rPr>
              <w:t>，</w:t>
            </w:r>
            <w:r>
              <w:rPr>
                <w:rFonts w:ascii="宋体" w:hAnsi="宋体" w:eastAsia="宋体"/>
              </w:rPr>
              <w:t>扣完即止。</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kern w:val="0"/>
                <w:sz w:val="21"/>
                <w:szCs w:val="21"/>
                <w:highlight w:val="none"/>
              </w:rPr>
            </w:pPr>
            <w:r>
              <w:rPr>
                <w:rFonts w:ascii="宋体" w:hAnsi="宋体" w:eastAsia="宋体"/>
                <w:b/>
                <w:bCs/>
              </w:rPr>
              <w:t>注：</w:t>
            </w:r>
            <w:r>
              <w:rPr>
                <w:rFonts w:ascii="宋体" w:hAnsi="宋体" w:eastAsia="宋体"/>
              </w:rPr>
              <w:t>对于技术要求中参数响应，用户需求书中要求提供证</w:t>
            </w:r>
            <w:r>
              <w:rPr>
                <w:rFonts w:hint="eastAsia" w:ascii="宋体" w:hAnsi="宋体" w:eastAsia="宋体"/>
              </w:rPr>
              <w:t>明资料的，则</w:t>
            </w:r>
            <w:r>
              <w:rPr>
                <w:rFonts w:hint="eastAsia" w:ascii="宋体" w:hAnsi="宋体"/>
                <w:lang w:eastAsia="zh-CN"/>
              </w:rPr>
              <w:t>响应文件</w:t>
            </w:r>
            <w:r>
              <w:rPr>
                <w:rFonts w:hint="eastAsia" w:ascii="宋体" w:hAnsi="宋体" w:eastAsia="宋体"/>
              </w:rPr>
              <w:t>中须提供对应技术条款的证明资料；未要求提供证明资料的，在《技术和服务要求响应表》中响应，并加盖</w:t>
            </w:r>
            <w:r>
              <w:rPr>
                <w:rFonts w:hint="eastAsia" w:ascii="宋体" w:hAnsi="宋体"/>
                <w:lang w:eastAsia="zh-CN"/>
              </w:rPr>
              <w:t>供应商</w:t>
            </w:r>
            <w:r>
              <w:rPr>
                <w:rFonts w:hint="eastAsia" w:ascii="宋体" w:hAnsi="宋体" w:eastAsia="宋体"/>
              </w:rPr>
              <w:t>公章，视为已响应。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1496" w:type="dxa"/>
            <w:noWrap w:val="0"/>
            <w:vAlign w:val="center"/>
          </w:tcPr>
          <w:p>
            <w:pPr>
              <w:jc w:val="center"/>
              <w:rPr>
                <w:rFonts w:hint="eastAsia" w:ascii="宋体" w:hAnsi="宋体" w:eastAsia="宋体"/>
              </w:rPr>
            </w:pPr>
            <w:r>
              <w:rPr>
                <w:rFonts w:hint="eastAsia" w:ascii="宋体" w:hAnsi="宋体" w:eastAsia="宋体"/>
              </w:rPr>
              <w:t>整体系统集成技术方案响应情况</w:t>
            </w:r>
          </w:p>
          <w:p>
            <w:pPr>
              <w:jc w:val="center"/>
              <w:rPr>
                <w:rFonts w:hint="eastAsia" w:ascii="宋体" w:hAnsi="宋体" w:eastAsia="宋体" w:cs="宋体"/>
                <w:kern w:val="0"/>
                <w:sz w:val="21"/>
                <w:szCs w:val="21"/>
                <w:highlight w:val="none"/>
                <w:lang w:eastAsia="zh-CN"/>
              </w:rPr>
            </w:pPr>
            <w:r>
              <w:rPr>
                <w:rFonts w:hint="eastAsia" w:ascii="宋体" w:hAnsi="宋体"/>
                <w:lang w:eastAsia="zh-CN"/>
              </w:rPr>
              <w:t>（</w:t>
            </w:r>
            <w:r>
              <w:rPr>
                <w:rFonts w:ascii="宋体" w:hAnsi="宋体" w:eastAsia="宋体"/>
              </w:rPr>
              <w:t>1</w:t>
            </w:r>
            <w:r>
              <w:rPr>
                <w:rFonts w:hint="eastAsia" w:ascii="宋体" w:hAnsi="宋体" w:eastAsia="宋体"/>
              </w:rPr>
              <w:t>2分</w:t>
            </w:r>
            <w:r>
              <w:rPr>
                <w:rFonts w:hint="eastAsia" w:ascii="宋体" w:hAnsi="宋体"/>
                <w:lang w:eastAsia="zh-CN"/>
              </w:rPr>
              <w:t>）</w:t>
            </w:r>
          </w:p>
        </w:tc>
        <w:tc>
          <w:tcPr>
            <w:tcW w:w="7262" w:type="dxa"/>
            <w:noWrap w:val="0"/>
            <w:vAlign w:val="top"/>
          </w:tcPr>
          <w:p>
            <w:pPr>
              <w:keepNext w:val="0"/>
              <w:keepLines w:val="0"/>
              <w:pageBreakBefore w:val="0"/>
              <w:widowControl w:val="0"/>
              <w:kinsoku/>
              <w:wordWrap/>
              <w:overflowPunct/>
              <w:topLinePunct w:val="0"/>
              <w:bidi w:val="0"/>
              <w:snapToGrid/>
              <w:spacing w:line="360" w:lineRule="auto"/>
              <w:textAlignment w:val="auto"/>
              <w:rPr>
                <w:rFonts w:ascii="宋体" w:hAnsi="宋体" w:eastAsia="宋体"/>
              </w:rPr>
            </w:pPr>
            <w:r>
              <w:rPr>
                <w:rFonts w:hint="eastAsia" w:ascii="宋体" w:hAnsi="宋体" w:eastAsia="宋体"/>
              </w:rPr>
              <w:t>对各</w:t>
            </w:r>
            <w:r>
              <w:rPr>
                <w:rFonts w:hint="eastAsia" w:ascii="宋体" w:hAnsi="宋体"/>
                <w:lang w:eastAsia="zh-CN"/>
              </w:rPr>
              <w:t>供应商</w:t>
            </w:r>
            <w:r>
              <w:rPr>
                <w:rFonts w:hint="eastAsia" w:ascii="宋体" w:hAnsi="宋体" w:eastAsia="宋体"/>
              </w:rPr>
              <w:t>提供的系统整体技术方案进行评审：</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lang w:eastAsia="zh-CN"/>
              </w:rPr>
            </w:pPr>
            <w:r>
              <w:rPr>
                <w:rFonts w:hint="eastAsia" w:ascii="宋体" w:hAnsi="宋体" w:eastAsia="宋体"/>
              </w:rPr>
              <w:t>优</w:t>
            </w:r>
            <w:r>
              <w:rPr>
                <w:rFonts w:hint="eastAsia" w:ascii="宋体" w:hAnsi="宋体"/>
                <w:lang w:eastAsia="zh-CN"/>
              </w:rPr>
              <w:t>（</w:t>
            </w:r>
            <w:r>
              <w:rPr>
                <w:rFonts w:ascii="宋体" w:hAnsi="宋体" w:eastAsia="宋体"/>
              </w:rPr>
              <w:t>1</w:t>
            </w:r>
            <w:r>
              <w:rPr>
                <w:rFonts w:hint="eastAsia" w:ascii="宋体" w:hAnsi="宋体" w:eastAsia="宋体"/>
              </w:rPr>
              <w:t>2分</w:t>
            </w:r>
            <w:r>
              <w:rPr>
                <w:rFonts w:hint="eastAsia" w:ascii="宋体" w:hAnsi="宋体"/>
                <w:lang w:eastAsia="zh-CN"/>
              </w:rPr>
              <w:t>）</w:t>
            </w:r>
            <w:r>
              <w:rPr>
                <w:rFonts w:hint="eastAsia" w:ascii="宋体" w:hAnsi="宋体" w:eastAsia="宋体"/>
              </w:rPr>
              <w:t>：</w:t>
            </w:r>
            <w:r>
              <w:rPr>
                <w:rFonts w:hint="eastAsia" w:ascii="宋体" w:hAnsi="宋体"/>
                <w:lang w:eastAsia="zh-CN"/>
              </w:rPr>
              <w:t>响应文件</w:t>
            </w:r>
            <w:r>
              <w:rPr>
                <w:rFonts w:hint="eastAsia" w:ascii="宋体" w:hAnsi="宋体" w:eastAsia="宋体"/>
              </w:rPr>
              <w:t>包含的系统整体方案</w:t>
            </w:r>
            <w:r>
              <w:rPr>
                <w:rFonts w:hint="eastAsia" w:ascii="宋体" w:hAnsi="宋体" w:eastAsia="宋体" w:cs="Times New Roman"/>
                <w:kern w:val="2"/>
                <w:sz w:val="21"/>
                <w:szCs w:val="21"/>
                <w:lang w:val="en-US" w:eastAsia="zh-CN"/>
              </w:rPr>
              <w:t>全面具体</w:t>
            </w:r>
            <w:r>
              <w:rPr>
                <w:rFonts w:hint="eastAsia" w:ascii="宋体" w:hAnsi="宋体" w:eastAsia="宋体" w:cs="Times New Roman"/>
                <w:kern w:val="2"/>
                <w:sz w:val="21"/>
                <w:szCs w:val="21"/>
              </w:rPr>
              <w:t>、</w:t>
            </w:r>
            <w:r>
              <w:rPr>
                <w:rFonts w:hint="eastAsia"/>
              </w:rPr>
              <w:t>工作重点难点把握精准，</w:t>
            </w:r>
            <w:r>
              <w:rPr>
                <w:rFonts w:hint="eastAsia" w:ascii="宋体" w:hAnsi="宋体" w:eastAsia="宋体"/>
              </w:rPr>
              <w:t>能完全满足</w:t>
            </w:r>
            <w:r>
              <w:rPr>
                <w:rFonts w:hint="eastAsia" w:ascii="宋体" w:hAnsi="宋体"/>
                <w:lang w:eastAsia="zh-CN"/>
              </w:rPr>
              <w:t>磋商文件</w:t>
            </w:r>
            <w:r>
              <w:rPr>
                <w:rFonts w:hint="eastAsia" w:ascii="宋体" w:hAnsi="宋体" w:eastAsia="宋体"/>
              </w:rPr>
              <w:t>的相关技术规范和标准要求</w:t>
            </w:r>
            <w:r>
              <w:rPr>
                <w:rFonts w:hint="eastAsia" w:ascii="宋体" w:hAnsi="宋体"/>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lang w:eastAsia="zh-CN"/>
              </w:rPr>
            </w:pPr>
            <w:r>
              <w:rPr>
                <w:rFonts w:hint="eastAsia" w:ascii="宋体" w:hAnsi="宋体" w:eastAsia="宋体"/>
              </w:rPr>
              <w:t>良</w:t>
            </w:r>
            <w:r>
              <w:rPr>
                <w:rFonts w:hint="eastAsia" w:ascii="宋体" w:hAnsi="宋体"/>
                <w:lang w:eastAsia="zh-CN"/>
              </w:rPr>
              <w:t>（</w:t>
            </w:r>
            <w:r>
              <w:rPr>
                <w:rFonts w:hint="eastAsia" w:ascii="宋体" w:hAnsi="宋体" w:eastAsia="宋体"/>
              </w:rPr>
              <w:t>8分</w:t>
            </w:r>
            <w:r>
              <w:rPr>
                <w:rFonts w:hint="eastAsia" w:ascii="宋体" w:hAnsi="宋体"/>
                <w:lang w:eastAsia="zh-CN"/>
              </w:rPr>
              <w:t>）</w:t>
            </w:r>
            <w:r>
              <w:rPr>
                <w:rFonts w:hint="eastAsia" w:ascii="宋体" w:hAnsi="宋体" w:eastAsia="宋体"/>
              </w:rPr>
              <w:t>：</w:t>
            </w:r>
            <w:r>
              <w:rPr>
                <w:rFonts w:hint="eastAsia" w:ascii="宋体" w:hAnsi="宋体"/>
                <w:lang w:eastAsia="zh-CN"/>
              </w:rPr>
              <w:t>响应文件</w:t>
            </w:r>
            <w:r>
              <w:rPr>
                <w:rFonts w:hint="eastAsia" w:ascii="宋体" w:hAnsi="宋体" w:eastAsia="宋体"/>
              </w:rPr>
              <w:t>包含的系统整体方案</w:t>
            </w:r>
            <w:r>
              <w:rPr>
                <w:rFonts w:hint="eastAsia" w:ascii="宋体" w:hAnsi="宋体" w:eastAsia="宋体" w:cs="Times New Roman"/>
                <w:kern w:val="2"/>
                <w:sz w:val="21"/>
                <w:szCs w:val="21"/>
              </w:rPr>
              <w:t>的认识、理解一般，</w:t>
            </w:r>
            <w:r>
              <w:rPr>
                <w:rFonts w:hint="eastAsia" w:ascii="宋体" w:hAnsi="宋体" w:eastAsia="宋体"/>
              </w:rPr>
              <w:t>能基本满足</w:t>
            </w:r>
            <w:r>
              <w:rPr>
                <w:rFonts w:hint="eastAsia" w:ascii="宋体" w:hAnsi="宋体"/>
                <w:lang w:eastAsia="zh-CN"/>
              </w:rPr>
              <w:t>磋商文件</w:t>
            </w:r>
            <w:r>
              <w:rPr>
                <w:rFonts w:hint="eastAsia" w:ascii="宋体" w:hAnsi="宋体" w:eastAsia="宋体"/>
              </w:rPr>
              <w:t>的相关技术规范和标准要求</w:t>
            </w:r>
            <w:r>
              <w:rPr>
                <w:rFonts w:hint="eastAsia" w:ascii="宋体" w:hAnsi="宋体"/>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lang w:eastAsia="zh-CN"/>
              </w:rPr>
            </w:pPr>
            <w:r>
              <w:rPr>
                <w:rFonts w:hint="eastAsia" w:ascii="宋体" w:hAnsi="宋体" w:eastAsia="宋体"/>
              </w:rPr>
              <w:t>一般</w:t>
            </w:r>
            <w:r>
              <w:rPr>
                <w:rFonts w:hint="eastAsia" w:ascii="宋体" w:hAnsi="宋体"/>
                <w:lang w:eastAsia="zh-CN"/>
              </w:rPr>
              <w:t>（</w:t>
            </w:r>
            <w:r>
              <w:rPr>
                <w:rFonts w:hint="eastAsia" w:ascii="宋体" w:hAnsi="宋体" w:eastAsia="宋体"/>
              </w:rPr>
              <w:t>4分</w:t>
            </w:r>
            <w:r>
              <w:rPr>
                <w:rFonts w:hint="eastAsia" w:ascii="宋体" w:hAnsi="宋体"/>
                <w:lang w:eastAsia="zh-CN"/>
              </w:rPr>
              <w:t>）</w:t>
            </w:r>
            <w:r>
              <w:rPr>
                <w:rFonts w:hint="eastAsia" w:ascii="宋体" w:hAnsi="宋体" w:eastAsia="宋体"/>
              </w:rPr>
              <w:t>：</w:t>
            </w:r>
            <w:r>
              <w:rPr>
                <w:rFonts w:hint="eastAsia" w:ascii="宋体" w:hAnsi="宋体"/>
                <w:lang w:eastAsia="zh-CN"/>
              </w:rPr>
              <w:t>响应文件</w:t>
            </w:r>
            <w:r>
              <w:rPr>
                <w:rFonts w:hint="eastAsia" w:ascii="宋体" w:hAnsi="宋体" w:eastAsia="宋体"/>
              </w:rPr>
              <w:t>包含的系统整体方案</w:t>
            </w:r>
            <w:r>
              <w:rPr>
                <w:rFonts w:hint="eastAsia" w:ascii="宋体" w:hAnsi="宋体" w:eastAsia="宋体" w:cs="Times New Roman"/>
                <w:kern w:val="2"/>
                <w:sz w:val="21"/>
                <w:szCs w:val="21"/>
              </w:rPr>
              <w:t>论述不够清晰，理解</w:t>
            </w:r>
            <w:r>
              <w:rPr>
                <w:rFonts w:hint="eastAsia" w:ascii="宋体" w:hAnsi="宋体" w:eastAsia="宋体" w:cs="Times New Roman"/>
                <w:kern w:val="2"/>
                <w:sz w:val="21"/>
                <w:szCs w:val="21"/>
                <w:lang w:val="en-US" w:eastAsia="zh-CN"/>
              </w:rPr>
              <w:t>不够全面</w:t>
            </w:r>
            <w:r>
              <w:rPr>
                <w:rFonts w:hint="eastAsia" w:ascii="宋体" w:hAnsi="宋体" w:eastAsia="宋体" w:cs="Times New Roman"/>
                <w:kern w:val="2"/>
                <w:sz w:val="21"/>
                <w:szCs w:val="21"/>
              </w:rPr>
              <w:t>，</w:t>
            </w:r>
            <w:r>
              <w:rPr>
                <w:rFonts w:hint="eastAsia" w:ascii="宋体" w:hAnsi="宋体"/>
                <w:lang w:val="en-US" w:eastAsia="zh-CN"/>
              </w:rPr>
              <w:t>仅</w:t>
            </w:r>
            <w:r>
              <w:rPr>
                <w:rFonts w:hint="eastAsia" w:ascii="宋体" w:hAnsi="宋体" w:eastAsia="宋体"/>
              </w:rPr>
              <w:t>部分满足</w:t>
            </w:r>
            <w:r>
              <w:rPr>
                <w:rFonts w:hint="eastAsia" w:ascii="宋体" w:hAnsi="宋体"/>
                <w:lang w:eastAsia="zh-CN"/>
              </w:rPr>
              <w:t>磋商文件</w:t>
            </w:r>
            <w:r>
              <w:rPr>
                <w:rFonts w:hint="eastAsia" w:ascii="宋体" w:hAnsi="宋体" w:eastAsia="宋体"/>
              </w:rPr>
              <w:t>的相关技术规范和标准要求</w:t>
            </w:r>
            <w:r>
              <w:rPr>
                <w:rFonts w:hint="eastAsia" w:ascii="宋体" w:hAnsi="宋体"/>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kern w:val="0"/>
                <w:sz w:val="21"/>
                <w:szCs w:val="21"/>
                <w:highlight w:val="none"/>
              </w:rPr>
            </w:pPr>
            <w:r>
              <w:rPr>
                <w:rFonts w:hint="eastAsia" w:ascii="宋体" w:hAnsi="宋体" w:eastAsia="宋体"/>
              </w:rPr>
              <w:t>差</w:t>
            </w:r>
            <w:r>
              <w:rPr>
                <w:rFonts w:hint="eastAsia" w:ascii="宋体" w:hAnsi="宋体"/>
                <w:lang w:eastAsia="zh-CN"/>
              </w:rPr>
              <w:t>（</w:t>
            </w:r>
            <w:r>
              <w:rPr>
                <w:rFonts w:hint="eastAsia" w:ascii="宋体" w:hAnsi="宋体" w:eastAsia="宋体"/>
              </w:rPr>
              <w:t>0分</w:t>
            </w:r>
            <w:r>
              <w:rPr>
                <w:rFonts w:hint="eastAsia" w:ascii="宋体" w:hAnsi="宋体"/>
                <w:lang w:eastAsia="zh-CN"/>
              </w:rPr>
              <w:t>）</w:t>
            </w:r>
            <w:r>
              <w:rPr>
                <w:rFonts w:hint="eastAsia" w:ascii="宋体" w:hAnsi="宋体" w:eastAsia="宋体"/>
              </w:rPr>
              <w:t>：</w:t>
            </w:r>
            <w:r>
              <w:rPr>
                <w:rFonts w:hint="eastAsia" w:ascii="宋体" w:hAnsi="宋体"/>
                <w:lang w:eastAsia="zh-CN"/>
              </w:rPr>
              <w:t>响应文件</w:t>
            </w:r>
            <w:r>
              <w:rPr>
                <w:rFonts w:hint="eastAsia" w:ascii="宋体" w:hAnsi="宋体" w:eastAsia="宋体"/>
              </w:rPr>
              <w:t>包含的系统整体方案</w:t>
            </w:r>
            <w:r>
              <w:rPr>
                <w:rFonts w:hint="eastAsia" w:ascii="Arial" w:hAnsi="Arial" w:cs="Arial"/>
                <w:szCs w:val="21"/>
              </w:rPr>
              <w:t>逻辑混乱</w:t>
            </w:r>
            <w:r>
              <w:rPr>
                <w:rFonts w:ascii="Arial" w:hAnsi="Arial" w:cs="Arial"/>
                <w:szCs w:val="21"/>
              </w:rPr>
              <w:t>，</w:t>
            </w:r>
            <w:r>
              <w:rPr>
                <w:rFonts w:hint="eastAsia"/>
              </w:rPr>
              <w:t>偏离实际，</w:t>
            </w:r>
            <w:r>
              <w:rPr>
                <w:rFonts w:hint="eastAsia" w:ascii="宋体" w:hAnsi="宋体" w:eastAsia="宋体"/>
              </w:rPr>
              <w:t>无法满足</w:t>
            </w:r>
            <w:r>
              <w:rPr>
                <w:rFonts w:hint="eastAsia" w:ascii="宋体" w:hAnsi="宋体"/>
                <w:lang w:eastAsia="zh-CN"/>
              </w:rPr>
              <w:t>磋商文件</w:t>
            </w:r>
            <w:r>
              <w:rPr>
                <w:rFonts w:hint="eastAsia" w:ascii="宋体" w:hAnsi="宋体" w:eastAsia="宋体"/>
              </w:rPr>
              <w:t>的相关技术规范和标准要求。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96" w:type="dxa"/>
            <w:noWrap w:val="0"/>
            <w:vAlign w:val="center"/>
          </w:tcPr>
          <w:p>
            <w:pPr>
              <w:jc w:val="center"/>
              <w:rPr>
                <w:rFonts w:hint="eastAsia" w:ascii="宋体" w:hAnsi="宋体" w:eastAsia="宋体"/>
              </w:rPr>
            </w:pPr>
            <w:r>
              <w:rPr>
                <w:rFonts w:hint="eastAsia" w:ascii="宋体" w:hAnsi="宋体" w:eastAsia="宋体"/>
              </w:rPr>
              <w:t>人员培训方案</w:t>
            </w:r>
          </w:p>
          <w:p>
            <w:pPr>
              <w:jc w:val="center"/>
              <w:rPr>
                <w:rFonts w:hint="eastAsia" w:ascii="宋体" w:hAnsi="宋体" w:eastAsia="宋体" w:cs="宋体"/>
                <w:kern w:val="0"/>
                <w:sz w:val="21"/>
                <w:szCs w:val="21"/>
                <w:highlight w:val="none"/>
                <w:lang w:eastAsia="zh-CN"/>
              </w:rPr>
            </w:pPr>
            <w:r>
              <w:rPr>
                <w:rFonts w:hint="eastAsia" w:ascii="宋体" w:hAnsi="宋体"/>
                <w:lang w:eastAsia="zh-CN"/>
              </w:rPr>
              <w:t>（</w:t>
            </w:r>
            <w:r>
              <w:rPr>
                <w:rFonts w:ascii="宋体" w:hAnsi="宋体" w:eastAsia="宋体"/>
              </w:rPr>
              <w:t>5分</w:t>
            </w:r>
            <w:r>
              <w:rPr>
                <w:rFonts w:hint="eastAsia" w:ascii="宋体" w:hAnsi="宋体"/>
                <w:lang w:eastAsia="zh-CN"/>
              </w:rPr>
              <w:t>）</w:t>
            </w:r>
          </w:p>
        </w:tc>
        <w:tc>
          <w:tcPr>
            <w:tcW w:w="726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根据各</w:t>
            </w:r>
            <w:r>
              <w:rPr>
                <w:rFonts w:hint="eastAsia" w:ascii="宋体" w:hAnsi="宋体"/>
                <w:lang w:eastAsia="zh-CN"/>
              </w:rPr>
              <w:t>供应商</w:t>
            </w:r>
            <w:r>
              <w:rPr>
                <w:rFonts w:hint="eastAsia" w:ascii="宋体" w:hAnsi="宋体" w:eastAsia="宋体"/>
              </w:rPr>
              <w:t>对本项目制定的培训方案的合理</w:t>
            </w:r>
            <w:r>
              <w:rPr>
                <w:rFonts w:hint="eastAsia" w:ascii="宋体" w:hAnsi="宋体"/>
                <w:lang w:val="en-US" w:eastAsia="zh-CN"/>
              </w:rPr>
              <w:t>性、</w:t>
            </w:r>
            <w:r>
              <w:rPr>
                <w:rFonts w:hint="eastAsia" w:ascii="宋体" w:hAnsi="宋体" w:eastAsia="宋体"/>
              </w:rPr>
              <w:t>可行性进行评审：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优</w:t>
            </w:r>
            <w:r>
              <w:rPr>
                <w:rFonts w:hint="eastAsia" w:ascii="宋体" w:hAnsi="宋体"/>
                <w:lang w:eastAsia="zh-CN"/>
              </w:rPr>
              <w:t>（</w:t>
            </w:r>
            <w:r>
              <w:rPr>
                <w:rFonts w:hint="eastAsia" w:ascii="宋体" w:hAnsi="宋体" w:eastAsia="宋体"/>
                <w:lang w:val="en-US" w:eastAsia="zh-CN"/>
              </w:rPr>
              <w:t>5</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提供</w:t>
            </w:r>
            <w:r>
              <w:rPr>
                <w:rFonts w:hint="eastAsia" w:ascii="宋体" w:hAnsi="宋体" w:eastAsia="宋体"/>
              </w:rPr>
              <w:t>人员培训方案，培训计划完善，</w:t>
            </w:r>
            <w:r>
              <w:rPr>
                <w:rFonts w:hint="eastAsia" w:ascii="宋体" w:hAnsi="宋体"/>
                <w:lang w:val="en-US" w:eastAsia="zh-CN"/>
              </w:rPr>
              <w:t>科学</w:t>
            </w:r>
            <w:r>
              <w:rPr>
                <w:rFonts w:hint="eastAsia" w:ascii="宋体" w:hAnsi="宋体" w:eastAsia="宋体"/>
              </w:rPr>
              <w:t>合理、</w:t>
            </w:r>
            <w:r>
              <w:rPr>
                <w:rFonts w:ascii="Arial" w:hAnsi="Arial" w:cs="Arial"/>
                <w:szCs w:val="21"/>
              </w:rPr>
              <w:t>充分满足采购人需求，</w:t>
            </w:r>
            <w:r>
              <w:rPr>
                <w:rFonts w:hint="eastAsia" w:ascii="宋体" w:hAnsi="宋体" w:eastAsia="宋体"/>
              </w:rPr>
              <w:t>可行性强，</w:t>
            </w:r>
            <w:r>
              <w:rPr>
                <w:rFonts w:ascii="Arial" w:hAnsi="Arial" w:cs="Arial"/>
                <w:szCs w:val="21"/>
              </w:rPr>
              <w:t>能达到培训效果</w:t>
            </w:r>
            <w:r>
              <w:rPr>
                <w:rFonts w:ascii="宋体" w:hAnsi="宋体" w:eastAsia="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rPr>
            </w:pPr>
            <w:r>
              <w:rPr>
                <w:rFonts w:hint="eastAsia" w:ascii="宋体" w:hAnsi="宋体" w:eastAsia="宋体"/>
              </w:rPr>
              <w:t>良</w:t>
            </w:r>
            <w:r>
              <w:rPr>
                <w:rFonts w:hint="eastAsia" w:ascii="宋体" w:hAnsi="宋体"/>
                <w:lang w:eastAsia="zh-CN"/>
              </w:rPr>
              <w:t>（</w:t>
            </w:r>
            <w:r>
              <w:rPr>
                <w:rFonts w:hint="eastAsia" w:ascii="宋体" w:hAnsi="宋体" w:eastAsia="宋体"/>
                <w:lang w:val="en-US" w:eastAsia="zh-CN"/>
              </w:rPr>
              <w:t>3</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提供</w:t>
            </w:r>
            <w:r>
              <w:rPr>
                <w:rFonts w:hint="eastAsia" w:ascii="宋体" w:hAnsi="宋体" w:eastAsia="宋体"/>
              </w:rPr>
              <w:t>人员培训</w:t>
            </w:r>
            <w:r>
              <w:rPr>
                <w:rFonts w:ascii="宋体" w:hAnsi="宋体" w:eastAsia="宋体"/>
              </w:rPr>
              <w:t>方案，</w:t>
            </w:r>
            <w:r>
              <w:rPr>
                <w:rFonts w:hint="eastAsia" w:ascii="宋体" w:hAnsi="宋体" w:eastAsia="宋体" w:cs="Times New Roman"/>
              </w:rPr>
              <w:t>培训计划基本完善、基本合理可行，针对性一般的；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rPr>
            </w:pPr>
            <w:r>
              <w:rPr>
                <w:rFonts w:hint="eastAsia" w:ascii="宋体" w:hAnsi="宋体" w:eastAsia="宋体"/>
              </w:rPr>
              <w:t>一般</w:t>
            </w:r>
            <w:r>
              <w:rPr>
                <w:rFonts w:hint="eastAsia" w:ascii="宋体" w:hAnsi="宋体"/>
                <w:lang w:eastAsia="zh-CN"/>
              </w:rPr>
              <w:t>（</w:t>
            </w:r>
            <w:r>
              <w:rPr>
                <w:rFonts w:hint="eastAsia" w:ascii="宋体" w:hAnsi="宋体" w:eastAsia="宋体"/>
                <w:lang w:val="en-US" w:eastAsia="zh-CN"/>
              </w:rPr>
              <w:t>1</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hint="eastAsia" w:ascii="宋体" w:hAnsi="宋体" w:eastAsia="宋体" w:cs="Times New Roman"/>
              </w:rPr>
              <w:t>提供人员培训方案，培训计划不够完善，不合理、不具有针对性</w:t>
            </w:r>
            <w:r>
              <w:rPr>
                <w:rFonts w:hint="eastAsia" w:ascii="宋体" w:hAnsi="宋体" w:eastAsia="宋体" w:cs="Times New Roman"/>
                <w:lang w:val="en-US" w:eastAsia="zh-CN"/>
              </w:rPr>
              <w:t>或不</w:t>
            </w:r>
            <w:r>
              <w:rPr>
                <w:rFonts w:hint="eastAsia" w:ascii="宋体" w:hAnsi="宋体" w:eastAsia="宋体" w:cs="Times New Roman"/>
              </w:rPr>
              <w:t>可行性</w:t>
            </w:r>
            <w:r>
              <w:rPr>
                <w:rFonts w:hint="eastAsia" w:ascii="宋体" w:hAnsi="宋体" w:eastAsia="宋体" w:cs="Times New Roman"/>
                <w:lang w:eastAsia="zh-CN"/>
              </w:rPr>
              <w:t>的</w:t>
            </w:r>
            <w:r>
              <w:rPr>
                <w:rFonts w:hint="eastAsia" w:ascii="宋体" w:hAnsi="宋体" w:eastAsia="宋体" w:cs="Times New Roma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highlight w:val="none"/>
              </w:rPr>
            </w:pPr>
            <w:r>
              <w:rPr>
                <w:rFonts w:hint="eastAsia" w:ascii="宋体" w:hAnsi="宋体" w:eastAsia="宋体" w:cs="Times New Roman"/>
                <w:b/>
                <w:bCs/>
                <w:lang w:val="en-US" w:eastAsia="zh-CN"/>
              </w:rPr>
              <w:t>注：</w:t>
            </w:r>
            <w:r>
              <w:rPr>
                <w:rFonts w:hint="eastAsia" w:ascii="宋体" w:hAnsi="宋体" w:eastAsia="宋体" w:cs="Times New Roman"/>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96" w:type="dxa"/>
            <w:noWrap w:val="0"/>
            <w:vAlign w:val="center"/>
          </w:tcPr>
          <w:p>
            <w:pPr>
              <w:jc w:val="center"/>
              <w:rPr>
                <w:rFonts w:hint="eastAsia" w:ascii="宋体" w:hAnsi="宋体" w:eastAsia="宋体"/>
              </w:rPr>
            </w:pPr>
            <w:r>
              <w:rPr>
                <w:rFonts w:hint="eastAsia" w:ascii="宋体" w:hAnsi="宋体" w:eastAsia="宋体"/>
              </w:rPr>
              <w:t>售后服务方案</w:t>
            </w:r>
          </w:p>
          <w:p>
            <w:pPr>
              <w:jc w:val="center"/>
              <w:rPr>
                <w:rFonts w:hint="eastAsia" w:ascii="宋体" w:hAnsi="宋体" w:eastAsia="宋体"/>
                <w:lang w:eastAsia="zh-CN"/>
              </w:rPr>
            </w:pPr>
            <w:r>
              <w:rPr>
                <w:rFonts w:hint="eastAsia" w:ascii="宋体" w:hAnsi="宋体"/>
                <w:lang w:eastAsia="zh-CN"/>
              </w:rPr>
              <w:t>（</w:t>
            </w:r>
            <w:r>
              <w:rPr>
                <w:rFonts w:ascii="宋体" w:hAnsi="宋体" w:eastAsia="宋体"/>
              </w:rPr>
              <w:t>9</w:t>
            </w:r>
            <w:r>
              <w:rPr>
                <w:rFonts w:hint="eastAsia" w:ascii="宋体" w:hAnsi="宋体" w:eastAsia="宋体"/>
              </w:rPr>
              <w:t>分</w:t>
            </w:r>
            <w:r>
              <w:rPr>
                <w:rFonts w:hint="eastAsia" w:ascii="宋体" w:hAnsi="宋体"/>
                <w:lang w:eastAsia="zh-CN"/>
              </w:rPr>
              <w:t>）</w:t>
            </w:r>
          </w:p>
        </w:tc>
        <w:tc>
          <w:tcPr>
            <w:tcW w:w="726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根据</w:t>
            </w:r>
            <w:r>
              <w:rPr>
                <w:rFonts w:hint="eastAsia" w:ascii="宋体" w:hAnsi="宋体"/>
                <w:lang w:eastAsia="zh-CN"/>
              </w:rPr>
              <w:t>供应商</w:t>
            </w:r>
            <w:r>
              <w:rPr>
                <w:rFonts w:hint="eastAsia" w:ascii="宋体" w:hAnsi="宋体" w:eastAsia="宋体"/>
              </w:rPr>
              <w:t>提供的售后服务保障方案</w:t>
            </w:r>
            <w:r>
              <w:rPr>
                <w:rFonts w:hint="eastAsia" w:ascii="宋体" w:hAnsi="宋体"/>
                <w:lang w:eastAsia="zh-CN"/>
              </w:rPr>
              <w:t>（</w:t>
            </w:r>
            <w:r>
              <w:rPr>
                <w:rFonts w:hint="eastAsia" w:ascii="宋体" w:hAnsi="宋体" w:eastAsia="宋体"/>
              </w:rPr>
              <w:t>包括但不限于质保期内及质保期满后的售后服务方案、零配件供应方案、紧急响应方案、服务承诺等</w:t>
            </w:r>
            <w:r>
              <w:rPr>
                <w:rFonts w:hint="eastAsia" w:ascii="宋体" w:hAnsi="宋体"/>
                <w:lang w:eastAsia="zh-CN"/>
              </w:rPr>
              <w:t>）</w:t>
            </w:r>
            <w:r>
              <w:rPr>
                <w:rFonts w:hint="eastAsia" w:ascii="宋体" w:hAnsi="宋体" w:eastAsia="宋体"/>
              </w:rPr>
              <w:t>进行综合评审：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优</w:t>
            </w:r>
            <w:r>
              <w:rPr>
                <w:rFonts w:hint="eastAsia" w:ascii="宋体" w:hAnsi="宋体"/>
                <w:lang w:eastAsia="zh-CN"/>
              </w:rPr>
              <w:t>（</w:t>
            </w:r>
            <w:r>
              <w:rPr>
                <w:rFonts w:hint="eastAsia" w:ascii="宋体" w:hAnsi="宋体" w:eastAsia="宋体"/>
                <w:lang w:val="en-US" w:eastAsia="zh-CN"/>
              </w:rPr>
              <w:t>9</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方案非常全面、详细具体、有针对性、切实可操作的</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良</w:t>
            </w:r>
            <w:r>
              <w:rPr>
                <w:rFonts w:hint="eastAsia" w:ascii="宋体" w:hAnsi="宋体"/>
                <w:lang w:eastAsia="zh-CN"/>
              </w:rPr>
              <w:t>（</w:t>
            </w:r>
            <w:r>
              <w:rPr>
                <w:rFonts w:hint="eastAsia" w:ascii="宋体" w:hAnsi="宋体" w:eastAsia="宋体"/>
                <w:lang w:val="en-US" w:eastAsia="zh-CN"/>
              </w:rPr>
              <w:t>6</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方案全面实用、</w:t>
            </w:r>
            <w:r>
              <w:rPr>
                <w:rFonts w:hint="eastAsia" w:ascii="宋体" w:hAnsi="宋体"/>
                <w:lang w:val="en-US" w:eastAsia="zh-CN"/>
              </w:rPr>
              <w:t>简单</w:t>
            </w:r>
            <w:r>
              <w:rPr>
                <w:rFonts w:ascii="宋体" w:hAnsi="宋体" w:eastAsia="宋体"/>
              </w:rPr>
              <w:t>合理、有一定的可操作性的；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一般</w:t>
            </w:r>
            <w:r>
              <w:rPr>
                <w:rFonts w:hint="eastAsia" w:ascii="宋体" w:hAnsi="宋体"/>
                <w:lang w:eastAsia="zh-CN"/>
              </w:rPr>
              <w:t>（</w:t>
            </w:r>
            <w:r>
              <w:rPr>
                <w:rFonts w:hint="eastAsia" w:ascii="宋体" w:hAnsi="宋体" w:eastAsia="宋体"/>
                <w:lang w:val="en-US" w:eastAsia="zh-CN"/>
              </w:rPr>
              <w:t>3</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方案有一</w:t>
            </w:r>
            <w:r>
              <w:rPr>
                <w:rFonts w:hint="eastAsia" w:ascii="宋体" w:hAnsi="宋体" w:eastAsia="宋体"/>
              </w:rPr>
              <w:t>定的实用、有一定的可操作性的</w:t>
            </w:r>
            <w:r>
              <w:rPr>
                <w:rFonts w:ascii="宋体" w:hAnsi="宋体" w:eastAsia="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rPr>
              <w:t>差</w:t>
            </w:r>
            <w:r>
              <w:rPr>
                <w:rFonts w:hint="eastAsia" w:ascii="宋体" w:hAnsi="宋体"/>
                <w:lang w:eastAsia="zh-CN"/>
              </w:rPr>
              <w:t>（</w:t>
            </w:r>
            <w:r>
              <w:rPr>
                <w:rFonts w:hint="eastAsia" w:ascii="宋体" w:hAnsi="宋体" w:eastAsia="宋体"/>
                <w:lang w:val="en-US" w:eastAsia="zh-CN"/>
              </w:rPr>
              <w:t>1</w:t>
            </w:r>
            <w:r>
              <w:rPr>
                <w:rFonts w:hint="eastAsia" w:ascii="宋体" w:hAnsi="宋体" w:eastAsia="宋体"/>
              </w:rPr>
              <w:t>分</w:t>
            </w:r>
            <w:r>
              <w:rPr>
                <w:rFonts w:hint="eastAsia" w:ascii="宋体" w:hAnsi="宋体"/>
                <w:lang w:eastAsia="zh-CN"/>
              </w:rPr>
              <w:t>）</w:t>
            </w:r>
            <w:r>
              <w:rPr>
                <w:rFonts w:hint="eastAsia" w:ascii="宋体" w:hAnsi="宋体" w:eastAsia="宋体"/>
              </w:rPr>
              <w:t>：</w:t>
            </w:r>
            <w:r>
              <w:rPr>
                <w:rFonts w:ascii="宋体" w:hAnsi="宋体" w:eastAsia="宋体"/>
              </w:rPr>
              <w:t>方案简略、</w:t>
            </w:r>
            <w:r>
              <w:t>较多遗漏</w:t>
            </w:r>
            <w:r>
              <w:rPr>
                <w:rFonts w:hint="eastAsia"/>
                <w:lang w:eastAsia="zh-CN"/>
              </w:rPr>
              <w:t>、</w:t>
            </w:r>
            <w:r>
              <w:rPr>
                <w:rFonts w:ascii="宋体" w:hAnsi="宋体" w:eastAsia="宋体"/>
              </w:rPr>
              <w:t>不合理、可操作性较差的；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eastAsia="宋体" w:cs="Times New Roman"/>
                <w:b/>
                <w:bCs/>
                <w:lang w:val="en-US" w:eastAsia="zh-CN"/>
              </w:rPr>
              <w:t>注：</w:t>
            </w:r>
            <w:r>
              <w:rPr>
                <w:rFonts w:ascii="宋体" w:hAnsi="宋体" w:eastAsia="宋体"/>
              </w:rPr>
              <w:t>未提供对应方案不得分。</w:t>
            </w:r>
          </w:p>
        </w:tc>
      </w:tr>
    </w:tbl>
    <w:p>
      <w:pPr>
        <w:adjustRightInd w:val="0"/>
        <w:snapToGrid w:val="0"/>
        <w:spacing w:before="120" w:beforeLines="50"/>
        <w:rPr>
          <w:rFonts w:hint="eastAsia" w:ascii="宋体" w:hAnsi="宋体" w:eastAsia="宋体" w:cs="宋体"/>
          <w:sz w:val="24"/>
          <w:highlight w:val="none"/>
        </w:rPr>
      </w:pPr>
      <w:r>
        <w:rPr>
          <w:rFonts w:hint="eastAsia" w:ascii="宋体" w:hAnsi="宋体" w:eastAsia="宋体" w:cs="宋体"/>
          <w:sz w:val="24"/>
          <w:highlight w:val="none"/>
        </w:rPr>
        <w:br w:type="page"/>
      </w:r>
    </w:p>
    <w:p>
      <w:pPr>
        <w:pStyle w:val="5"/>
        <w:spacing w:before="100" w:after="0" w:line="360" w:lineRule="auto"/>
        <w:jc w:val="left"/>
        <w:rPr>
          <w:rFonts w:hint="eastAsia" w:ascii="宋体" w:hAnsi="宋体" w:eastAsia="宋体" w:cs="宋体"/>
          <w:b/>
          <w:bCs/>
          <w:sz w:val="28"/>
          <w:szCs w:val="28"/>
          <w:highlight w:val="none"/>
          <w:lang w:val="en-US" w:eastAsia="zh-CN"/>
        </w:rPr>
      </w:pPr>
      <w:bookmarkStart w:id="203" w:name="_Toc3386997"/>
      <w:bookmarkStart w:id="204" w:name="_Toc23007"/>
      <w:bookmarkStart w:id="205" w:name="_Toc25308"/>
      <w:bookmarkStart w:id="206" w:name="_Toc32334"/>
      <w:bookmarkStart w:id="207" w:name="_Toc21923"/>
      <w:bookmarkStart w:id="208" w:name="_Toc2289"/>
      <w:bookmarkStart w:id="209" w:name="_Toc1752"/>
      <w:bookmarkStart w:id="210" w:name="_Toc1231"/>
      <w:bookmarkStart w:id="211" w:name="_Toc37919851"/>
      <w:bookmarkStart w:id="212" w:name="_Toc2709"/>
      <w:bookmarkStart w:id="213" w:name="_Toc49930305"/>
      <w:bookmarkStart w:id="214" w:name="_Toc31837"/>
      <w:bookmarkStart w:id="215" w:name="_Toc15919"/>
      <w:r>
        <w:rPr>
          <w:rFonts w:hint="eastAsia" w:ascii="宋体" w:hAnsi="宋体" w:eastAsia="宋体" w:cs="宋体"/>
          <w:b/>
          <w:bCs/>
          <w:sz w:val="28"/>
          <w:szCs w:val="28"/>
          <w:highlight w:val="none"/>
          <w:lang w:val="en-US" w:eastAsia="zh-CN"/>
        </w:rPr>
        <w:t>3、商务评分细则</w:t>
      </w:r>
      <w:r>
        <w:rPr>
          <w:rFonts w:hint="eastAsia" w:ascii="宋体" w:hAnsi="宋体" w:cs="宋体"/>
          <w:b/>
          <w:bCs/>
          <w:sz w:val="28"/>
          <w:szCs w:val="28"/>
          <w:highlight w:val="none"/>
          <w:lang w:val="en-US" w:eastAsia="zh-CN"/>
        </w:rPr>
        <w:t>（24</w:t>
      </w:r>
      <w:r>
        <w:rPr>
          <w:rFonts w:hint="eastAsia" w:ascii="宋体" w:hAnsi="宋体" w:eastAsia="宋体" w:cs="宋体"/>
          <w:b/>
          <w:bCs/>
          <w:sz w:val="28"/>
          <w:szCs w:val="28"/>
          <w:highlight w:val="none"/>
          <w:lang w:val="en-US" w:eastAsia="zh-CN"/>
        </w:rPr>
        <w:t>分</w:t>
      </w:r>
      <w:bookmarkEnd w:id="203"/>
      <w:bookmarkEnd w:id="204"/>
      <w:bookmarkEnd w:id="205"/>
      <w:bookmarkEnd w:id="206"/>
      <w:bookmarkEnd w:id="207"/>
      <w:bookmarkEnd w:id="208"/>
      <w:bookmarkEnd w:id="209"/>
      <w:bookmarkEnd w:id="210"/>
      <w:bookmarkEnd w:id="211"/>
      <w:bookmarkEnd w:id="212"/>
      <w:bookmarkEnd w:id="213"/>
      <w:bookmarkEnd w:id="214"/>
      <w:r>
        <w:rPr>
          <w:rFonts w:hint="eastAsia" w:ascii="宋体" w:hAnsi="宋体" w:cs="宋体"/>
          <w:b/>
          <w:bCs/>
          <w:sz w:val="28"/>
          <w:szCs w:val="28"/>
          <w:highlight w:val="none"/>
          <w:lang w:val="en-US" w:eastAsia="zh-CN"/>
        </w:rPr>
        <w:t>）</w:t>
      </w:r>
      <w:bookmarkEnd w:id="215"/>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381" w:type="dxa"/>
            <w:noWrap w:val="0"/>
            <w:vAlign w:val="center"/>
          </w:tcPr>
          <w:p>
            <w:pPr>
              <w:keepNext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评分项目</w:t>
            </w:r>
          </w:p>
        </w:tc>
        <w:tc>
          <w:tcPr>
            <w:tcW w:w="7098" w:type="dxa"/>
            <w:noWrap w:val="0"/>
            <w:vAlign w:val="center"/>
          </w:tcPr>
          <w:p>
            <w:pPr>
              <w:keepNext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bCs/>
                <w:snapToGrid w:val="0"/>
                <w:kern w:val="0"/>
                <w:sz w:val="21"/>
                <w:szCs w:val="21"/>
                <w:highlight w:val="none"/>
              </w:rPr>
            </w:pPr>
            <w:r>
              <w:rPr>
                <w:rFonts w:hint="eastAsia" w:ascii="宋体" w:hAnsi="宋体" w:eastAsia="宋体" w:cs="宋体"/>
                <w:b/>
                <w:bCs/>
                <w:snapToGrid w:val="0"/>
                <w:kern w:val="0"/>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81" w:type="dxa"/>
            <w:noWrap w:val="0"/>
            <w:vAlign w:val="center"/>
          </w:tcPr>
          <w:p>
            <w:pPr>
              <w:jc w:val="center"/>
              <w:rPr>
                <w:rFonts w:hint="eastAsia" w:ascii="宋体" w:hAnsi="宋体" w:eastAsia="宋体"/>
              </w:rPr>
            </w:pPr>
            <w:r>
              <w:rPr>
                <w:rFonts w:hint="eastAsia" w:ascii="宋体" w:hAnsi="宋体"/>
                <w:lang w:val="en-US" w:eastAsia="zh-CN"/>
              </w:rPr>
              <w:t>同类</w:t>
            </w:r>
            <w:r>
              <w:rPr>
                <w:rFonts w:hint="eastAsia" w:ascii="宋体" w:hAnsi="宋体" w:eastAsia="宋体"/>
              </w:rPr>
              <w:t>业绩</w:t>
            </w:r>
          </w:p>
          <w:p>
            <w:pPr>
              <w:jc w:val="center"/>
              <w:rPr>
                <w:rFonts w:hint="eastAsia" w:ascii="宋体" w:hAnsi="宋体" w:eastAsia="宋体" w:cs="宋体"/>
                <w:kern w:val="0"/>
                <w:sz w:val="21"/>
                <w:szCs w:val="21"/>
                <w:highlight w:val="none"/>
              </w:rPr>
            </w:pPr>
            <w:r>
              <w:rPr>
                <w:rFonts w:hint="eastAsia" w:ascii="宋体" w:hAnsi="宋体"/>
                <w:lang w:eastAsia="zh-CN"/>
              </w:rPr>
              <w:t>（</w:t>
            </w:r>
            <w:r>
              <w:rPr>
                <w:rFonts w:ascii="宋体" w:hAnsi="宋体" w:eastAsia="宋体"/>
              </w:rPr>
              <w:t>6分</w:t>
            </w:r>
            <w:r>
              <w:rPr>
                <w:rFonts w:hint="eastAsia" w:ascii="宋体" w:hAnsi="宋体"/>
                <w:lang w:eastAsia="zh-CN"/>
              </w:rPr>
              <w:t>）</w:t>
            </w:r>
          </w:p>
        </w:tc>
        <w:tc>
          <w:tcPr>
            <w:tcW w:w="709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lang w:val="en-US" w:eastAsia="zh-CN"/>
              </w:rPr>
              <w:t>根据供应商自</w:t>
            </w:r>
            <w:r>
              <w:rPr>
                <w:rFonts w:ascii="宋体" w:hAnsi="宋体" w:eastAsia="宋体"/>
              </w:rPr>
              <w:t>2020年1月1日至今承接过</w:t>
            </w:r>
            <w:r>
              <w:rPr>
                <w:rFonts w:hint="eastAsia" w:ascii="宋体" w:hAnsi="宋体" w:eastAsia="宋体"/>
              </w:rPr>
              <w:t>智能化、</w:t>
            </w:r>
            <w:r>
              <w:rPr>
                <w:rFonts w:ascii="宋体" w:hAnsi="宋体" w:eastAsia="宋体"/>
              </w:rPr>
              <w:t>信息化建设或服务的</w:t>
            </w:r>
            <w:r>
              <w:rPr>
                <w:rFonts w:hint="eastAsia" w:ascii="宋体" w:hAnsi="宋体"/>
                <w:lang w:val="en-US" w:eastAsia="zh-CN"/>
              </w:rPr>
              <w:t>项目业绩情况进行评分</w:t>
            </w:r>
            <w:r>
              <w:rPr>
                <w:rFonts w:ascii="宋体" w:hAnsi="宋体" w:eastAsia="宋体"/>
              </w:rPr>
              <w:t>，</w:t>
            </w:r>
            <w:r>
              <w:rPr>
                <w:rFonts w:hint="eastAsia" w:ascii="宋体" w:hAnsi="宋体"/>
                <w:lang w:val="en-US" w:eastAsia="zh-CN"/>
              </w:rPr>
              <w:t>每提供一个业绩合同</w:t>
            </w:r>
            <w:r>
              <w:rPr>
                <w:rFonts w:ascii="宋体" w:hAnsi="宋体" w:eastAsia="宋体"/>
              </w:rPr>
              <w:t>得2分，最多</w:t>
            </w:r>
            <w:r>
              <w:rPr>
                <w:rFonts w:hint="eastAsia" w:ascii="宋体" w:hAnsi="宋体" w:eastAsia="宋体"/>
              </w:rPr>
              <w:t>得</w:t>
            </w:r>
            <w:r>
              <w:rPr>
                <w:rFonts w:ascii="宋体" w:hAnsi="宋体" w:eastAsia="宋体"/>
              </w:rPr>
              <w:t>6分。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highlight w:val="none"/>
              </w:rPr>
            </w:pPr>
            <w:r>
              <w:rPr>
                <w:rFonts w:hint="eastAsia" w:ascii="宋体" w:hAnsi="宋体" w:eastAsia="宋体"/>
              </w:rPr>
              <w:t>注：</w:t>
            </w:r>
            <w:r>
              <w:rPr>
                <w:rFonts w:hint="eastAsia" w:ascii="宋体" w:hAnsi="宋体"/>
                <w:lang w:val="en-US" w:eastAsia="zh-CN"/>
              </w:rPr>
              <w:t>响应文件中</w:t>
            </w:r>
            <w:r>
              <w:rPr>
                <w:rFonts w:hint="eastAsia" w:ascii="宋体" w:hAnsi="宋体" w:eastAsia="宋体"/>
              </w:rPr>
              <w:t>提供</w:t>
            </w:r>
            <w:r>
              <w:rPr>
                <w:rFonts w:hint="eastAsia" w:ascii="宋体" w:hAnsi="宋体"/>
                <w:lang w:val="en-US" w:eastAsia="zh-CN"/>
              </w:rPr>
              <w:t>项目</w:t>
            </w:r>
            <w:r>
              <w:rPr>
                <w:rFonts w:hint="eastAsia" w:ascii="宋体" w:hAnsi="宋体" w:eastAsia="宋体"/>
              </w:rPr>
              <w:t>合同关键页复印件并加盖</w:t>
            </w:r>
            <w:r>
              <w:rPr>
                <w:rFonts w:hint="eastAsia" w:ascii="宋体" w:hAnsi="宋体"/>
                <w:lang w:val="en-US" w:eastAsia="zh-CN"/>
              </w:rPr>
              <w:t>供应商</w:t>
            </w:r>
            <w:r>
              <w:rPr>
                <w:rFonts w:hint="eastAsia" w:ascii="宋体" w:hAnsi="宋体" w:eastAsia="宋体"/>
              </w:rPr>
              <w:t>公章，</w:t>
            </w:r>
            <w:r>
              <w:rPr>
                <w:rFonts w:hint="eastAsia" w:ascii="宋体" w:hAnsi="宋体" w:eastAsia="宋体" w:cs="宋体"/>
                <w:sz w:val="21"/>
                <w:szCs w:val="21"/>
              </w:rPr>
              <w:t>不提供或</w:t>
            </w:r>
            <w:r>
              <w:rPr>
                <w:rFonts w:hint="eastAsia" w:ascii="宋体" w:hAnsi="宋体" w:eastAsia="宋体" w:cs="宋体"/>
                <w:sz w:val="21"/>
                <w:szCs w:val="21"/>
                <w:lang w:val="en-US" w:eastAsia="zh-CN"/>
              </w:rPr>
              <w:t>评审</w:t>
            </w:r>
            <w:r>
              <w:rPr>
                <w:rFonts w:hint="eastAsia" w:ascii="宋体" w:hAnsi="宋体" w:eastAsia="宋体" w:cs="宋体"/>
                <w:sz w:val="21"/>
                <w:szCs w:val="21"/>
              </w:rPr>
              <w:t>专家无法认定的不得分</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381" w:type="dxa"/>
            <w:noWrap w:val="0"/>
            <w:vAlign w:val="center"/>
          </w:tcPr>
          <w:p>
            <w:pPr>
              <w:jc w:val="center"/>
              <w:rPr>
                <w:rFonts w:hint="eastAsia" w:ascii="宋体" w:hAnsi="宋体" w:eastAsia="宋体"/>
              </w:rPr>
            </w:pPr>
            <w:r>
              <w:rPr>
                <w:rFonts w:hint="eastAsia" w:ascii="宋体" w:hAnsi="宋体" w:eastAsia="宋体"/>
              </w:rPr>
              <w:t>拟投入项目管理人员</w:t>
            </w:r>
          </w:p>
          <w:p>
            <w:pPr>
              <w:jc w:val="center"/>
              <w:rPr>
                <w:rFonts w:hint="eastAsia" w:ascii="宋体" w:hAnsi="宋体" w:eastAsia="宋体" w:cs="宋体"/>
                <w:kern w:val="0"/>
                <w:sz w:val="21"/>
                <w:szCs w:val="21"/>
                <w:highlight w:val="none"/>
              </w:rPr>
            </w:pPr>
            <w:r>
              <w:rPr>
                <w:rFonts w:hint="eastAsia" w:ascii="宋体" w:hAnsi="宋体"/>
                <w:lang w:eastAsia="zh-CN"/>
              </w:rPr>
              <w:t>（</w:t>
            </w:r>
            <w:r>
              <w:rPr>
                <w:rFonts w:ascii="宋体" w:hAnsi="宋体" w:eastAsia="宋体"/>
              </w:rPr>
              <w:t>8</w:t>
            </w:r>
            <w:r>
              <w:rPr>
                <w:rFonts w:hint="eastAsia" w:ascii="宋体" w:hAnsi="宋体" w:eastAsia="宋体"/>
              </w:rPr>
              <w:t>分</w:t>
            </w:r>
            <w:r>
              <w:rPr>
                <w:rFonts w:hint="eastAsia" w:ascii="宋体" w:hAnsi="宋体"/>
                <w:lang w:eastAsia="zh-CN"/>
              </w:rPr>
              <w:t>）</w:t>
            </w:r>
          </w:p>
        </w:tc>
        <w:tc>
          <w:tcPr>
            <w:tcW w:w="709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hint="eastAsia" w:ascii="宋体" w:hAnsi="宋体"/>
                <w:lang w:eastAsia="zh-CN"/>
              </w:rPr>
              <w:t>供应商</w:t>
            </w:r>
            <w:r>
              <w:rPr>
                <w:rFonts w:hint="eastAsia" w:ascii="宋体" w:hAnsi="宋体" w:eastAsia="宋体"/>
              </w:rPr>
              <w:t>拟投入项目管理人员</w:t>
            </w:r>
            <w:r>
              <w:rPr>
                <w:rFonts w:ascii="宋体" w:hAnsi="宋体" w:eastAsia="宋体"/>
              </w:rPr>
              <w:t>中具有</w:t>
            </w:r>
            <w:r>
              <w:rPr>
                <w:rFonts w:hint="eastAsia" w:ascii="宋体" w:hAnsi="宋体" w:eastAsia="宋体"/>
              </w:rPr>
              <w:t>高级工程师证书、计算机网络管理员</w:t>
            </w:r>
            <w:r>
              <w:rPr>
                <w:rFonts w:ascii="宋体" w:hAnsi="宋体" w:eastAsia="宋体"/>
              </w:rPr>
              <w:t>证书</w:t>
            </w:r>
            <w:r>
              <w:rPr>
                <w:rFonts w:hint="eastAsia" w:ascii="宋体" w:hAnsi="宋体" w:eastAsia="宋体"/>
              </w:rPr>
              <w:t>、计算机等级</w:t>
            </w:r>
            <w:r>
              <w:rPr>
                <w:rFonts w:ascii="宋体" w:hAnsi="宋体" w:eastAsia="宋体"/>
              </w:rPr>
              <w:t>证书的，每提供1</w:t>
            </w:r>
            <w:r>
              <w:rPr>
                <w:rFonts w:hint="eastAsia" w:ascii="宋体" w:hAnsi="宋体"/>
                <w:lang w:val="en-US" w:eastAsia="zh-CN"/>
              </w:rPr>
              <w:t>个证书</w:t>
            </w:r>
            <w:r>
              <w:rPr>
                <w:rFonts w:hint="eastAsia" w:ascii="宋体" w:hAnsi="宋体" w:eastAsia="宋体"/>
              </w:rPr>
              <w:t>得</w:t>
            </w:r>
            <w:r>
              <w:rPr>
                <w:rFonts w:ascii="宋体" w:hAnsi="宋体" w:eastAsia="宋体"/>
              </w:rPr>
              <w:t>2分，本项最高得8分。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highlight w:val="none"/>
                <w:lang w:eastAsia="zh-CN"/>
              </w:rPr>
            </w:pPr>
            <w:r>
              <w:rPr>
                <w:rFonts w:hint="eastAsia" w:ascii="宋体" w:hAnsi="宋体" w:eastAsia="宋体"/>
                <w:b/>
                <w:bCs/>
              </w:rPr>
              <w:t>注：</w:t>
            </w:r>
            <w:r>
              <w:rPr>
                <w:rFonts w:hint="eastAsia" w:ascii="宋体" w:hAnsi="宋体" w:eastAsia="宋体" w:cs="宋体"/>
                <w:szCs w:val="21"/>
              </w:rPr>
              <w:t>响应文件中须提供上述人员的资格证书</w:t>
            </w:r>
            <w:r>
              <w:rPr>
                <w:rFonts w:hint="eastAsia" w:ascii="宋体" w:hAnsi="宋体" w:eastAsia="宋体" w:cs="宋体"/>
                <w:szCs w:val="21"/>
                <w:lang w:val="en-US" w:eastAsia="zh-CN"/>
              </w:rPr>
              <w:t>复印件</w:t>
            </w:r>
            <w:r>
              <w:rPr>
                <w:rFonts w:hint="eastAsia" w:ascii="宋体" w:hAnsi="宋体" w:eastAsia="宋体" w:cs="宋体"/>
                <w:szCs w:val="21"/>
              </w:rPr>
              <w:t>和供应商为上述人员购买社保的社保证明</w:t>
            </w:r>
            <w:r>
              <w:rPr>
                <w:rFonts w:hint="eastAsia" w:ascii="宋体" w:hAnsi="宋体" w:cs="宋体"/>
                <w:szCs w:val="21"/>
                <w:lang w:eastAsia="zh-CN"/>
              </w:rPr>
              <w:t>（</w:t>
            </w:r>
            <w:r>
              <w:rPr>
                <w:rFonts w:hint="eastAsia" w:ascii="宋体" w:hAnsi="宋体" w:eastAsia="宋体" w:cs="宋体"/>
                <w:szCs w:val="21"/>
              </w:rPr>
              <w:t>提供社保部门出具磋商截止日前</w:t>
            </w:r>
            <w:r>
              <w:rPr>
                <w:rFonts w:hint="eastAsia" w:ascii="宋体" w:hAnsi="宋体" w:eastAsia="宋体" w:cs="宋体"/>
                <w:szCs w:val="21"/>
                <w:lang w:val="en-US" w:eastAsia="zh-CN"/>
              </w:rPr>
              <w:t>6</w:t>
            </w:r>
            <w:r>
              <w:rPr>
                <w:rFonts w:hint="eastAsia" w:ascii="宋体" w:hAnsi="宋体" w:eastAsia="宋体" w:cs="宋体"/>
                <w:szCs w:val="21"/>
              </w:rPr>
              <w:t>个月</w:t>
            </w:r>
            <w:r>
              <w:rPr>
                <w:rFonts w:hint="eastAsia" w:ascii="宋体" w:hAnsi="宋体" w:eastAsia="宋体" w:cs="宋体"/>
                <w:szCs w:val="21"/>
                <w:lang w:val="en-US" w:eastAsia="zh-CN"/>
              </w:rPr>
              <w:t>内任意1个月</w:t>
            </w:r>
            <w:r>
              <w:rPr>
                <w:rFonts w:hint="eastAsia" w:ascii="宋体" w:hAnsi="宋体" w:eastAsia="宋体" w:cs="宋体"/>
                <w:szCs w:val="21"/>
              </w:rPr>
              <w:t>的</w:t>
            </w:r>
            <w:r>
              <w:rPr>
                <w:rFonts w:ascii="宋体" w:hAnsi="宋体" w:eastAsia="宋体"/>
              </w:rPr>
              <w:t>社保缴费证明</w:t>
            </w:r>
            <w:r>
              <w:rPr>
                <w:rFonts w:hint="eastAsia" w:ascii="宋体" w:hAnsi="宋体" w:eastAsia="宋体" w:cs="宋体"/>
                <w:szCs w:val="21"/>
              </w:rPr>
              <w:t>，以上全部相关证明文件</w:t>
            </w:r>
            <w:r>
              <w:rPr>
                <w:rFonts w:hint="eastAsia" w:ascii="宋体" w:hAnsi="宋体" w:eastAsia="宋体" w:cs="宋体"/>
                <w:szCs w:val="21"/>
                <w:lang w:val="en-US" w:eastAsia="zh-CN"/>
              </w:rPr>
              <w:t>复印件</w:t>
            </w:r>
            <w:r>
              <w:rPr>
                <w:rFonts w:hint="eastAsia" w:ascii="宋体" w:hAnsi="宋体" w:eastAsia="宋体" w:cs="宋体"/>
                <w:szCs w:val="21"/>
              </w:rPr>
              <w:t>加盖供应商公章</w:t>
            </w:r>
            <w:r>
              <w:rPr>
                <w:rFonts w:hint="eastAsia" w:ascii="宋体" w:hAnsi="宋体" w:cs="宋体"/>
                <w:szCs w:val="21"/>
                <w:lang w:eastAsia="zh-CN"/>
              </w:rPr>
              <w:t>）</w:t>
            </w:r>
            <w:r>
              <w:rPr>
                <w:rFonts w:hint="eastAsia" w:ascii="宋体" w:hAnsi="宋体" w:eastAsia="宋体"/>
              </w:rPr>
              <w:t>不提供不得分</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381" w:type="dxa"/>
            <w:noWrap w:val="0"/>
            <w:vAlign w:val="center"/>
          </w:tcPr>
          <w:p>
            <w:pPr>
              <w:jc w:val="center"/>
              <w:rPr>
                <w:rFonts w:hint="default" w:ascii="宋体" w:hAnsi="宋体" w:eastAsia="宋体"/>
                <w:highlight w:val="none"/>
                <w:lang w:val="en-US"/>
              </w:rPr>
            </w:pPr>
            <w:r>
              <w:rPr>
                <w:rFonts w:hint="eastAsia" w:ascii="宋体" w:hAnsi="宋体"/>
                <w:highlight w:val="none"/>
                <w:lang w:val="en-US" w:eastAsia="zh-CN"/>
              </w:rPr>
              <w:t>租赁设备出现故障</w:t>
            </w:r>
            <w:r>
              <w:rPr>
                <w:highlight w:val="none"/>
              </w:rPr>
              <w:t>应急保障方案</w:t>
            </w:r>
          </w:p>
          <w:p>
            <w:pPr>
              <w:jc w:val="center"/>
              <w:rPr>
                <w:rFonts w:hint="eastAsia" w:ascii="宋体" w:hAnsi="宋体" w:cs="宋体"/>
                <w:color w:val="FF0000"/>
                <w:sz w:val="21"/>
                <w:szCs w:val="21"/>
              </w:rPr>
            </w:pPr>
            <w:r>
              <w:rPr>
                <w:rFonts w:hint="eastAsia" w:ascii="宋体" w:hAnsi="宋体"/>
                <w:highlight w:val="none"/>
                <w:lang w:eastAsia="zh-CN"/>
              </w:rPr>
              <w:t>（</w:t>
            </w:r>
            <w:r>
              <w:rPr>
                <w:rFonts w:ascii="宋体" w:hAnsi="宋体" w:eastAsia="宋体"/>
                <w:highlight w:val="none"/>
              </w:rPr>
              <w:t>5分</w:t>
            </w:r>
            <w:r>
              <w:rPr>
                <w:rFonts w:hint="eastAsia" w:ascii="宋体" w:hAnsi="宋体"/>
                <w:highlight w:val="none"/>
                <w:lang w:eastAsia="zh-CN"/>
              </w:rPr>
              <w:t>）</w:t>
            </w:r>
          </w:p>
        </w:tc>
        <w:tc>
          <w:tcPr>
            <w:tcW w:w="709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t>为</w:t>
            </w:r>
            <w:r>
              <w:rPr>
                <w:rFonts w:ascii="宋体" w:hAnsi="宋体" w:eastAsia="宋体"/>
              </w:rPr>
              <w:t>保障科技法庭庭审</w:t>
            </w:r>
            <w:r>
              <w:rPr>
                <w:rFonts w:hint="eastAsia" w:ascii="宋体" w:hAnsi="宋体" w:eastAsia="宋体"/>
              </w:rPr>
              <w:t>及法院电子文档存储</w:t>
            </w:r>
            <w:r>
              <w:rPr>
                <w:rFonts w:ascii="宋体" w:hAnsi="宋体" w:eastAsia="宋体"/>
              </w:rPr>
              <w:t>在应急状态下的平稳运行，</w:t>
            </w:r>
            <w:r>
              <w:rPr>
                <w:rFonts w:hint="eastAsia" w:ascii="宋体" w:hAnsi="宋体" w:eastAsia="宋体"/>
                <w:lang w:eastAsia="zh-CN"/>
              </w:rPr>
              <w:t>供应商</w:t>
            </w:r>
            <w:r>
              <w:rPr>
                <w:rFonts w:ascii="宋体" w:hAnsi="宋体" w:eastAsia="宋体"/>
              </w:rPr>
              <w:t>应根据应急事态的紧急程度合理地制定科技法庭庭审应急保障方案。根据</w:t>
            </w:r>
            <w:r>
              <w:rPr>
                <w:rFonts w:hint="eastAsia" w:ascii="宋体" w:hAnsi="宋体" w:eastAsia="宋体"/>
                <w:lang w:eastAsia="zh-CN"/>
              </w:rPr>
              <w:t>供应商</w:t>
            </w:r>
            <w:r>
              <w:rPr>
                <w:rFonts w:ascii="宋体" w:hAnsi="宋体" w:eastAsia="宋体"/>
              </w:rPr>
              <w:t xml:space="preserve">提供的应急保障方案的合理性、针对性进行评审：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ascii="宋体" w:hAnsi="宋体" w:eastAsia="宋体"/>
              </w:rPr>
              <w:t>优（</w:t>
            </w:r>
            <w:r>
              <w:rPr>
                <w:rFonts w:hint="eastAsia" w:ascii="宋体" w:hAnsi="宋体" w:eastAsia="宋体"/>
                <w:lang w:val="en-US" w:eastAsia="zh-CN"/>
              </w:rPr>
              <w:t>5</w:t>
            </w:r>
            <w:r>
              <w:rPr>
                <w:rFonts w:ascii="宋体" w:hAnsi="宋体" w:eastAsia="宋体"/>
              </w:rPr>
              <w:t>分）：深刻理解及描述科技法庭庭审</w:t>
            </w:r>
            <w:r>
              <w:rPr>
                <w:rFonts w:hint="eastAsia" w:ascii="宋体" w:hAnsi="宋体" w:eastAsia="宋体"/>
              </w:rPr>
              <w:t>及法院电子文档存储</w:t>
            </w:r>
            <w:r>
              <w:rPr>
                <w:rFonts w:ascii="宋体" w:hAnsi="宋体" w:eastAsia="宋体"/>
              </w:rPr>
              <w:t xml:space="preserve">的运行规则及工作职责，准确度高，合理设置应急事件的分类响应、处置机制及人力保障，保障应急状态下平稳有序。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rPr>
            </w:pPr>
            <w:r>
              <w:rPr>
                <w:rFonts w:ascii="宋体" w:hAnsi="宋体" w:eastAsia="宋体"/>
              </w:rPr>
              <w:t>良（</w:t>
            </w:r>
            <w:r>
              <w:rPr>
                <w:rFonts w:hint="eastAsia" w:ascii="宋体" w:hAnsi="宋体" w:eastAsia="宋体"/>
                <w:lang w:val="en-US" w:eastAsia="zh-CN"/>
              </w:rPr>
              <w:t>3</w:t>
            </w:r>
            <w:r>
              <w:rPr>
                <w:rFonts w:ascii="宋体" w:hAnsi="宋体" w:eastAsia="宋体"/>
              </w:rPr>
              <w:t>分）：对科技法庭庭审</w:t>
            </w:r>
            <w:r>
              <w:rPr>
                <w:rFonts w:hint="eastAsia" w:ascii="宋体" w:hAnsi="宋体" w:eastAsia="宋体"/>
              </w:rPr>
              <w:t>及法院电子文档存储</w:t>
            </w:r>
            <w:r>
              <w:rPr>
                <w:rFonts w:ascii="宋体" w:hAnsi="宋体" w:eastAsia="宋体"/>
              </w:rPr>
              <w:t xml:space="preserve">的运行规则及工作职责理解一般，准确度较高，简要设置应急事件的分类响应、处置机制及人力保障；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ascii="宋体" w:hAnsi="宋体" w:eastAsia="宋体"/>
              </w:rPr>
              <w:t>差（</w:t>
            </w:r>
            <w:r>
              <w:rPr>
                <w:rFonts w:hint="eastAsia" w:ascii="宋体" w:hAnsi="宋体" w:eastAsia="宋体"/>
                <w:lang w:val="en-US" w:eastAsia="zh-CN"/>
              </w:rPr>
              <w:t>1</w:t>
            </w:r>
            <w:r>
              <w:rPr>
                <w:rFonts w:ascii="宋体" w:hAnsi="宋体" w:eastAsia="宋体"/>
              </w:rPr>
              <w:t>分）：未描述现行科技法庭庭审</w:t>
            </w:r>
            <w:r>
              <w:rPr>
                <w:rFonts w:hint="eastAsia" w:ascii="宋体" w:hAnsi="宋体" w:eastAsia="宋体"/>
              </w:rPr>
              <w:t>及法院电子文档存储</w:t>
            </w:r>
            <w:r>
              <w:rPr>
                <w:rFonts w:ascii="宋体" w:hAnsi="宋体" w:eastAsia="宋体"/>
              </w:rPr>
              <w:t>的运行规则及工作职责或者不合理，未提供设置应急事件的分类响应、处置机制及人力</w:t>
            </w:r>
            <w:r>
              <w:t xml:space="preserve">保障或者存在明显不合理的规则。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FF0000"/>
                <w:sz w:val="21"/>
                <w:szCs w:val="21"/>
              </w:rPr>
            </w:pPr>
            <w:r>
              <w:rPr>
                <w:rFonts w:hint="eastAsia" w:ascii="宋体" w:hAnsi="宋体" w:eastAsia="宋体" w:cs="Times New Roman"/>
                <w:b/>
                <w:bCs/>
                <w:lang w:val="en-US" w:eastAsia="zh-CN"/>
              </w:rPr>
              <w:t>注：</w:t>
            </w:r>
            <w:r>
              <w:rPr>
                <w:rFonts w:ascii="宋体" w:hAnsi="宋体" w:eastAsia="宋体"/>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381" w:type="dxa"/>
            <w:noWrap w:val="0"/>
            <w:vAlign w:val="center"/>
          </w:tcPr>
          <w:p>
            <w:pPr>
              <w:jc w:val="center"/>
              <w:rPr>
                <w:rFonts w:hint="eastAsia" w:ascii="宋体" w:hAnsi="宋体" w:eastAsia="宋体" w:cs="Times New Roman"/>
              </w:rPr>
            </w:pPr>
            <w:r>
              <w:rPr>
                <w:rFonts w:hint="eastAsia" w:ascii="宋体" w:hAnsi="宋体" w:eastAsia="宋体" w:cs="Times New Roman"/>
              </w:rPr>
              <w:t>诚信记录</w:t>
            </w:r>
          </w:p>
          <w:p>
            <w:pPr>
              <w:jc w:val="center"/>
              <w:rPr>
                <w:rFonts w:hint="eastAsia" w:ascii="宋体" w:hAnsi="宋体" w:eastAsia="宋体" w:cs="宋体"/>
                <w:color w:val="auto"/>
                <w:kern w:val="0"/>
                <w:sz w:val="21"/>
                <w:szCs w:val="21"/>
                <w:highlight w:val="none"/>
              </w:rPr>
            </w:pPr>
            <w:r>
              <w:rPr>
                <w:rFonts w:hint="eastAsia" w:ascii="宋体" w:hAnsi="宋体" w:cs="Times New Roman"/>
                <w:lang w:eastAsia="zh-CN"/>
              </w:rPr>
              <w:t>（</w:t>
            </w:r>
            <w:r>
              <w:rPr>
                <w:rFonts w:hint="eastAsia" w:ascii="宋体" w:hAnsi="宋体" w:eastAsia="宋体" w:cs="Times New Roman"/>
              </w:rPr>
              <w:t>5分</w:t>
            </w:r>
            <w:r>
              <w:rPr>
                <w:rFonts w:hint="eastAsia" w:ascii="宋体" w:hAnsi="宋体" w:cs="Times New Roman"/>
                <w:lang w:eastAsia="zh-CN"/>
              </w:rPr>
              <w:t>）</w:t>
            </w:r>
          </w:p>
        </w:tc>
        <w:tc>
          <w:tcPr>
            <w:tcW w:w="7098" w:type="dxa"/>
            <w:noWrap w:val="0"/>
            <w:vAlign w:val="center"/>
          </w:tcPr>
          <w:p>
            <w:pPr>
              <w:spacing w:line="360" w:lineRule="auto"/>
              <w:rPr>
                <w:rFonts w:hint="eastAsia" w:ascii="宋体" w:hAnsi="宋体" w:cs="宋体"/>
                <w:color w:val="auto"/>
                <w:sz w:val="21"/>
                <w:szCs w:val="21"/>
              </w:rPr>
            </w:pPr>
            <w:r>
              <w:rPr>
                <w:rFonts w:hint="eastAsia" w:ascii="宋体" w:hAnsi="宋体" w:cs="宋体"/>
                <w:color w:val="auto"/>
                <w:sz w:val="21"/>
                <w:szCs w:val="21"/>
              </w:rPr>
              <w:t>依据《关于加强珠海市政府采购供应商诚信管理有关事项的通知》珠财采通〔2022〕20号文规定，采购代理机构在评审活动开始前</w:t>
            </w:r>
            <w:r>
              <w:rPr>
                <w:rFonts w:hint="eastAsia" w:ascii="宋体" w:hAnsi="宋体" w:cs="宋体"/>
                <w:color w:val="auto"/>
                <w:sz w:val="21"/>
                <w:szCs w:val="21"/>
                <w:lang w:eastAsia="zh-CN"/>
              </w:rPr>
              <w:t>（</w:t>
            </w:r>
            <w:r>
              <w:rPr>
                <w:rFonts w:hint="eastAsia" w:ascii="宋体" w:hAnsi="宋体" w:cs="宋体"/>
                <w:color w:val="auto"/>
                <w:sz w:val="21"/>
                <w:szCs w:val="21"/>
              </w:rPr>
              <w:t>评审当天</w:t>
            </w:r>
            <w:r>
              <w:rPr>
                <w:rFonts w:hint="eastAsia" w:ascii="宋体" w:hAnsi="宋体" w:cs="宋体"/>
                <w:color w:val="auto"/>
                <w:sz w:val="21"/>
                <w:szCs w:val="21"/>
                <w:lang w:eastAsia="zh-CN"/>
              </w:rPr>
              <w:t>）</w:t>
            </w:r>
            <w:r>
              <w:rPr>
                <w:rFonts w:hint="eastAsia" w:ascii="宋体" w:hAnsi="宋体" w:cs="宋体"/>
                <w:color w:val="auto"/>
                <w:sz w:val="21"/>
                <w:szCs w:val="21"/>
              </w:rPr>
              <w:t>，通过广东政府采购网“其他监管检查公告”栏和珠海市财政局网站“信用财政”栏查询投标</w:t>
            </w:r>
            <w:r>
              <w:rPr>
                <w:rFonts w:hint="eastAsia" w:ascii="宋体" w:hAnsi="宋体" w:cs="宋体"/>
                <w:color w:val="auto"/>
                <w:sz w:val="21"/>
                <w:szCs w:val="21"/>
                <w:lang w:eastAsia="zh-CN"/>
              </w:rPr>
              <w:t>（</w:t>
            </w:r>
            <w:r>
              <w:rPr>
                <w:rFonts w:hint="eastAsia" w:ascii="宋体" w:hAnsi="宋体" w:cs="宋体"/>
                <w:color w:val="auto"/>
                <w:sz w:val="21"/>
                <w:szCs w:val="21"/>
              </w:rPr>
              <w:t>响应</w:t>
            </w:r>
            <w:r>
              <w:rPr>
                <w:rFonts w:hint="eastAsia" w:ascii="宋体" w:hAnsi="宋体" w:cs="宋体"/>
                <w:color w:val="auto"/>
                <w:sz w:val="21"/>
                <w:szCs w:val="21"/>
                <w:lang w:eastAsia="zh-CN"/>
              </w:rPr>
              <w:t>）</w:t>
            </w:r>
            <w:r>
              <w:rPr>
                <w:rFonts w:hint="eastAsia" w:ascii="宋体" w:hAnsi="宋体" w:cs="宋体"/>
                <w:color w:val="auto"/>
                <w:sz w:val="21"/>
                <w:szCs w:val="21"/>
              </w:rPr>
              <w:t>供应商诚信状况，提供给评审委员会，由评审委员会根据以下公式进行评审：投标</w:t>
            </w:r>
            <w:r>
              <w:rPr>
                <w:rFonts w:hint="eastAsia" w:ascii="宋体" w:hAnsi="宋体" w:cs="宋体"/>
                <w:color w:val="auto"/>
                <w:sz w:val="21"/>
                <w:szCs w:val="21"/>
                <w:lang w:eastAsia="zh-CN"/>
              </w:rPr>
              <w:t>（</w:t>
            </w:r>
            <w:r>
              <w:rPr>
                <w:rFonts w:hint="eastAsia" w:ascii="宋体" w:hAnsi="宋体" w:cs="宋体"/>
                <w:color w:val="auto"/>
                <w:sz w:val="21"/>
                <w:szCs w:val="21"/>
              </w:rPr>
              <w:t>响应</w:t>
            </w:r>
            <w:r>
              <w:rPr>
                <w:rFonts w:hint="eastAsia" w:ascii="宋体" w:hAnsi="宋体" w:cs="宋体"/>
                <w:color w:val="auto"/>
                <w:sz w:val="21"/>
                <w:szCs w:val="21"/>
                <w:lang w:eastAsia="zh-CN"/>
              </w:rPr>
              <w:t>）</w:t>
            </w:r>
            <w:r>
              <w:rPr>
                <w:rFonts w:hint="eastAsia" w:ascii="宋体" w:hAnsi="宋体" w:cs="宋体"/>
                <w:color w:val="auto"/>
                <w:sz w:val="21"/>
                <w:szCs w:val="21"/>
              </w:rPr>
              <w:t>供应商得分=诚信记录得分×5%。</w:t>
            </w:r>
          </w:p>
          <w:p>
            <w:pPr>
              <w:spacing w:line="360" w:lineRule="auto"/>
              <w:rPr>
                <w:rFonts w:hint="eastAsia" w:ascii="宋体" w:hAnsi="宋体" w:eastAsia="宋体" w:cs="宋体"/>
                <w:color w:val="auto"/>
                <w:kern w:val="0"/>
                <w:sz w:val="21"/>
                <w:szCs w:val="21"/>
                <w:highlight w:val="none"/>
              </w:rPr>
            </w:pPr>
            <w:r>
              <w:rPr>
                <w:rFonts w:hint="eastAsia" w:ascii="宋体" w:hAnsi="宋体" w:cs="宋体"/>
                <w:b/>
                <w:bCs/>
                <w:color w:val="auto"/>
                <w:sz w:val="21"/>
                <w:szCs w:val="21"/>
              </w:rPr>
              <w:t>注：</w:t>
            </w:r>
            <w:r>
              <w:rPr>
                <w:rFonts w:hint="eastAsia" w:ascii="宋体" w:hAnsi="宋体" w:cs="宋体"/>
                <w:color w:val="auto"/>
                <w:sz w:val="21"/>
                <w:szCs w:val="21"/>
              </w:rPr>
              <w:t>首次参加珠海市政府采购活动的供应商诚信管理基础得分为100分，在广东政府采购网“其他监管检查公告”栏和珠海市财政局网站“信用财政”栏查询不到相关供应商扣分记录的，视为该供应商年度诚信记录得分为100分。</w:t>
            </w:r>
          </w:p>
        </w:tc>
      </w:tr>
    </w:tbl>
    <w:p>
      <w:pPr>
        <w:tabs>
          <w:tab w:val="left" w:pos="332"/>
        </w:tabs>
        <w:rPr>
          <w:rFonts w:hint="eastAsia" w:ascii="宋体" w:hAnsi="宋体" w:eastAsia="宋体" w:cs="宋体"/>
          <w:highlight w:val="none"/>
        </w:rPr>
      </w:pPr>
    </w:p>
    <w:p>
      <w:pPr>
        <w:pStyle w:val="5"/>
        <w:spacing w:before="100" w:after="0" w:line="360" w:lineRule="auto"/>
        <w:jc w:val="center"/>
        <w:rPr>
          <w:rFonts w:hint="eastAsia" w:ascii="宋体" w:hAnsi="宋体" w:eastAsia="宋体" w:cs="宋体"/>
          <w:sz w:val="28"/>
          <w:szCs w:val="28"/>
          <w:highlight w:val="none"/>
          <w:lang w:eastAsia="zh-CN"/>
        </w:rPr>
      </w:pPr>
      <w:bookmarkStart w:id="216" w:name="_Toc3386998"/>
      <w:bookmarkStart w:id="217" w:name="_Toc20448"/>
      <w:bookmarkStart w:id="218" w:name="_Toc49930306"/>
      <w:bookmarkStart w:id="219" w:name="_Toc492999691"/>
      <w:bookmarkStart w:id="220" w:name="_Toc12510"/>
      <w:bookmarkStart w:id="221" w:name="_Toc5723"/>
      <w:bookmarkStart w:id="222" w:name="_Toc7129"/>
      <w:bookmarkStart w:id="223" w:name="_Toc531617870"/>
      <w:bookmarkStart w:id="224" w:name="_Toc37919852"/>
      <w:bookmarkStart w:id="225" w:name="_Toc26643"/>
      <w:bookmarkStart w:id="226" w:name="_Toc7748"/>
      <w:bookmarkStart w:id="227" w:name="_Toc24717"/>
      <w:bookmarkStart w:id="228" w:name="_Toc497076499"/>
      <w:bookmarkStart w:id="229" w:name="_Toc20770"/>
      <w:bookmarkStart w:id="230" w:name="_Toc17540"/>
      <w:bookmarkStart w:id="231" w:name="_Toc8396"/>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rPr>
        <w:t>、经济价格评分细则</w:t>
      </w:r>
      <w:r>
        <w:rPr>
          <w:rFonts w:hint="eastAsia" w:ascii="宋体" w:hAnsi="宋体" w:cs="宋体"/>
          <w:sz w:val="28"/>
          <w:szCs w:val="28"/>
          <w:highlight w:val="none"/>
          <w:lang w:eastAsia="zh-CN"/>
        </w:rPr>
        <w:t>（</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0分</w:t>
      </w:r>
      <w:bookmarkEnd w:id="20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hint="eastAsia" w:ascii="宋体" w:hAnsi="宋体" w:cs="宋体"/>
          <w:sz w:val="28"/>
          <w:szCs w:val="28"/>
          <w:highlight w:val="none"/>
          <w:lang w:eastAsia="zh-CN"/>
        </w:rPr>
        <w:t>）</w:t>
      </w:r>
      <w:bookmarkEnd w:id="231"/>
    </w:p>
    <w:p>
      <w:pPr>
        <w:rPr>
          <w:rFonts w:hint="eastAsia" w:ascii="宋体" w:hAnsi="宋体" w:eastAsia="宋体" w:cs="宋体"/>
          <w:highlight w:val="none"/>
        </w:rPr>
      </w:pPr>
    </w:p>
    <w:p>
      <w:pPr>
        <w:pStyle w:val="37"/>
        <w:tabs>
          <w:tab w:val="left" w:pos="332"/>
        </w:tabs>
        <w:adjustRightInd w:val="0"/>
        <w:snapToGrid w:val="0"/>
        <w:spacing w:line="360" w:lineRule="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各供应商的</w:t>
      </w:r>
      <w:r>
        <w:rPr>
          <w:rFonts w:hint="eastAsia" w:ascii="宋体" w:hAnsi="宋体" w:eastAsia="宋体" w:cs="宋体"/>
          <w:sz w:val="21"/>
          <w:szCs w:val="21"/>
          <w:highlight w:val="none"/>
        </w:rPr>
        <w:t>经济价格</w:t>
      </w:r>
      <w:r>
        <w:rPr>
          <w:rFonts w:hint="eastAsia" w:ascii="宋体" w:hAnsi="宋体" w:eastAsia="宋体" w:cs="宋体"/>
          <w:bCs/>
          <w:sz w:val="21"/>
          <w:szCs w:val="21"/>
          <w:highlight w:val="none"/>
        </w:rPr>
        <w:t>得分按以下公式进行计算：</w:t>
      </w:r>
    </w:p>
    <w:p>
      <w:pPr>
        <w:pStyle w:val="37"/>
        <w:tabs>
          <w:tab w:val="left" w:pos="332"/>
        </w:tabs>
        <w:adjustRightInd w:val="0"/>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sz w:val="21"/>
          <w:szCs w:val="21"/>
          <w:highlight w:val="none"/>
        </w:rPr>
        <w:t>经济价</w:t>
      </w:r>
      <w:r>
        <w:rPr>
          <w:rFonts w:hint="eastAsia" w:ascii="宋体" w:hAnsi="宋体" w:eastAsia="宋体" w:cs="宋体"/>
          <w:bCs/>
          <w:sz w:val="21"/>
          <w:szCs w:val="21"/>
          <w:highlight w:val="none"/>
        </w:rPr>
        <w:t>格得分=</w:t>
      </w:r>
      <w:r>
        <w:rPr>
          <w:rFonts w:hint="eastAsia" w:hAnsi="宋体" w:cs="宋体"/>
          <w:bCs/>
          <w:sz w:val="21"/>
          <w:szCs w:val="21"/>
          <w:highlight w:val="none"/>
          <w:lang w:eastAsia="zh-CN"/>
        </w:rPr>
        <w:t>（</w:t>
      </w:r>
      <w:r>
        <w:rPr>
          <w:rFonts w:hint="eastAsia" w:ascii="宋体" w:hAnsi="宋体" w:eastAsia="宋体" w:cs="宋体"/>
          <w:bCs/>
          <w:sz w:val="21"/>
          <w:szCs w:val="21"/>
          <w:highlight w:val="none"/>
        </w:rPr>
        <w:t>评标基准价/评标价</w:t>
      </w:r>
      <w:r>
        <w:rPr>
          <w:rFonts w:hint="eastAsia" w:hAnsi="宋体" w:cs="宋体"/>
          <w:bCs/>
          <w:sz w:val="21"/>
          <w:szCs w:val="21"/>
          <w:highlight w:val="none"/>
          <w:lang w:eastAsia="zh-CN"/>
        </w:rPr>
        <w:t>）</w:t>
      </w:r>
      <w:r>
        <w:rPr>
          <w:rFonts w:hint="eastAsia" w:ascii="宋体" w:hAnsi="宋体" w:eastAsia="宋体" w:cs="宋体"/>
          <w:bCs/>
          <w:sz w:val="21"/>
          <w:szCs w:val="21"/>
          <w:highlight w:val="none"/>
        </w:rPr>
        <w:t>×</w:t>
      </w:r>
      <w:r>
        <w:rPr>
          <w:rFonts w:hint="eastAsia" w:hAnsi="宋体" w:eastAsia="宋体" w:cs="宋体"/>
          <w:bCs/>
          <w:sz w:val="21"/>
          <w:szCs w:val="21"/>
          <w:highlight w:val="none"/>
          <w:lang w:val="en-US" w:eastAsia="zh-CN"/>
        </w:rPr>
        <w:t>1</w:t>
      </w:r>
      <w:r>
        <w:rPr>
          <w:rFonts w:hint="eastAsia" w:ascii="宋体" w:hAnsi="宋体" w:eastAsia="宋体" w:cs="宋体"/>
          <w:bCs/>
          <w:sz w:val="21"/>
          <w:szCs w:val="21"/>
          <w:highlight w:val="none"/>
        </w:rPr>
        <w:t>0%×100</w:t>
      </w:r>
    </w:p>
    <w:p>
      <w:pPr>
        <w:pStyle w:val="37"/>
        <w:tabs>
          <w:tab w:val="left" w:pos="332"/>
        </w:tabs>
        <w:adjustRightInd w:val="0"/>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评标基准价为满足磋商文件要求的最低评标价，其价格分为满分。</w:t>
      </w:r>
    </w:p>
    <w:p>
      <w:pPr>
        <w:pStyle w:val="37"/>
        <w:tabs>
          <w:tab w:val="left" w:pos="332"/>
        </w:tabs>
        <w:adjustRightInd w:val="0"/>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评标价：</w:t>
      </w:r>
      <w:r>
        <w:rPr>
          <w:rStyle w:val="437"/>
          <w:rFonts w:hint="eastAsia" w:ascii="宋体" w:hAnsi="宋体" w:cs="宋体"/>
          <w:bCs/>
          <w:sz w:val="21"/>
          <w:szCs w:val="21"/>
          <w:lang w:eastAsia="zh-CN"/>
        </w:rPr>
        <w:t>为最终报价基础上作算术修正后的价格，无算术修正情况下，最终报价即为评标价。</w:t>
      </w:r>
    </w:p>
    <w:p>
      <w:pPr>
        <w:spacing w:line="360" w:lineRule="auto"/>
        <w:jc w:val="center"/>
        <w:outlineLvl w:val="1"/>
        <w:rPr>
          <w:rFonts w:hint="eastAsia" w:ascii="宋体" w:hAnsi="宋体" w:eastAsia="宋体" w:cs="宋体"/>
          <w:b/>
          <w:bCs/>
          <w:sz w:val="36"/>
          <w:szCs w:val="44"/>
          <w:highlight w:val="none"/>
        </w:rPr>
      </w:pPr>
      <w:r>
        <w:rPr>
          <w:rFonts w:hint="eastAsia" w:ascii="宋体" w:hAnsi="宋体" w:eastAsia="宋体" w:cs="宋体"/>
          <w:highlight w:val="none"/>
        </w:rPr>
        <w:br w:type="page"/>
      </w:r>
      <w:bookmarkStart w:id="232" w:name="_Toc11371"/>
      <w:bookmarkStart w:id="233" w:name="_Toc1697"/>
      <w:bookmarkStart w:id="234" w:name="_Toc25355"/>
      <w:bookmarkStart w:id="235" w:name="_Toc19939"/>
      <w:bookmarkStart w:id="236" w:name="_Toc17196"/>
      <w:bookmarkStart w:id="237" w:name="_Toc497076500"/>
      <w:bookmarkStart w:id="238" w:name="_Toc37919853"/>
      <w:bookmarkStart w:id="239" w:name="_Toc26969"/>
      <w:bookmarkStart w:id="240" w:name="_Toc49930307"/>
      <w:bookmarkStart w:id="241" w:name="_Toc3386999"/>
      <w:bookmarkStart w:id="242" w:name="_Toc4983"/>
      <w:bookmarkStart w:id="243" w:name="_Toc28838"/>
      <w:bookmarkStart w:id="244" w:name="_Toc531617871"/>
      <w:bookmarkStart w:id="245" w:name="_Toc8500"/>
      <w:bookmarkStart w:id="246" w:name="_Toc24099"/>
      <w:r>
        <w:rPr>
          <w:rFonts w:hint="eastAsia" w:ascii="宋体" w:hAnsi="宋体" w:eastAsia="宋体" w:cs="宋体"/>
          <w:b/>
          <w:bCs/>
          <w:sz w:val="36"/>
          <w:szCs w:val="44"/>
          <w:highlight w:val="none"/>
        </w:rPr>
        <w:t>三、合同资料表</w:t>
      </w:r>
      <w:bookmarkEnd w:id="16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top"/>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7778" w:type="dxa"/>
            <w:noWrap w:val="0"/>
            <w:vAlign w:val="top"/>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内</w:t>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7778" w:type="dxa"/>
            <w:noWrap w:val="0"/>
            <w:vAlign w:val="top"/>
          </w:tcPr>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甲方：</w:t>
            </w:r>
            <w:r>
              <w:rPr>
                <w:rFonts w:hint="eastAsia" w:ascii="宋体" w:hAnsi="宋体" w:cs="宋体"/>
                <w:sz w:val="21"/>
                <w:szCs w:val="21"/>
                <w:highlight w:val="none"/>
                <w:lang w:eastAsia="zh-CN"/>
              </w:rPr>
              <w:t>广东省珠海市中级人民法院（</w:t>
            </w:r>
            <w:r>
              <w:rPr>
                <w:rFonts w:hint="eastAsia" w:ascii="宋体" w:hAnsi="宋体" w:cs="宋体"/>
                <w:sz w:val="21"/>
                <w:szCs w:val="21"/>
                <w:highlight w:val="none"/>
                <w:lang w:val="en-US" w:eastAsia="zh-CN"/>
              </w:rPr>
              <w:t>采购人</w:t>
            </w:r>
            <w:r>
              <w:rPr>
                <w:rFonts w:hint="eastAsia" w:ascii="宋体" w:hAnsi="宋体" w:cs="宋体"/>
                <w:sz w:val="21"/>
                <w:szCs w:val="21"/>
                <w:highlight w:val="none"/>
                <w:lang w:eastAsia="zh-CN"/>
              </w:rPr>
              <w:t>）</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乙方：</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为本项目成交供应商</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7778" w:type="dxa"/>
            <w:noWrap w:val="0"/>
            <w:vAlign w:val="top"/>
          </w:tcPr>
          <w:p>
            <w:pPr>
              <w:spacing w:line="360" w:lineRule="auto"/>
              <w:rPr>
                <w:rFonts w:hint="eastAsia" w:ascii="宋体" w:hAnsi="宋体" w:eastAsia="宋体" w:cs="宋体"/>
                <w:sz w:val="21"/>
                <w:szCs w:val="21"/>
                <w:highlight w:val="none"/>
              </w:rPr>
            </w:pPr>
            <w:r>
              <w:rPr>
                <w:rFonts w:hint="eastAsia" w:ascii="宋体" w:hAnsi="宋体" w:eastAsia="宋体" w:cs="宋体"/>
                <w:b/>
                <w:kern w:val="28"/>
                <w:sz w:val="21"/>
                <w:szCs w:val="21"/>
                <w:highlight w:val="none"/>
              </w:rPr>
              <w:t>服务期限：</w:t>
            </w:r>
            <w:r>
              <w:rPr>
                <w:rFonts w:hint="eastAsia" w:ascii="宋体" w:hAnsi="宋体" w:cs="宋体"/>
                <w:sz w:val="21"/>
                <w:szCs w:val="21"/>
                <w:highlight w:val="none"/>
                <w:lang w:val="en-US" w:eastAsia="zh-CN"/>
              </w:rPr>
              <w:t>自合同签订生效之日起三年</w:t>
            </w:r>
            <w:r>
              <w:rPr>
                <w:rFonts w:hint="eastAsia" w:ascii="宋体" w:hAnsi="宋体" w:eastAsia="宋体" w:cs="宋体"/>
                <w:bCs/>
                <w:kern w:val="28"/>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7778" w:type="dxa"/>
            <w:noWrap w:val="0"/>
            <w:vAlign w:val="top"/>
          </w:tcPr>
          <w:p>
            <w:pPr>
              <w:spacing w:line="360" w:lineRule="auto"/>
              <w:rPr>
                <w:rFonts w:hint="eastAsia"/>
                <w:lang w:eastAsia="zh-CN"/>
              </w:rPr>
            </w:pPr>
            <w:r>
              <w:rPr>
                <w:rFonts w:hint="eastAsia"/>
              </w:rPr>
              <w:t>合同价：</w:t>
            </w:r>
            <w:r>
              <w:rPr>
                <w:rFonts w:hint="eastAsia" w:ascii="宋体" w:hAnsi="宋体" w:eastAsia="宋体" w:cs="宋体"/>
                <w:sz w:val="21"/>
                <w:szCs w:val="21"/>
                <w:highlight w:val="none"/>
                <w:lang w:eastAsia="zh-CN"/>
              </w:rPr>
              <w:t>总价包干，包括但不仅限于所有设备</w:t>
            </w:r>
            <w:r>
              <w:rPr>
                <w:rFonts w:hint="eastAsia" w:ascii="宋体" w:hAnsi="宋体" w:eastAsia="宋体" w:cs="宋体"/>
                <w:sz w:val="21"/>
                <w:szCs w:val="21"/>
                <w:highlight w:val="none"/>
                <w:lang w:val="en-US" w:eastAsia="zh-CN"/>
              </w:rPr>
              <w:t>租赁</w:t>
            </w:r>
            <w:r>
              <w:rPr>
                <w:rFonts w:hint="eastAsia" w:ascii="宋体" w:hAnsi="宋体" w:eastAsia="宋体" w:cs="宋体"/>
                <w:sz w:val="21"/>
                <w:szCs w:val="21"/>
                <w:highlight w:val="none"/>
                <w:lang w:eastAsia="zh-CN"/>
              </w:rPr>
              <w:t>费、专用工具费、包装运输费、技术支持费、装卸费、保险费、检测费、安装调试费、税费、所有需要向第三方支付的知识产权费用以及维修保养等费用在内的完成本项目所需的全部费用的总和。供应商漏报或不报，采购人将视为该漏报或不报部分的费用已包括在已报的分项报价中而不予支付。在服务期限内，如出现社会生产物资、人员成本大幅上升等，由成交人自行承担，采购人除按规定支付成交价外，不再另行支付任何费用。</w:t>
            </w:r>
          </w:p>
          <w:p>
            <w:pPr>
              <w:pStyle w:val="68"/>
              <w:rPr>
                <w:rFonts w:hint="eastAsia"/>
                <w:lang w:eastAsia="zh-CN"/>
              </w:rPr>
            </w:pPr>
            <w:r>
              <w:rPr>
                <w:rFonts w:hint="eastAsia"/>
                <w:lang w:val="en-US" w:eastAsia="zh-CN"/>
              </w:rPr>
              <w:t>说明：采购代理服务费无需单独填报，供应商在报价单价中综合考虑。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778" w:type="dxa"/>
            <w:noWrap w:val="0"/>
            <w:vAlign w:val="top"/>
          </w:tcPr>
          <w:p>
            <w:pPr>
              <w:spacing w:line="360" w:lineRule="auto"/>
              <w:rPr>
                <w:rFonts w:hint="eastAsia" w:ascii="宋体" w:hAnsi="宋体" w:eastAsia="宋体" w:cs="宋体"/>
                <w:sz w:val="21"/>
                <w:szCs w:val="21"/>
                <w:highlight w:val="none"/>
                <w:lang w:eastAsia="zh-CN"/>
              </w:rPr>
            </w:pPr>
            <w:r>
              <w:rPr>
                <w:rFonts w:hint="eastAsia"/>
              </w:rPr>
              <w:t>质量及验收标准：国家及</w:t>
            </w:r>
            <w:r>
              <w:rPr>
                <w:rFonts w:hint="eastAsia" w:ascii="宋体" w:hAnsi="宋体" w:eastAsia="宋体" w:cs="宋体"/>
                <w:sz w:val="21"/>
                <w:szCs w:val="21"/>
                <w:highlight w:val="none"/>
                <w:lang w:eastAsia="zh-CN"/>
              </w:rPr>
              <w:t>行业强制标准，磋商文件要求、磋商响应文件承诺、服务合同。</w:t>
            </w:r>
          </w:p>
          <w:p>
            <w:pPr>
              <w:spacing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验收方式：由甲方组织的项目验收小组对项目进行验收。且项目验收小组有权对乙方的服务进行不定期的检查，如发现问题，乙方应及时整改。</w:t>
            </w:r>
          </w:p>
          <w:p>
            <w:pPr>
              <w:spacing w:line="360" w:lineRule="auto"/>
              <w:rPr>
                <w:rFonts w:hint="eastAsia"/>
              </w:rPr>
            </w:pPr>
            <w:r>
              <w:rPr>
                <w:rFonts w:hint="eastAsia" w:ascii="宋体" w:hAnsi="宋体" w:eastAsia="宋体" w:cs="宋体"/>
                <w:sz w:val="21"/>
                <w:szCs w:val="21"/>
                <w:highlight w:val="none"/>
                <w:lang w:eastAsia="zh-CN"/>
              </w:rPr>
              <w:t>验收提供资料：验收前，乙方须提供产品有关产品说明书、技术文件、资料、设计及施工图及安装、验收报告等文档汇集成册交付使用单位。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7778" w:type="dxa"/>
            <w:noWrap w:val="0"/>
            <w:vAlign w:val="top"/>
          </w:tcPr>
          <w:p>
            <w:pPr>
              <w:spacing w:line="360" w:lineRule="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付款方式及条件：</w:t>
            </w:r>
          </w:p>
          <w:p>
            <w:pPr>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1期：支付比例30%，双方签订合同</w:t>
            </w:r>
            <w:r>
              <w:rPr>
                <w:rFonts w:hint="eastAsia" w:ascii="宋体" w:hAnsi="宋体" w:cs="宋体"/>
                <w:b w:val="0"/>
                <w:bCs w:val="0"/>
                <w:sz w:val="21"/>
                <w:szCs w:val="21"/>
                <w:highlight w:val="none"/>
                <w:lang w:val="en-US" w:eastAsia="zh-CN"/>
              </w:rPr>
              <w:t>之日起</w:t>
            </w:r>
            <w:r>
              <w:rPr>
                <w:rFonts w:hint="eastAsia" w:ascii="宋体" w:hAnsi="宋体" w:eastAsia="宋体" w:cs="宋体"/>
                <w:b w:val="0"/>
                <w:bCs w:val="0"/>
                <w:sz w:val="21"/>
                <w:szCs w:val="21"/>
                <w:highlight w:val="none"/>
              </w:rPr>
              <w:t>10日内，采购人向成交供应商支付合同金额的30%；</w:t>
            </w:r>
          </w:p>
          <w:p>
            <w:pPr>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2期：支付比例60%，主要设备</w:t>
            </w:r>
            <w:r>
              <w:rPr>
                <w:rFonts w:hint="eastAsia" w:ascii="宋体" w:hAnsi="宋体" w:cs="宋体"/>
                <w:b w:val="0"/>
                <w:bCs w:val="0"/>
                <w:sz w:val="21"/>
                <w:szCs w:val="21"/>
                <w:highlight w:val="none"/>
                <w:lang w:val="en-US" w:eastAsia="zh-CN"/>
              </w:rPr>
              <w:t>货物</w:t>
            </w:r>
            <w:r>
              <w:rPr>
                <w:rFonts w:hint="eastAsia" w:ascii="宋体" w:hAnsi="宋体" w:eastAsia="宋体" w:cs="宋体"/>
                <w:b w:val="0"/>
                <w:bCs w:val="0"/>
                <w:sz w:val="21"/>
                <w:szCs w:val="21"/>
                <w:highlight w:val="none"/>
              </w:rPr>
              <w:t>到现场</w:t>
            </w:r>
            <w:r>
              <w:rPr>
                <w:rFonts w:hint="eastAsia" w:ascii="宋体" w:hAnsi="宋体" w:cs="宋体"/>
                <w:b w:val="0"/>
                <w:bCs w:val="0"/>
                <w:sz w:val="21"/>
                <w:szCs w:val="21"/>
                <w:highlight w:val="none"/>
                <w:lang w:val="en-US" w:eastAsia="zh-CN"/>
              </w:rPr>
              <w:t>之日起</w:t>
            </w:r>
            <w:r>
              <w:rPr>
                <w:rFonts w:hint="eastAsia" w:ascii="宋体" w:hAnsi="宋体" w:eastAsia="宋体" w:cs="宋体"/>
                <w:b w:val="0"/>
                <w:bCs w:val="0"/>
                <w:sz w:val="21"/>
                <w:szCs w:val="21"/>
                <w:highlight w:val="none"/>
              </w:rPr>
              <w:t>10日内，采购人向成交供应商支付至合同金额的90%；</w:t>
            </w:r>
          </w:p>
          <w:p>
            <w:pPr>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3期：支付比例10%，设备安装、调试、验收合格</w:t>
            </w:r>
            <w:r>
              <w:rPr>
                <w:rFonts w:hint="eastAsia" w:ascii="宋体" w:hAnsi="宋体" w:cs="宋体"/>
                <w:b w:val="0"/>
                <w:bCs w:val="0"/>
                <w:sz w:val="21"/>
                <w:szCs w:val="21"/>
                <w:highlight w:val="none"/>
                <w:lang w:val="en-US" w:eastAsia="zh-CN"/>
              </w:rPr>
              <w:t>之日起</w:t>
            </w:r>
            <w:r>
              <w:rPr>
                <w:rFonts w:hint="eastAsia" w:ascii="宋体" w:hAnsi="宋体" w:eastAsia="宋体" w:cs="宋体"/>
                <w:b w:val="0"/>
                <w:bCs w:val="0"/>
                <w:sz w:val="21"/>
                <w:szCs w:val="21"/>
                <w:highlight w:val="none"/>
              </w:rPr>
              <w:t>10日内，采购人向成交供应商支付至合同金额的100%；</w:t>
            </w:r>
          </w:p>
          <w:p>
            <w:pPr>
              <w:spacing w:line="360" w:lineRule="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说明：</w:t>
            </w:r>
          </w:p>
          <w:p>
            <w:pPr>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1.因甲方使用的是财政资金，甲方在前款规定的付款时间为向政府采购支付部门提出办理财政支付申请手续的时间</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不含政府财政支付部门审核的时间</w:t>
            </w:r>
            <w:r>
              <w:rPr>
                <w:rFonts w:hint="eastAsia" w:ascii="宋体" w:hAnsi="宋体" w:cs="宋体"/>
                <w:b w:val="0"/>
                <w:bCs w:val="0"/>
                <w:sz w:val="21"/>
                <w:szCs w:val="21"/>
                <w:highlight w:val="none"/>
                <w:lang w:eastAsia="zh-CN"/>
              </w:rPr>
              <w:t>）</w:t>
            </w:r>
            <w:r>
              <w:rPr>
                <w:rFonts w:hint="eastAsia" w:ascii="宋体" w:hAnsi="宋体" w:eastAsia="宋体" w:cs="宋体"/>
                <w:b w:val="0"/>
                <w:bCs w:val="0"/>
                <w:sz w:val="21"/>
                <w:szCs w:val="21"/>
                <w:highlight w:val="none"/>
              </w:rPr>
              <w:t>，在规定时间内提出支付申请手续后即视为甲方已经按期支付。</w:t>
            </w:r>
          </w:p>
          <w:p>
            <w:pPr>
              <w:spacing w:line="360" w:lineRule="auto"/>
              <w:ind w:firstLine="420" w:firstLineChars="20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2.乙方发生违约的，</w:t>
            </w:r>
            <w:r>
              <w:rPr>
                <w:rFonts w:hint="eastAsia" w:asciiTheme="minorEastAsia" w:hAnsiTheme="minorEastAsia" w:eastAsiaTheme="minorEastAsia"/>
                <w:szCs w:val="21"/>
              </w:rPr>
              <w:t>支付金额为扣除违约金后的金额。</w:t>
            </w:r>
          </w:p>
          <w:p>
            <w:pPr>
              <w:spacing w:line="360" w:lineRule="auto"/>
              <w:ind w:firstLine="420" w:firstLineChars="20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3.每笔款项支付前乙方须向甲方开具</w:t>
            </w:r>
            <w:r>
              <w:rPr>
                <w:rFonts w:hint="eastAsia" w:ascii="宋体" w:hAnsi="宋体" w:cs="宋体"/>
                <w:b w:val="0"/>
                <w:bCs w:val="0"/>
                <w:sz w:val="21"/>
                <w:szCs w:val="21"/>
                <w:highlight w:val="none"/>
                <w:lang w:val="en-US" w:eastAsia="zh-CN"/>
              </w:rPr>
              <w:t>相应金额的正式</w:t>
            </w:r>
            <w:r>
              <w:rPr>
                <w:rFonts w:hint="eastAsia" w:ascii="宋体" w:hAnsi="宋体" w:eastAsia="宋体" w:cs="宋体"/>
                <w:b w:val="0"/>
                <w:bCs w:val="0"/>
                <w:sz w:val="21"/>
                <w:szCs w:val="21"/>
                <w:highlight w:val="none"/>
              </w:rPr>
              <w:t>发票。</w:t>
            </w:r>
          </w:p>
          <w:p>
            <w:pPr>
              <w:spacing w:line="360" w:lineRule="auto"/>
              <w:ind w:firstLine="420" w:firstLineChars="200"/>
              <w:rPr>
                <w:rFonts w:hint="eastAsia" w:ascii="宋体" w:hAnsi="宋体" w:eastAsia="宋体" w:cs="宋体"/>
                <w:b/>
                <w:bCs/>
                <w:sz w:val="21"/>
                <w:szCs w:val="21"/>
                <w:highlight w:val="none"/>
              </w:rPr>
            </w:pPr>
            <w:r>
              <w:rPr>
                <w:rFonts w:hint="eastAsia" w:ascii="宋体" w:hAnsi="宋体" w:eastAsia="宋体" w:cs="宋体"/>
                <w:b w:val="0"/>
                <w:bCs w:val="0"/>
                <w:sz w:val="21"/>
                <w:szCs w:val="21"/>
                <w:highlight w:val="none"/>
              </w:rPr>
              <w:t>4.本合同所有款项均以银行转账支付。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7778" w:type="dxa"/>
            <w:noWrap w:val="0"/>
            <w:vAlign w:val="top"/>
          </w:tcPr>
          <w:p>
            <w:pPr>
              <w:adjustRightInd w:val="0"/>
              <w:snapToGrid w:val="0"/>
              <w:spacing w:line="360" w:lineRule="auto"/>
              <w:rPr>
                <w:rFonts w:hint="eastAsia" w:ascii="宋体" w:hAnsi="宋体" w:eastAsia="宋体" w:cs="宋体"/>
                <w:b/>
                <w:bCs/>
                <w:sz w:val="21"/>
                <w:szCs w:val="21"/>
                <w:highlight w:val="none"/>
              </w:rPr>
            </w:pPr>
            <w:r>
              <w:rPr>
                <w:rFonts w:hint="eastAsia"/>
                <w:b/>
                <w:sz w:val="21"/>
              </w:rPr>
              <w:t>保密</w:t>
            </w:r>
            <w:r>
              <w:rPr>
                <w:rFonts w:hint="eastAsia" w:ascii="宋体" w:hAnsi="宋体" w:eastAsia="宋体" w:cs="宋体"/>
                <w:b/>
                <w:bCs/>
                <w:sz w:val="21"/>
                <w:szCs w:val="21"/>
                <w:highlight w:val="none"/>
              </w:rPr>
              <w:t>：</w:t>
            </w:r>
          </w:p>
          <w:p>
            <w:pPr>
              <w:adjustRightInd w:val="0"/>
              <w:snapToGrid w:val="0"/>
              <w:spacing w:line="360" w:lineRule="auto"/>
              <w:ind w:firstLine="420" w:firstLineChars="200"/>
              <w:rPr>
                <w:rFonts w:hint="eastAsia" w:ascii="宋体" w:hAnsi="宋体" w:eastAsia="宋体" w:cs="宋体"/>
                <w:sz w:val="21"/>
                <w:szCs w:val="21"/>
                <w:highlight w:val="none"/>
              </w:rPr>
            </w:pPr>
            <w:r>
              <w:rPr>
                <w:rFonts w:hint="eastAsia"/>
                <w:sz w:val="21"/>
              </w:rPr>
              <w:t>乙方需对经手的所有甲方和本项目的资料与信息均应当保密，不得泄露给本项目参与单位之外的单位或人员。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7778" w:type="dxa"/>
            <w:noWrap w:val="0"/>
            <w:vAlign w:val="top"/>
          </w:tcPr>
          <w:p>
            <w:pPr>
              <w:pStyle w:val="373"/>
              <w:ind w:left="0" w:leftChars="0" w:firstLine="0" w:firstLineChars="0"/>
              <w:rPr>
                <w:rFonts w:hint="eastAsia"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违约责任：</w:t>
            </w:r>
          </w:p>
          <w:p>
            <w:pPr>
              <w:pStyle w:val="373"/>
              <w:ind w:left="0" w:leftChars="0" w:firstLine="42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1.乙方提供服务不符合本合同约定的，甲方有权要求乙方进行整改完善，直至甲方满意为止。</w:t>
            </w:r>
          </w:p>
          <w:p>
            <w:pPr>
              <w:pStyle w:val="373"/>
              <w:ind w:left="0" w:leftChars="0" w:firstLine="42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2.乙方未能按本合同规定的交货时间提供服务，无特殊原因的，从逾期之日起每日按本合同总价3‰的数额向甲方支付违约金；逾期六个</w:t>
            </w:r>
            <w:r>
              <w:rPr>
                <w:rFonts w:hint="eastAsia" w:cs="Times New Roman" w:asciiTheme="minorEastAsia" w:hAnsiTheme="minorEastAsia" w:eastAsiaTheme="minorEastAsia"/>
                <w:sz w:val="21"/>
                <w:szCs w:val="21"/>
              </w:rPr>
              <w:t>月以上的，甲方有权终止合同，由此造成的甲方经济损失由乙方承担，如因不可抗力或特殊原因无法如期完成培训的，需向甲方提出延期申请，经审批同意后可延期。</w:t>
            </w:r>
          </w:p>
          <w:p>
            <w:pPr>
              <w:pStyle w:val="373"/>
              <w:ind w:left="0" w:leftChars="0" w:firstLine="42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3.甲方无正当理由拒绝接受服务，到期拒付服务款项的，甲方向乙方偿付本合同总价的5%违约金。甲方仍逾期付款，则每日按本合同总价的3‰向乙方偿付违约金。</w:t>
            </w:r>
          </w:p>
          <w:p>
            <w:pPr>
              <w:pStyle w:val="373"/>
              <w:ind w:left="0" w:leftChars="0" w:firstLine="420" w:firstLineChars="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4.对于因甲方原因导致变更、中止或终止合同的，甲方应当依照第3点对乙方受到的损失予以赔偿或补偿。</w:t>
            </w:r>
          </w:p>
          <w:p>
            <w:pPr>
              <w:pStyle w:val="373"/>
              <w:ind w:left="0" w:leftChars="0" w:firstLine="420" w:firstLineChars="0"/>
              <w:rPr>
                <w:rFonts w:hint="eastAsia" w:cs="Times New Roman" w:asciiTheme="minorEastAsia" w:hAnsiTheme="minorEastAsia" w:eastAsiaTheme="minorEastAsia"/>
                <w:sz w:val="21"/>
                <w:szCs w:val="21"/>
              </w:rPr>
            </w:pPr>
            <w:r>
              <w:rPr>
                <w:rFonts w:cs="Times New Roman" w:asciiTheme="minorEastAsia" w:hAnsiTheme="minorEastAsia" w:eastAsiaTheme="minorEastAsia"/>
                <w:sz w:val="21"/>
                <w:szCs w:val="21"/>
              </w:rPr>
              <w:t>5.</w:t>
            </w:r>
            <w:r>
              <w:rPr>
                <w:rFonts w:hint="eastAsia" w:cs="Times New Roman" w:asciiTheme="minorEastAsia" w:hAnsiTheme="minorEastAsia" w:eastAsiaTheme="minorEastAsia"/>
                <w:sz w:val="21"/>
                <w:szCs w:val="21"/>
              </w:rPr>
              <w:t>其他违约责任按《中华人民共和国民法典》、磋商文件、响应文件处理。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dxa"/>
            <w:noWrap w:val="0"/>
            <w:vAlign w:val="center"/>
          </w:tcPr>
          <w:p>
            <w:pPr>
              <w:tabs>
                <w:tab w:val="left" w:pos="840"/>
              </w:tabs>
              <w:spacing w:line="400" w:lineRule="exact"/>
              <w:jc w:val="center"/>
              <w:rPr>
                <w:rFonts w:hint="eastAsia" w:ascii="宋体" w:hAnsi="宋体" w:eastAsia="宋体" w:cs="宋体"/>
                <w:sz w:val="21"/>
                <w:szCs w:val="21"/>
                <w:highlight w:val="none"/>
                <w:lang w:val="en-US" w:eastAsia="zh-CN"/>
              </w:rPr>
            </w:pPr>
            <w:bookmarkStart w:id="247" w:name="_Toc510026391"/>
            <w:r>
              <w:rPr>
                <w:rFonts w:hint="eastAsia" w:ascii="宋体" w:hAnsi="宋体" w:eastAsia="宋体" w:cs="宋体"/>
                <w:sz w:val="21"/>
                <w:szCs w:val="21"/>
                <w:highlight w:val="none"/>
                <w:lang w:val="en-US" w:eastAsia="zh-CN"/>
              </w:rPr>
              <w:t>8</w:t>
            </w:r>
          </w:p>
        </w:tc>
        <w:tc>
          <w:tcPr>
            <w:tcW w:w="7778" w:type="dxa"/>
            <w:noWrap w:val="0"/>
            <w:vAlign w:val="center"/>
          </w:tcPr>
          <w:p>
            <w:pPr>
              <w:widowControl/>
              <w:adjustRightInd w:val="0"/>
              <w:snapToGrid w:val="0"/>
              <w:spacing w:line="360" w:lineRule="auto"/>
              <w:jc w:val="both"/>
              <w:rPr>
                <w:rFonts w:hint="eastAsia" w:ascii="宋体" w:hAnsi="宋体" w:eastAsia="宋体" w:cs="宋体"/>
                <w:sz w:val="21"/>
                <w:szCs w:val="21"/>
                <w:highlight w:val="none"/>
              </w:rPr>
            </w:pPr>
            <w:r>
              <w:rPr>
                <w:rFonts w:hint="eastAsia" w:ascii="宋体" w:hAnsi="宋体" w:eastAsia="宋体" w:cs="宋体"/>
                <w:sz w:val="21"/>
                <w:szCs w:val="21"/>
              </w:rPr>
              <w:t>其他要求：详见第四章用户需求书。其它事项由双方在签订合同时具体约定。</w:t>
            </w:r>
          </w:p>
        </w:tc>
      </w:tr>
    </w:tbl>
    <w:p>
      <w:pPr>
        <w:rPr>
          <w:rFonts w:hint="eastAsia" w:ascii="宋体" w:hAnsi="宋体" w:eastAsia="宋体" w:cs="宋体"/>
          <w:highlight w:val="none"/>
        </w:rPr>
      </w:pPr>
      <w:r>
        <w:rPr>
          <w:rFonts w:hint="eastAsia" w:ascii="宋体" w:hAnsi="宋体" w:eastAsia="宋体" w:cs="宋体"/>
          <w:b/>
          <w:szCs w:val="21"/>
        </w:rPr>
        <w:t>注：本合同条款资料表中的内容为供应商必须响应和满足的商务条款要求，如有任何不响应或不满足将导致无效响应，请各供应商特别加以注意。</w:t>
      </w:r>
      <w:bookmarkEnd w:id="247"/>
      <w:r>
        <w:rPr>
          <w:rFonts w:hint="eastAsia" w:ascii="宋体" w:hAnsi="宋体" w:eastAsia="宋体" w:cs="宋体"/>
          <w:highlight w:val="none"/>
        </w:rPr>
        <w:br w:type="page"/>
      </w:r>
    </w:p>
    <w:p>
      <w:pPr>
        <w:pStyle w:val="3"/>
        <w:keepNext/>
        <w:keepLines/>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ascii="宋体" w:hAnsi="宋体" w:eastAsia="宋体" w:cs="宋体"/>
          <w:sz w:val="44"/>
          <w:szCs w:val="36"/>
          <w:highlight w:val="none"/>
        </w:rPr>
      </w:pPr>
      <w:bookmarkStart w:id="248" w:name="_Toc497076501"/>
      <w:bookmarkStart w:id="249" w:name="_Toc8243"/>
      <w:bookmarkStart w:id="250" w:name="_Toc32615"/>
      <w:bookmarkStart w:id="251" w:name="_Toc27366"/>
      <w:bookmarkStart w:id="252" w:name="_Toc3548"/>
      <w:bookmarkStart w:id="253" w:name="_Toc28979"/>
      <w:bookmarkStart w:id="254" w:name="_Toc13937"/>
      <w:bookmarkStart w:id="255" w:name="_Toc37919854"/>
      <w:bookmarkStart w:id="256" w:name="_Toc12145"/>
      <w:bookmarkStart w:id="257" w:name="_Toc49930308"/>
      <w:bookmarkStart w:id="258" w:name="_Toc4224"/>
      <w:bookmarkStart w:id="259" w:name="_Toc9848"/>
      <w:bookmarkStart w:id="260" w:name="_Toc3387000"/>
      <w:bookmarkStart w:id="261" w:name="_Toc29275"/>
      <w:bookmarkStart w:id="262" w:name="_Toc276645573"/>
      <w:bookmarkStart w:id="263" w:name="_Toc531617872"/>
      <w:r>
        <w:rPr>
          <w:rFonts w:hint="eastAsia" w:ascii="宋体" w:hAnsi="宋体" w:eastAsia="宋体" w:cs="宋体"/>
          <w:sz w:val="44"/>
          <w:szCs w:val="36"/>
          <w:highlight w:val="none"/>
        </w:rPr>
        <w:t>第三部分 供应商须知</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264" w:name="_Toc511756975"/>
      <w:bookmarkStart w:id="265" w:name="_Toc14967"/>
      <w:bookmarkStart w:id="266" w:name="_Toc22892"/>
      <w:bookmarkStart w:id="267" w:name="_Toc9748"/>
      <w:bookmarkStart w:id="268" w:name="_Toc6490"/>
      <w:bookmarkStart w:id="269" w:name="_Toc11686"/>
      <w:bookmarkStart w:id="270" w:name="_Toc49930309"/>
      <w:bookmarkStart w:id="271" w:name="_Toc23731"/>
      <w:bookmarkStart w:id="272" w:name="_Toc494979036"/>
      <w:bookmarkStart w:id="273" w:name="_Toc516743910"/>
      <w:bookmarkStart w:id="274" w:name="_Toc37919855"/>
      <w:bookmarkStart w:id="275" w:name="_Toc20994"/>
      <w:bookmarkStart w:id="276" w:name="_Toc8353"/>
      <w:bookmarkStart w:id="277" w:name="_Toc25834"/>
      <w:bookmarkStart w:id="278" w:name="_Toc37166170"/>
      <w:bookmarkStart w:id="279" w:name="_Toc528944992"/>
      <w:bookmarkStart w:id="280" w:name="_Toc19624"/>
      <w:bookmarkStart w:id="281" w:name="_Toc17576"/>
      <w:bookmarkStart w:id="282" w:name="_Toc24260"/>
      <w:bookmarkStart w:id="283" w:name="_Toc497076502"/>
      <w:bookmarkStart w:id="284" w:name="_Toc3387001"/>
      <w:bookmarkStart w:id="285" w:name="_Toc22233"/>
      <w:bookmarkStart w:id="286" w:name="_Toc531617873"/>
      <w:bookmarkStart w:id="287" w:name="_Toc42952414"/>
      <w:r>
        <w:rPr>
          <w:rFonts w:hint="eastAsia" w:ascii="宋体" w:hAnsi="宋体" w:eastAsia="宋体" w:cs="宋体"/>
          <w:b/>
          <w:bCs/>
          <w:sz w:val="21"/>
          <w:szCs w:val="21"/>
          <w:highlight w:val="none"/>
        </w:rPr>
        <w:t>一、说明</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spacing w:line="360" w:lineRule="auto"/>
        <w:outlineLvl w:val="9"/>
        <w:rPr>
          <w:rStyle w:val="73"/>
          <w:rFonts w:hint="eastAsia" w:ascii="宋体" w:hAnsi="宋体" w:eastAsia="宋体" w:cs="宋体"/>
          <w:b/>
          <w:bCs/>
          <w:sz w:val="21"/>
          <w:szCs w:val="21"/>
        </w:rPr>
      </w:pPr>
      <w:bookmarkStart w:id="288" w:name="_Toc13354"/>
      <w:bookmarkStart w:id="289" w:name="_Toc49930310"/>
      <w:bookmarkStart w:id="290" w:name="_Toc494979037"/>
      <w:bookmarkStart w:id="291" w:name="_Toc528944993"/>
      <w:bookmarkStart w:id="292" w:name="_Toc16817"/>
      <w:bookmarkStart w:id="293" w:name="_Toc30040"/>
      <w:bookmarkStart w:id="294" w:name="_Toc28053"/>
      <w:bookmarkStart w:id="295" w:name="_Toc19983"/>
      <w:bookmarkStart w:id="296" w:name="_Toc511756976"/>
      <w:bookmarkStart w:id="297" w:name="_Toc5389"/>
      <w:bookmarkStart w:id="298" w:name="_Toc30205"/>
      <w:bookmarkStart w:id="299" w:name="_Toc18177"/>
      <w:bookmarkStart w:id="300" w:name="_Toc21817"/>
      <w:bookmarkStart w:id="301" w:name="_Toc16813"/>
      <w:bookmarkStart w:id="302" w:name="_Toc20525"/>
      <w:bookmarkStart w:id="303" w:name="_Toc37919856"/>
      <w:bookmarkStart w:id="304" w:name="_Toc37166171"/>
      <w:bookmarkStart w:id="305" w:name="_Toc516743911"/>
      <w:r>
        <w:rPr>
          <w:rStyle w:val="73"/>
          <w:rFonts w:hint="eastAsia" w:ascii="宋体" w:hAnsi="宋体" w:eastAsia="宋体" w:cs="宋体"/>
          <w:b/>
          <w:bCs/>
          <w:sz w:val="21"/>
          <w:szCs w:val="21"/>
        </w:rPr>
        <w:t>1.适用范围</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w:t>
      </w:r>
      <w:r>
        <w:rPr>
          <w:rFonts w:hint="eastAsia" w:ascii="宋体" w:hAnsi="宋体" w:eastAsia="宋体" w:cs="宋体"/>
          <w:sz w:val="21"/>
          <w:szCs w:val="21"/>
          <w:highlight w:val="none"/>
        </w:rPr>
        <w:tab/>
      </w:r>
      <w:r>
        <w:rPr>
          <w:rFonts w:hint="eastAsia" w:ascii="宋体" w:hAnsi="宋体" w:eastAsia="宋体" w:cs="宋体"/>
          <w:sz w:val="21"/>
          <w:szCs w:val="21"/>
          <w:highlight w:val="none"/>
        </w:rPr>
        <w:t>本磋商文件仅适用于本竞争性磋商的采购项目。</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4"/>
          <w:highlight w:val="none"/>
        </w:rPr>
      </w:pPr>
      <w:r>
        <w:rPr>
          <w:rFonts w:hint="eastAsia" w:ascii="宋体" w:hAnsi="宋体" w:eastAsia="宋体" w:cs="宋体"/>
          <w:sz w:val="21"/>
          <w:szCs w:val="21"/>
          <w:highlight w:val="none"/>
        </w:rPr>
        <w:t>1.2本项目采购方式：竞争性磋商。</w:t>
      </w:r>
    </w:p>
    <w:p>
      <w:pPr>
        <w:spacing w:line="360" w:lineRule="auto"/>
        <w:outlineLvl w:val="9"/>
        <w:rPr>
          <w:rStyle w:val="73"/>
          <w:rFonts w:hint="eastAsia" w:ascii="宋体" w:hAnsi="宋体" w:eastAsia="宋体" w:cs="宋体"/>
          <w:b/>
          <w:bCs/>
          <w:sz w:val="21"/>
          <w:szCs w:val="21"/>
        </w:rPr>
      </w:pPr>
      <w:bookmarkStart w:id="306" w:name="_Toc494979038"/>
      <w:bookmarkStart w:id="307" w:name="_Toc23309"/>
      <w:bookmarkStart w:id="308" w:name="_Toc37166172"/>
      <w:bookmarkStart w:id="309" w:name="_Toc19747"/>
      <w:bookmarkStart w:id="310" w:name="_Toc528944994"/>
      <w:bookmarkStart w:id="311" w:name="_Toc25018"/>
      <w:bookmarkStart w:id="312" w:name="_Toc516743912"/>
      <w:bookmarkStart w:id="313" w:name="_Toc445"/>
      <w:bookmarkStart w:id="314" w:name="_Toc4418"/>
      <w:bookmarkStart w:id="315" w:name="_Toc37919857"/>
      <w:bookmarkStart w:id="316" w:name="_Toc18317"/>
      <w:bookmarkStart w:id="317" w:name="_Toc3144"/>
      <w:bookmarkStart w:id="318" w:name="_Toc7588"/>
      <w:bookmarkStart w:id="319" w:name="_Toc511756977"/>
      <w:bookmarkStart w:id="320" w:name="_Toc2547"/>
      <w:bookmarkStart w:id="321" w:name="_Toc49930311"/>
      <w:bookmarkStart w:id="322" w:name="_Toc1079"/>
      <w:bookmarkStart w:id="323" w:name="_Toc31425"/>
      <w:r>
        <w:rPr>
          <w:rStyle w:val="73"/>
          <w:rFonts w:hint="eastAsia" w:ascii="宋体" w:hAnsi="宋体" w:eastAsia="宋体" w:cs="宋体"/>
          <w:b/>
          <w:bCs/>
          <w:sz w:val="21"/>
          <w:szCs w:val="21"/>
        </w:rPr>
        <w:t>2.定义</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2.1“采购人”指本采购项目的委托人。</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2.2“采购代理机构”指</w:t>
      </w:r>
      <w:r>
        <w:rPr>
          <w:rFonts w:hint="eastAsia" w:ascii="宋体" w:hAnsi="宋体" w:eastAsia="宋体" w:cs="宋体"/>
          <w:sz w:val="21"/>
          <w:szCs w:val="21"/>
          <w:highlight w:val="none"/>
          <w:lang w:eastAsia="zh-CN"/>
        </w:rPr>
        <w:t>珠海正诺工程咨询有限公司</w:t>
      </w:r>
      <w:r>
        <w:rPr>
          <w:rFonts w:hint="eastAsia" w:ascii="宋体" w:hAnsi="宋体" w:eastAsia="宋体" w:cs="宋体"/>
          <w:sz w:val="21"/>
          <w:szCs w:val="21"/>
          <w:highlight w:val="none"/>
        </w:rPr>
        <w:t>。</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2.3“监管部门”是指</w:t>
      </w:r>
      <w:r>
        <w:rPr>
          <w:rFonts w:hint="eastAsia" w:ascii="宋体" w:hAnsi="宋体" w:eastAsia="宋体" w:cs="宋体"/>
          <w:sz w:val="21"/>
          <w:szCs w:val="21"/>
          <w:highlight w:val="none"/>
          <w:lang w:eastAsia="zh-CN"/>
        </w:rPr>
        <w:t>：采购人的监管部门。</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2.4合格的供应商：</w:t>
      </w:r>
    </w:p>
    <w:p>
      <w:pPr>
        <w:pageBreakBefore w:val="0"/>
        <w:tabs>
          <w:tab w:val="left" w:pos="735"/>
        </w:tabs>
        <w:kinsoku/>
        <w:wordWrap/>
        <w:overflowPunct/>
        <w:topLinePunct w:val="0"/>
        <w:autoSpaceDE/>
        <w:autoSpaceDN/>
        <w:bidi w:val="0"/>
        <w:spacing w:line="360" w:lineRule="auto"/>
        <w:ind w:left="0" w:leftChars="0" w:right="0" w:rightChars="0" w:firstLine="420" w:firstLineChars="200"/>
        <w:textAlignment w:val="auto"/>
        <w:outlineLvl w:val="9"/>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2.4.1符合</w:t>
      </w:r>
      <w:r>
        <w:rPr>
          <w:rFonts w:hint="eastAsia" w:ascii="宋体" w:hAnsi="宋体" w:eastAsia="宋体" w:cs="宋体"/>
          <w:sz w:val="21"/>
          <w:szCs w:val="21"/>
          <w:highlight w:val="none"/>
        </w:rPr>
        <w:t>《供应商须知前附表》以及《竞争性磋商邀请函》</w:t>
      </w:r>
      <w:r>
        <w:rPr>
          <w:rFonts w:hint="eastAsia" w:ascii="宋体" w:hAnsi="宋体" w:eastAsia="宋体" w:cs="宋体"/>
          <w:snapToGrid w:val="0"/>
          <w:kern w:val="0"/>
          <w:sz w:val="21"/>
          <w:szCs w:val="21"/>
          <w:highlight w:val="none"/>
        </w:rPr>
        <w:t>所列资格要求的供应商。</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napToGrid w:val="0"/>
          <w:kern w:val="0"/>
          <w:sz w:val="21"/>
          <w:szCs w:val="21"/>
          <w:highlight w:val="none"/>
        </w:rPr>
        <w:t>2.4.3本项目不接受联合体参加，《供应商须知前附表》</w:t>
      </w:r>
      <w:r>
        <w:rPr>
          <w:rFonts w:hint="eastAsia" w:ascii="宋体" w:hAnsi="宋体" w:eastAsia="宋体" w:cs="宋体"/>
          <w:sz w:val="21"/>
          <w:szCs w:val="21"/>
          <w:highlight w:val="none"/>
        </w:rPr>
        <w:t>以及《竞争性磋商邀请函》</w:t>
      </w:r>
      <w:r>
        <w:rPr>
          <w:rFonts w:hint="eastAsia" w:ascii="宋体" w:hAnsi="宋体" w:eastAsia="宋体" w:cs="宋体"/>
          <w:snapToGrid w:val="0"/>
          <w:kern w:val="0"/>
          <w:sz w:val="21"/>
          <w:szCs w:val="21"/>
          <w:highlight w:val="none"/>
        </w:rPr>
        <w:t>另有约定除外；</w:t>
      </w:r>
      <w:r>
        <w:rPr>
          <w:rFonts w:hint="eastAsia" w:ascii="宋体" w:hAnsi="宋体" w:eastAsia="宋体" w:cs="宋体"/>
          <w:sz w:val="21"/>
          <w:szCs w:val="21"/>
          <w:highlight w:val="none"/>
        </w:rPr>
        <w:t>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联合体各方之间应当签订联合体协议，明确约定联合体各方承担的工作和相应的责任，并将联合体协议连同响应文件一并提交采购代理机构；联合体各方签订联合体协议后，不得再以自己的名义单独参加同一合同项的磋商，也不得组成新的联合体参加同一合同项的磋商。</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2.5“货物”指供应商按磋商文件的规定，须向采购人提供的一切产品、物品及其他材料等。货物必须是合法生产、合法来源的符合国家有关标准要求的货物，并满足本磋商文件规定的规格、参数、质量、价格、有效期、售后服务等要求。</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2.5.1供应商提供所有货物必须是全新的、未使用过的货物。</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2.5.2国产的货物及其有关服务必须符合中华人民共和国的设计和制造的国家及行业标准、强制性规范，需要取得生产许可方可制造生产的，须依法取得许可。</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2.5.3进口的货物及其有关服务必须符合原产地和/或中华人民共和国的设计和制造生产或行业标准，具有合法的进口手续和途径，并通过了进口检验检疫主管部门的检验。</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2.5.4除非“磋商须知前附表”中允许，</w:t>
      </w:r>
      <w:r>
        <w:rPr>
          <w:rFonts w:hint="eastAsia" w:ascii="宋体" w:hAnsi="宋体" w:eastAsia="宋体" w:cs="宋体"/>
          <w:sz w:val="21"/>
          <w:szCs w:val="21"/>
          <w:highlight w:val="none"/>
        </w:rPr>
        <w:t>否则不允许以进口产品参加磋商；磋商文件没有允许进口产品参加，供应商以进口产品参加磋商的，其响应文件将被拒绝。</w:t>
      </w:r>
      <w:r>
        <w:rPr>
          <w:rFonts w:hint="eastAsia" w:ascii="宋体" w:hAnsi="宋体" w:eastAsia="宋体" w:cs="宋体"/>
          <w:snapToGrid w:val="0"/>
          <w:sz w:val="21"/>
          <w:szCs w:val="21"/>
          <w:highlight w:val="none"/>
        </w:rPr>
        <w:t>允许选用进口产品参加的，供应商也可以选用符合要求的国产产品参加。</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2.5.5供应商应保证，采购人在中华人民共和国使用该货物或货物的任何一部分时，免受第三方提出的侵犯其专利权、商标权、著作权或其他知识产权的起诉。</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2.5.6采购货物属于《中华人民共和国实施强制性产品认证的产品目录》内、属于强制认可范围的，必须经国家指定的认证机构认证合格、取得指定认证机构颁发的认证证书、并加施认证标志后，方可在本项目中使用。</w:t>
      </w:r>
    </w:p>
    <w:p>
      <w:pPr>
        <w:pageBreakBefore w:val="0"/>
        <w:tabs>
          <w:tab w:val="left" w:pos="360"/>
        </w:tabs>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2.5.7采购的产品属于《节能产品政府采购品目清单》强制采购范围的，响应文件须提供国家采信的认证机构出具的、处于有效期之内的节能产品认证证书。</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napToGrid w:val="0"/>
          <w:sz w:val="21"/>
          <w:szCs w:val="21"/>
          <w:highlight w:val="none"/>
        </w:rPr>
        <w:t>2.5.8满足《磋商须知前附表》所列其他要求。</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2.6服务：指供应商提供的货物所需的相关服务以及用户需求书中要求的其他服务。</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2.7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2.8磋商文件中规定的“书面形式”包括纸质文件和磋商文件中规定的电子文件。</w:t>
      </w:r>
    </w:p>
    <w:p>
      <w:pPr>
        <w:spacing w:line="360" w:lineRule="auto"/>
        <w:outlineLvl w:val="9"/>
        <w:rPr>
          <w:rStyle w:val="73"/>
          <w:rFonts w:hint="eastAsia" w:ascii="宋体" w:hAnsi="宋体" w:eastAsia="宋体" w:cs="宋体"/>
          <w:b/>
          <w:bCs/>
          <w:sz w:val="21"/>
          <w:szCs w:val="21"/>
        </w:rPr>
      </w:pPr>
      <w:bookmarkStart w:id="324" w:name="_Toc7173"/>
      <w:bookmarkStart w:id="325" w:name="_Toc19522"/>
      <w:bookmarkStart w:id="326" w:name="_Toc511756978"/>
      <w:bookmarkStart w:id="327" w:name="_Toc494979039"/>
      <w:bookmarkStart w:id="328" w:name="_Toc14734"/>
      <w:bookmarkStart w:id="329" w:name="_Toc25372"/>
      <w:bookmarkStart w:id="330" w:name="_Toc49930312"/>
      <w:bookmarkStart w:id="331" w:name="_Toc37166173"/>
      <w:bookmarkStart w:id="332" w:name="_Toc9905"/>
      <w:bookmarkStart w:id="333" w:name="_Toc528944995"/>
      <w:bookmarkStart w:id="334" w:name="_Toc9227"/>
      <w:bookmarkStart w:id="335" w:name="_Toc23524"/>
      <w:bookmarkStart w:id="336" w:name="_Toc7732"/>
      <w:bookmarkStart w:id="337" w:name="_Toc516743913"/>
      <w:bookmarkStart w:id="338" w:name="_Toc25829"/>
      <w:bookmarkStart w:id="339" w:name="_Toc37919858"/>
      <w:bookmarkStart w:id="340" w:name="_Toc13970"/>
      <w:bookmarkStart w:id="341" w:name="_Toc24426"/>
      <w:r>
        <w:rPr>
          <w:rStyle w:val="73"/>
          <w:rFonts w:hint="eastAsia" w:ascii="宋体" w:hAnsi="宋体" w:eastAsia="宋体" w:cs="宋体"/>
          <w:b/>
          <w:bCs/>
          <w:sz w:val="21"/>
          <w:szCs w:val="21"/>
        </w:rPr>
        <w:t>3.合格的供应商</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3.1具有独立承担民事责任能力的中华人民共和国境内注册的法人、其他组织或者自然人</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《磋商邀请函》另有规定的除外</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，独立于采购人和采购代理机构的供应商。</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3.2单位负责人为同一人或者存在直接控股、管理关系的不同供应商，不得参加同一合同项下的采购活动。</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3.3为本项目提供整体设计、规范编制或者项目管理、监理、检测等服务的供应商，不得再参加本项目的采购活动。</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3.4有满足行政主管部门的相关许可文件和其他资格证明文件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具体要求见《磋商邀请函》</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73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3.5符合相关法规规定的供应商的其他条件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具体要求见《磋商邀请函》</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342" w:name="_Toc7475"/>
      <w:bookmarkStart w:id="343" w:name="_Toc23177"/>
      <w:bookmarkStart w:id="344" w:name="_Toc18795"/>
      <w:bookmarkStart w:id="345" w:name="_Toc15432"/>
      <w:bookmarkStart w:id="346" w:name="_Toc24787"/>
      <w:bookmarkStart w:id="347" w:name="_Toc8341"/>
      <w:bookmarkStart w:id="348" w:name="_Toc49930313"/>
      <w:bookmarkStart w:id="349" w:name="_Toc26377"/>
      <w:bookmarkStart w:id="350" w:name="_Toc1682"/>
      <w:bookmarkStart w:id="351" w:name="_Toc494979040"/>
      <w:bookmarkStart w:id="352" w:name="_Toc516743914"/>
      <w:bookmarkStart w:id="353" w:name="_Toc3257"/>
      <w:bookmarkStart w:id="354" w:name="_Toc528944996"/>
      <w:bookmarkStart w:id="355" w:name="_Toc511756979"/>
      <w:bookmarkStart w:id="356" w:name="_Toc6150"/>
      <w:bookmarkStart w:id="357" w:name="_Toc37919859"/>
      <w:bookmarkStart w:id="358" w:name="_Toc22091"/>
      <w:bookmarkStart w:id="359" w:name="_Toc37166174"/>
      <w:r>
        <w:rPr>
          <w:rFonts w:hint="eastAsia" w:ascii="宋体" w:hAnsi="宋体" w:eastAsia="宋体" w:cs="宋体"/>
          <w:b/>
          <w:bCs/>
          <w:sz w:val="21"/>
          <w:szCs w:val="21"/>
          <w:highlight w:val="none"/>
        </w:rPr>
        <w:t>二、磋商文件</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360" w:lineRule="auto"/>
        <w:outlineLvl w:val="9"/>
        <w:rPr>
          <w:rStyle w:val="73"/>
          <w:rFonts w:hint="eastAsia" w:ascii="宋体" w:hAnsi="宋体" w:eastAsia="宋体" w:cs="宋体"/>
          <w:b/>
          <w:bCs/>
          <w:sz w:val="21"/>
          <w:szCs w:val="21"/>
        </w:rPr>
      </w:pPr>
      <w:bookmarkStart w:id="360" w:name="_Toc528944997"/>
      <w:bookmarkStart w:id="361" w:name="_Toc12540"/>
      <w:bookmarkStart w:id="362" w:name="_Toc22771"/>
      <w:bookmarkStart w:id="363" w:name="_Toc30305"/>
      <w:bookmarkStart w:id="364" w:name="_Toc511756980"/>
      <w:bookmarkStart w:id="365" w:name="_Toc37166175"/>
      <w:bookmarkStart w:id="366" w:name="_Toc1838"/>
      <w:bookmarkStart w:id="367" w:name="_Toc31263"/>
      <w:bookmarkStart w:id="368" w:name="_Toc37919860"/>
      <w:bookmarkStart w:id="369" w:name="_Toc516743915"/>
      <w:bookmarkStart w:id="370" w:name="_Toc26548"/>
      <w:bookmarkStart w:id="371" w:name="_Toc26982"/>
      <w:bookmarkStart w:id="372" w:name="_Toc49930314"/>
      <w:bookmarkStart w:id="373" w:name="_Toc494979041"/>
      <w:bookmarkStart w:id="374" w:name="_Toc16512"/>
      <w:bookmarkStart w:id="375" w:name="_Toc482"/>
      <w:bookmarkStart w:id="376" w:name="_Toc32183"/>
      <w:bookmarkStart w:id="377" w:name="_Toc15456"/>
      <w:r>
        <w:rPr>
          <w:rStyle w:val="73"/>
          <w:rFonts w:hint="eastAsia" w:ascii="宋体" w:hAnsi="宋体" w:eastAsia="宋体" w:cs="宋体"/>
          <w:b/>
          <w:bCs/>
          <w:sz w:val="21"/>
          <w:szCs w:val="21"/>
        </w:rPr>
        <w:t>4.磋商文件的组成</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ageBreakBefore w:val="0"/>
        <w:tabs>
          <w:tab w:val="left" w:pos="720"/>
          <w:tab w:val="left" w:pos="1438"/>
        </w:tabs>
        <w:kinsoku/>
        <w:wordWrap/>
        <w:overflowPunct/>
        <w:topLinePunct w:val="0"/>
        <w:autoSpaceDE/>
        <w:autoSpaceDN/>
        <w:bidi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竞争性磋商文件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以下称“磋商文件”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包括以下部分：</w:t>
      </w:r>
    </w:p>
    <w:p>
      <w:pPr>
        <w:pageBreakBefore w:val="0"/>
        <w:kinsoku/>
        <w:wordWrap/>
        <w:overflowPunct/>
        <w:topLinePunct w:val="0"/>
        <w:autoSpaceDE/>
        <w:autoSpaceDN/>
        <w:bidi w:val="0"/>
        <w:spacing w:line="360" w:lineRule="auto"/>
        <w:ind w:left="0" w:leftChars="0" w:right="0" w:rightChars="0"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第一部分</w:t>
      </w:r>
      <w:r>
        <w:rPr>
          <w:rFonts w:hint="eastAsia" w:ascii="宋体" w:hAnsi="宋体" w:eastAsia="宋体" w:cs="宋体"/>
          <w:sz w:val="21"/>
          <w:szCs w:val="21"/>
          <w:highlight w:val="none"/>
        </w:rPr>
        <w:tab/>
      </w:r>
      <w:r>
        <w:rPr>
          <w:rFonts w:hint="eastAsia" w:ascii="宋体" w:hAnsi="宋体" w:eastAsia="宋体" w:cs="宋体"/>
          <w:sz w:val="21"/>
          <w:szCs w:val="21"/>
          <w:highlight w:val="none"/>
        </w:rPr>
        <w:t>磋商邀请函；</w:t>
      </w:r>
    </w:p>
    <w:p>
      <w:pPr>
        <w:pageBreakBefore w:val="0"/>
        <w:kinsoku/>
        <w:wordWrap/>
        <w:overflowPunct/>
        <w:topLinePunct w:val="0"/>
        <w:autoSpaceDE/>
        <w:autoSpaceDN/>
        <w:bidi w:val="0"/>
        <w:spacing w:line="360" w:lineRule="auto"/>
        <w:ind w:left="0" w:leftChars="0" w:right="0" w:rightChars="0"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第二部分</w:t>
      </w:r>
      <w:r>
        <w:rPr>
          <w:rFonts w:hint="eastAsia" w:ascii="宋体" w:hAnsi="宋体" w:eastAsia="宋体" w:cs="宋体"/>
          <w:sz w:val="21"/>
          <w:szCs w:val="21"/>
          <w:highlight w:val="none"/>
        </w:rPr>
        <w:tab/>
      </w:r>
      <w:r>
        <w:rPr>
          <w:rFonts w:hint="eastAsia" w:ascii="宋体" w:hAnsi="宋体" w:eastAsia="宋体" w:cs="宋体"/>
          <w:sz w:val="21"/>
          <w:szCs w:val="21"/>
          <w:highlight w:val="none"/>
        </w:rPr>
        <w:t>磋商资料表</w:t>
      </w:r>
    </w:p>
    <w:p>
      <w:pPr>
        <w:pageBreakBefore w:val="0"/>
        <w:kinsoku/>
        <w:wordWrap/>
        <w:overflowPunct/>
        <w:topLinePunct w:val="0"/>
        <w:autoSpaceDE/>
        <w:autoSpaceDN/>
        <w:bidi w:val="0"/>
        <w:spacing w:line="360" w:lineRule="auto"/>
        <w:ind w:left="0" w:leftChars="0" w:right="0" w:rightChars="0"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第三部分</w:t>
      </w:r>
      <w:r>
        <w:rPr>
          <w:rFonts w:hint="eastAsia" w:ascii="宋体" w:hAnsi="宋体" w:eastAsia="宋体" w:cs="宋体"/>
          <w:sz w:val="21"/>
          <w:szCs w:val="21"/>
          <w:highlight w:val="none"/>
        </w:rPr>
        <w:tab/>
      </w:r>
      <w:r>
        <w:rPr>
          <w:rFonts w:hint="eastAsia" w:ascii="宋体" w:hAnsi="宋体" w:eastAsia="宋体" w:cs="宋体"/>
          <w:sz w:val="21"/>
          <w:szCs w:val="21"/>
          <w:highlight w:val="none"/>
        </w:rPr>
        <w:t>供应商须知；</w:t>
      </w:r>
    </w:p>
    <w:p>
      <w:pPr>
        <w:pageBreakBefore w:val="0"/>
        <w:kinsoku/>
        <w:wordWrap/>
        <w:overflowPunct/>
        <w:topLinePunct w:val="0"/>
        <w:autoSpaceDE/>
        <w:autoSpaceDN/>
        <w:bidi w:val="0"/>
        <w:spacing w:line="360" w:lineRule="auto"/>
        <w:ind w:left="0" w:leftChars="0" w:right="0" w:rightChars="0"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第四部分</w:t>
      </w:r>
      <w:r>
        <w:rPr>
          <w:rFonts w:hint="eastAsia" w:ascii="宋体" w:hAnsi="宋体" w:eastAsia="宋体" w:cs="宋体"/>
          <w:sz w:val="21"/>
          <w:szCs w:val="21"/>
          <w:highlight w:val="none"/>
        </w:rPr>
        <w:tab/>
      </w:r>
      <w:r>
        <w:rPr>
          <w:rFonts w:hint="eastAsia" w:ascii="宋体" w:hAnsi="宋体" w:eastAsia="宋体" w:cs="宋体"/>
          <w:sz w:val="21"/>
          <w:szCs w:val="21"/>
          <w:highlight w:val="none"/>
        </w:rPr>
        <w:t>用户需求书；</w:t>
      </w:r>
    </w:p>
    <w:p>
      <w:pPr>
        <w:pageBreakBefore w:val="0"/>
        <w:kinsoku/>
        <w:wordWrap/>
        <w:overflowPunct/>
        <w:topLinePunct w:val="0"/>
        <w:autoSpaceDE/>
        <w:autoSpaceDN/>
        <w:bidi w:val="0"/>
        <w:spacing w:line="360" w:lineRule="auto"/>
        <w:ind w:left="0" w:leftChars="0" w:right="0" w:rightChars="0"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第五部分</w:t>
      </w:r>
      <w:r>
        <w:rPr>
          <w:rFonts w:hint="eastAsia" w:ascii="宋体" w:hAnsi="宋体" w:eastAsia="宋体" w:cs="宋体"/>
          <w:sz w:val="21"/>
          <w:szCs w:val="21"/>
          <w:highlight w:val="none"/>
        </w:rPr>
        <w:tab/>
      </w:r>
      <w:r>
        <w:rPr>
          <w:rFonts w:hint="eastAsia" w:ascii="宋体" w:hAnsi="宋体" w:eastAsia="宋体" w:cs="宋体"/>
          <w:sz w:val="21"/>
          <w:szCs w:val="21"/>
          <w:highlight w:val="none"/>
        </w:rPr>
        <w:t>格式文件。</w:t>
      </w:r>
    </w:p>
    <w:p>
      <w:pPr>
        <w:spacing w:line="360" w:lineRule="auto"/>
        <w:outlineLvl w:val="9"/>
        <w:rPr>
          <w:rStyle w:val="73"/>
          <w:rFonts w:hint="eastAsia" w:ascii="宋体" w:hAnsi="宋体" w:eastAsia="宋体" w:cs="宋体"/>
          <w:b/>
          <w:bCs/>
          <w:sz w:val="21"/>
          <w:szCs w:val="21"/>
        </w:rPr>
      </w:pPr>
      <w:bookmarkStart w:id="378" w:name="_Toc32297"/>
      <w:bookmarkStart w:id="379" w:name="_Toc17355"/>
      <w:bookmarkStart w:id="380" w:name="_Toc511756981"/>
      <w:bookmarkStart w:id="381" w:name="_Toc516743916"/>
      <w:bookmarkStart w:id="382" w:name="_Toc22481"/>
      <w:bookmarkStart w:id="383" w:name="_Toc9425"/>
      <w:bookmarkStart w:id="384" w:name="_Toc28725"/>
      <w:bookmarkStart w:id="385" w:name="_Toc6784"/>
      <w:bookmarkStart w:id="386" w:name="_Toc31696"/>
      <w:bookmarkStart w:id="387" w:name="_Toc37166176"/>
      <w:bookmarkStart w:id="388" w:name="_Toc145"/>
      <w:bookmarkStart w:id="389" w:name="_Toc37919861"/>
      <w:bookmarkStart w:id="390" w:name="_Toc28230"/>
      <w:bookmarkStart w:id="391" w:name="_Toc16187"/>
      <w:bookmarkStart w:id="392" w:name="_Toc494979042"/>
      <w:bookmarkStart w:id="393" w:name="_Toc49930315"/>
      <w:bookmarkStart w:id="394" w:name="_Toc466"/>
      <w:bookmarkStart w:id="395" w:name="_Toc528944998"/>
      <w:r>
        <w:rPr>
          <w:rStyle w:val="73"/>
          <w:rFonts w:hint="eastAsia" w:ascii="宋体" w:hAnsi="宋体" w:eastAsia="宋体" w:cs="宋体"/>
          <w:b/>
          <w:bCs/>
          <w:sz w:val="21"/>
          <w:szCs w:val="21"/>
        </w:rPr>
        <w:t>5.磋商文件的澄清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5.1采购代理机构负责对磋商文件解释并视情况对本项目中比较复杂的事项进行说明和依法回答供应商提出的疑问及问题。供应商对需要澄清和回答的疑问和问题应以书面形式按本文件规定的联系方式和地址送达采购代理机构。采购代理机构将根据具体情况采用其认为适当的方式予以回复，并在必要时将不标明问题来源的书面答复发给本项目的其他供应商。该澄清答复将视为本文件的组成部分。</w:t>
      </w:r>
    </w:p>
    <w:p>
      <w:pPr>
        <w:spacing w:line="360" w:lineRule="auto"/>
        <w:outlineLvl w:val="9"/>
        <w:rPr>
          <w:rStyle w:val="73"/>
          <w:rFonts w:hint="eastAsia" w:ascii="宋体" w:hAnsi="宋体" w:eastAsia="宋体" w:cs="宋体"/>
          <w:b/>
          <w:bCs/>
          <w:sz w:val="21"/>
          <w:szCs w:val="21"/>
        </w:rPr>
      </w:pPr>
      <w:bookmarkStart w:id="396" w:name="_Toc37166177"/>
      <w:bookmarkStart w:id="397" w:name="_Toc23093"/>
      <w:bookmarkStart w:id="398" w:name="_Toc3834"/>
      <w:bookmarkStart w:id="399" w:name="_Toc30994"/>
      <w:bookmarkStart w:id="400" w:name="_Toc7309"/>
      <w:bookmarkStart w:id="401" w:name="_Toc49930316"/>
      <w:bookmarkStart w:id="402" w:name="_Toc528944999"/>
      <w:bookmarkStart w:id="403" w:name="_Toc16806"/>
      <w:bookmarkStart w:id="404" w:name="_Toc14749"/>
      <w:bookmarkStart w:id="405" w:name="_Toc494979043"/>
      <w:bookmarkStart w:id="406" w:name="_Toc2021"/>
      <w:bookmarkStart w:id="407" w:name="_Toc22094"/>
      <w:bookmarkStart w:id="408" w:name="_Toc511756982"/>
      <w:bookmarkStart w:id="409" w:name="_Toc3300"/>
      <w:bookmarkStart w:id="410" w:name="_Toc4960"/>
      <w:bookmarkStart w:id="411" w:name="_Toc37919862"/>
      <w:bookmarkStart w:id="412" w:name="_Toc516743917"/>
      <w:bookmarkStart w:id="413" w:name="_Toc19347"/>
      <w:r>
        <w:rPr>
          <w:rStyle w:val="73"/>
          <w:rFonts w:hint="eastAsia" w:ascii="宋体" w:hAnsi="宋体" w:eastAsia="宋体" w:cs="宋体"/>
          <w:b/>
          <w:bCs/>
          <w:sz w:val="21"/>
          <w:szCs w:val="21"/>
        </w:rPr>
        <w:t>6.磋商文件的补充和修改</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6.1提交响应文件截止之日前，采购人、采购代理机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6.2磋商文件的修改将以书面的形式于递交响应文件截止时间前通知本磋商文件的所有收受人。该修改文件将构成磋商文件的一部分。供应商应在收到该修改文件后立即以书面形式予以确认并受其约束。</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6.3考虑到该修改和变更的影响，采购人和采购代理机构可决定推迟递交响应截止时间。</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6.4在磋商过程中</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磋商文件内容如有实质性的变更</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磋商小组应以书面形式通知所有参与磋商的供应商。若供应商对此类实质性变更不予接受</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可以要求退出磋商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否则将被视为接受此变更并受其约束。</w:t>
      </w:r>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414" w:name="_Toc37919863"/>
      <w:bookmarkStart w:id="415" w:name="_Toc7051"/>
      <w:bookmarkStart w:id="416" w:name="_Toc528945000"/>
      <w:bookmarkStart w:id="417" w:name="_Toc11137"/>
      <w:bookmarkStart w:id="418" w:name="_Toc27990"/>
      <w:bookmarkStart w:id="419" w:name="_Toc21370"/>
      <w:bookmarkStart w:id="420" w:name="_Toc494979044"/>
      <w:bookmarkStart w:id="421" w:name="_Toc511756983"/>
      <w:bookmarkStart w:id="422" w:name="_Toc4769"/>
      <w:bookmarkStart w:id="423" w:name="_Toc37166178"/>
      <w:bookmarkStart w:id="424" w:name="_Toc999"/>
      <w:bookmarkStart w:id="425" w:name="_Toc516743918"/>
      <w:bookmarkStart w:id="426" w:name="_Toc10603"/>
      <w:bookmarkStart w:id="427" w:name="_Toc49930317"/>
      <w:bookmarkStart w:id="428" w:name="_Toc20603"/>
      <w:bookmarkStart w:id="429" w:name="_Toc2639"/>
      <w:bookmarkStart w:id="430" w:name="_Toc10177"/>
      <w:bookmarkStart w:id="431" w:name="_Toc1255"/>
      <w:r>
        <w:rPr>
          <w:rFonts w:hint="eastAsia" w:ascii="宋体" w:hAnsi="宋体" w:eastAsia="宋体" w:cs="宋体"/>
          <w:b/>
          <w:bCs/>
          <w:sz w:val="21"/>
          <w:szCs w:val="21"/>
          <w:highlight w:val="none"/>
        </w:rPr>
        <w:t>三、响应文件</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spacing w:line="360" w:lineRule="auto"/>
        <w:outlineLvl w:val="9"/>
        <w:rPr>
          <w:rStyle w:val="73"/>
          <w:rFonts w:hint="eastAsia" w:ascii="宋体" w:hAnsi="宋体" w:eastAsia="宋体" w:cs="宋体"/>
          <w:b/>
          <w:bCs/>
          <w:sz w:val="21"/>
          <w:szCs w:val="21"/>
        </w:rPr>
      </w:pPr>
      <w:bookmarkStart w:id="432" w:name="_Toc37919864"/>
      <w:bookmarkStart w:id="433" w:name="_Toc9512"/>
      <w:bookmarkStart w:id="434" w:name="_Toc516743919"/>
      <w:bookmarkStart w:id="435" w:name="_Toc511756984"/>
      <w:bookmarkStart w:id="436" w:name="_Toc37166179"/>
      <w:bookmarkStart w:id="437" w:name="_Toc49930318"/>
      <w:bookmarkStart w:id="438" w:name="_Toc20274"/>
      <w:bookmarkStart w:id="439" w:name="_Toc21272"/>
      <w:bookmarkStart w:id="440" w:name="_Toc14116"/>
      <w:bookmarkStart w:id="441" w:name="_Toc7813"/>
      <w:bookmarkStart w:id="442" w:name="_Toc528945001"/>
      <w:bookmarkStart w:id="443" w:name="_Toc10735"/>
      <w:bookmarkStart w:id="444" w:name="_Toc27592"/>
      <w:bookmarkStart w:id="445" w:name="_Toc24903"/>
      <w:bookmarkStart w:id="446" w:name="_Toc3800"/>
      <w:bookmarkStart w:id="447" w:name="_Toc4524"/>
      <w:bookmarkStart w:id="448" w:name="_Toc494979045"/>
      <w:bookmarkStart w:id="449" w:name="_Toc8598"/>
      <w:r>
        <w:rPr>
          <w:rStyle w:val="73"/>
          <w:rFonts w:hint="eastAsia" w:ascii="宋体" w:hAnsi="宋体" w:eastAsia="宋体" w:cs="宋体"/>
          <w:b/>
          <w:bCs/>
          <w:sz w:val="21"/>
          <w:szCs w:val="21"/>
        </w:rPr>
        <w:t>7.响应文件的编写</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7.1供应商应当按照磋商文件的要求编制响应文件，对其提交的响应文件的真实性、合法性承担法律责任，并按其规定的内容和格式，提交完整的响应文件。</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7.2响应文件和来往函件应用中文书写，计量单位应使用中华人民共和国法定计量单位。</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除非磋商文件中另有规定</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7.3供应商应按磋商文件要求的报价范围进行报价。</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4"/>
          <w:highlight w:val="none"/>
        </w:rPr>
      </w:pPr>
      <w:r>
        <w:rPr>
          <w:rFonts w:hint="eastAsia" w:ascii="宋体" w:hAnsi="宋体" w:eastAsia="宋体" w:cs="宋体"/>
          <w:sz w:val="21"/>
          <w:szCs w:val="21"/>
          <w:highlight w:val="none"/>
        </w:rPr>
        <w:t>7.</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供应商应以人民币报价。若由单价计算得出的总价与报价总价不一致，以单价计算得出的总价作为报价总价。若中文文字形式表示的数值与数字形式表示的数值不一致，以中文文字形式表示的数值为准。</w:t>
      </w:r>
    </w:p>
    <w:p>
      <w:pPr>
        <w:spacing w:line="360" w:lineRule="auto"/>
        <w:outlineLvl w:val="9"/>
        <w:rPr>
          <w:rStyle w:val="73"/>
          <w:rFonts w:hint="eastAsia" w:ascii="宋体" w:hAnsi="宋体" w:eastAsia="宋体" w:cs="宋体"/>
          <w:b/>
          <w:bCs/>
          <w:sz w:val="21"/>
          <w:szCs w:val="21"/>
        </w:rPr>
      </w:pPr>
      <w:bookmarkStart w:id="450" w:name="_Toc516743920"/>
      <w:bookmarkStart w:id="451" w:name="_Toc37166180"/>
      <w:bookmarkStart w:id="452" w:name="_Toc3624"/>
      <w:bookmarkStart w:id="453" w:name="_Toc6382"/>
      <w:bookmarkStart w:id="454" w:name="_Toc78"/>
      <w:bookmarkStart w:id="455" w:name="_Toc31015"/>
      <w:bookmarkStart w:id="456" w:name="_Toc511756985"/>
      <w:bookmarkStart w:id="457" w:name="_Toc5273"/>
      <w:bookmarkStart w:id="458" w:name="_Toc15844"/>
      <w:bookmarkStart w:id="459" w:name="_Toc49930319"/>
      <w:bookmarkStart w:id="460" w:name="_Toc14888"/>
      <w:bookmarkStart w:id="461" w:name="_Toc494979046"/>
      <w:bookmarkStart w:id="462" w:name="_Toc17122"/>
      <w:bookmarkStart w:id="463" w:name="_Toc30110"/>
      <w:bookmarkStart w:id="464" w:name="_Toc37919865"/>
      <w:bookmarkStart w:id="465" w:name="_Toc4768"/>
      <w:bookmarkStart w:id="466" w:name="_Toc23161"/>
      <w:bookmarkStart w:id="467" w:name="_Toc528945002"/>
      <w:r>
        <w:rPr>
          <w:rStyle w:val="73"/>
          <w:rFonts w:hint="eastAsia" w:ascii="宋体" w:hAnsi="宋体" w:eastAsia="宋体" w:cs="宋体"/>
          <w:b/>
          <w:bCs/>
          <w:sz w:val="21"/>
          <w:szCs w:val="21"/>
        </w:rPr>
        <w:t>8.响应文件的构成及要求</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8.1资格性文件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参见磋商文件第五部分响应文件格式</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8.2商务响应文件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参见磋商文件第五部分响应文件格式</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8.3技术响应文件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参见磋商文件第五部分响应文件格式</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8.4供应商认为需加以说明的其他内容；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8.5供应商报价的内容与磋商文件的技术、商务要求有偏离时，无论这种偏离是否有利于采购人，供应商都应按附件的格式如实填写技术规格偏离表和商务条款偏离表。</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8.6供应商应按响应文件格式的要求提交资格文件，并对这些资格文件的真实性负责。</w:t>
      </w:r>
    </w:p>
    <w:p>
      <w:pPr>
        <w:spacing w:line="360" w:lineRule="auto"/>
        <w:outlineLvl w:val="9"/>
        <w:rPr>
          <w:rStyle w:val="73"/>
          <w:rFonts w:hint="eastAsia" w:ascii="宋体" w:hAnsi="宋体" w:eastAsia="宋体" w:cs="宋体"/>
          <w:b/>
          <w:bCs/>
          <w:sz w:val="21"/>
          <w:szCs w:val="21"/>
        </w:rPr>
      </w:pPr>
      <w:bookmarkStart w:id="468" w:name="_Toc29046"/>
      <w:bookmarkStart w:id="469" w:name="_Toc1664"/>
      <w:bookmarkStart w:id="470" w:name="_Toc3460"/>
      <w:bookmarkStart w:id="471" w:name="_Toc494979047"/>
      <w:bookmarkStart w:id="472" w:name="_Toc516743921"/>
      <w:bookmarkStart w:id="473" w:name="_Toc18871"/>
      <w:bookmarkStart w:id="474" w:name="_Toc11276"/>
      <w:bookmarkStart w:id="475" w:name="_Toc3712"/>
      <w:bookmarkStart w:id="476" w:name="_Toc27311"/>
      <w:bookmarkStart w:id="477" w:name="_Toc7432"/>
      <w:bookmarkStart w:id="478" w:name="_Toc37166181"/>
      <w:bookmarkStart w:id="479" w:name="_Toc4200"/>
      <w:bookmarkStart w:id="480" w:name="_Toc49930320"/>
      <w:bookmarkStart w:id="481" w:name="_Toc27494"/>
      <w:bookmarkStart w:id="482" w:name="_Toc15311"/>
      <w:bookmarkStart w:id="483" w:name="_Toc511756986"/>
      <w:bookmarkStart w:id="484" w:name="_Toc37919866"/>
      <w:bookmarkStart w:id="485" w:name="_Toc528945003"/>
      <w:r>
        <w:rPr>
          <w:rStyle w:val="73"/>
          <w:rFonts w:hint="eastAsia" w:ascii="宋体" w:hAnsi="宋体" w:eastAsia="宋体" w:cs="宋体"/>
          <w:b/>
          <w:bCs/>
          <w:sz w:val="21"/>
          <w:szCs w:val="21"/>
        </w:rPr>
        <w:t>9.响应文件的签署、装订和密封</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9.1响应文件份数要求见磋商文件第二部分“磋商须知前附表”，正本及副本内容应一致，如果正本与副本不符，以正本为准。响应文件正本应由供应商的法定代表人或经法定代表人正式授权的代表在响应文件上签字，并需将以书面形式出具的“法定代表人授权书”附在响应文件中。任何行间插字、涂改和增删，必须由响应文件签字人用姓或首字母在旁边签字才有效。</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9.2所有响应文件</w:t>
      </w:r>
      <w:r>
        <w:rPr>
          <w:rFonts w:hint="eastAsia" w:ascii="宋体" w:hAnsi="宋体" w:cs="宋体"/>
          <w:sz w:val="21"/>
          <w:szCs w:val="21"/>
          <w:highlight w:val="none"/>
          <w:lang w:eastAsia="zh-CN"/>
        </w:rPr>
        <w:t>（除</w:t>
      </w:r>
      <w:r>
        <w:rPr>
          <w:rFonts w:hint="eastAsia" w:ascii="宋体" w:hAnsi="宋体" w:eastAsia="宋体" w:cs="宋体"/>
          <w:sz w:val="21"/>
          <w:szCs w:val="21"/>
          <w:highlight w:val="none"/>
        </w:rPr>
        <w:t>特殊规格的图纸外</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应按A4规格制作；建议采用双面打印或复印。</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9.3响应文件须编制目录及页码，页码应连续。</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9.4所有响应文件必须装入密封的信封或封套。并在信封或包装的封面上注明： </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8759" w:type="dxa"/>
            <w:noWrap w:val="0"/>
            <w:vAlign w:val="top"/>
          </w:tcPr>
          <w:p>
            <w:pPr>
              <w:pageBreakBefore w:val="0"/>
              <w:kinsoku/>
              <w:wordWrap/>
              <w:overflowPunct/>
              <w:topLinePunct w:val="0"/>
              <w:autoSpaceDE/>
              <w:autoSpaceDN/>
              <w:bidi w:val="0"/>
              <w:spacing w:line="360" w:lineRule="auto"/>
              <w:ind w:left="0" w:leftChars="0" w:right="0" w:rightChars="0" w:firstLine="480" w:firstLineChars="200"/>
              <w:textAlignment w:val="auto"/>
              <w:outlineLvl w:val="9"/>
              <w:rPr>
                <w:rFonts w:hint="eastAsia" w:ascii="宋体" w:hAnsi="宋体" w:eastAsia="宋体" w:cs="宋体"/>
                <w:sz w:val="24"/>
                <w:highlight w:val="none"/>
              </w:rPr>
            </w:pP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于“      年     月     日     时    分”之前不准启封</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即磋商截止时间</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收件人名称：</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代理机构名称</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项目编号：</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供应商地址：</w:t>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邮政编码：</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4"/>
                <w:highlight w:val="none"/>
              </w:rPr>
            </w:pPr>
            <w:r>
              <w:rPr>
                <w:rFonts w:hint="eastAsia" w:ascii="宋体" w:hAnsi="宋体" w:eastAsia="宋体" w:cs="宋体"/>
                <w:sz w:val="21"/>
                <w:szCs w:val="21"/>
                <w:highlight w:val="none"/>
              </w:rPr>
              <w:t>联 系 人：</w:t>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ab/>
            </w:r>
            <w:r>
              <w:rPr>
                <w:rFonts w:hint="eastAsia" w:ascii="宋体" w:hAnsi="宋体" w:eastAsia="宋体" w:cs="宋体"/>
                <w:sz w:val="21"/>
                <w:szCs w:val="21"/>
                <w:highlight w:val="none"/>
              </w:rPr>
              <w:t>联系电话：</w:t>
            </w:r>
          </w:p>
        </w:tc>
      </w:tr>
    </w:tbl>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9.5采购代理机构对因响应文件未装订成册而造成的响应文件的损坏、丢失不承担任何责任。</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9.6采购代理机构对不可抗力事件造成的响应文件的损坏、丢失不承担任何责任。</w:t>
      </w:r>
    </w:p>
    <w:p>
      <w:pPr>
        <w:spacing w:line="360" w:lineRule="auto"/>
        <w:outlineLvl w:val="9"/>
        <w:rPr>
          <w:rStyle w:val="73"/>
          <w:rFonts w:hint="eastAsia" w:ascii="宋体" w:hAnsi="宋体" w:eastAsia="宋体" w:cs="宋体"/>
          <w:b/>
          <w:bCs/>
          <w:sz w:val="21"/>
          <w:szCs w:val="21"/>
        </w:rPr>
      </w:pPr>
      <w:bookmarkStart w:id="486" w:name="_Toc516743922"/>
      <w:bookmarkStart w:id="487" w:name="_Toc511756987"/>
      <w:bookmarkStart w:id="488" w:name="_Toc10475"/>
      <w:bookmarkStart w:id="489" w:name="_Toc37166182"/>
      <w:bookmarkStart w:id="490" w:name="_Toc13631"/>
      <w:bookmarkStart w:id="491" w:name="_Toc9719"/>
      <w:bookmarkStart w:id="492" w:name="_Toc49930321"/>
      <w:bookmarkStart w:id="493" w:name="_Toc494979048"/>
      <w:bookmarkStart w:id="494" w:name="_Toc30752"/>
      <w:bookmarkStart w:id="495" w:name="_Toc32695"/>
      <w:bookmarkStart w:id="496" w:name="_Toc18375"/>
      <w:bookmarkStart w:id="497" w:name="_Toc8161"/>
      <w:bookmarkStart w:id="498" w:name="_Toc21093"/>
      <w:bookmarkStart w:id="499" w:name="_Toc7446"/>
      <w:bookmarkStart w:id="500" w:name="_Toc19165"/>
      <w:bookmarkStart w:id="501" w:name="_Toc37919867"/>
      <w:bookmarkStart w:id="502" w:name="_Toc25388"/>
      <w:bookmarkStart w:id="503" w:name="_Toc528945004"/>
      <w:r>
        <w:rPr>
          <w:rStyle w:val="73"/>
          <w:rFonts w:hint="eastAsia" w:ascii="宋体" w:hAnsi="宋体" w:eastAsia="宋体" w:cs="宋体"/>
          <w:b/>
          <w:bCs/>
          <w:sz w:val="21"/>
          <w:szCs w:val="21"/>
        </w:rPr>
        <w:t>10.磋商有效期</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10.1从递交响应文件截止时间起，磋商有效期为90天。在特殊情况下，采购代理机构可于磋商有效期满之前要求供应商同意延长有效期，要求与答复均应以书面形式表示。供应商可以拒绝上述要求而其磋商保证金不会被没收，同意延期的供应商在原磋商有效期内应享之权利及应负之责任也相应延续。</w:t>
      </w:r>
    </w:p>
    <w:p>
      <w:pPr>
        <w:spacing w:line="360" w:lineRule="auto"/>
        <w:outlineLvl w:val="9"/>
        <w:rPr>
          <w:rStyle w:val="73"/>
          <w:rFonts w:hint="eastAsia" w:ascii="宋体" w:hAnsi="宋体" w:eastAsia="宋体" w:cs="宋体"/>
          <w:b/>
          <w:bCs/>
          <w:sz w:val="21"/>
          <w:szCs w:val="21"/>
          <w:lang w:eastAsia="zh-CN"/>
        </w:rPr>
      </w:pPr>
      <w:bookmarkStart w:id="504" w:name="_Toc17578"/>
      <w:bookmarkStart w:id="505" w:name="_Toc17787"/>
      <w:bookmarkStart w:id="506" w:name="_Toc37919868"/>
      <w:bookmarkStart w:id="507" w:name="_Toc22592"/>
      <w:bookmarkStart w:id="508" w:name="_Toc494979049"/>
      <w:bookmarkStart w:id="509" w:name="_Toc21322"/>
      <w:bookmarkStart w:id="510" w:name="_Toc25052"/>
      <w:bookmarkStart w:id="511" w:name="_Toc29913"/>
      <w:bookmarkStart w:id="512" w:name="_Toc30160"/>
      <w:bookmarkStart w:id="513" w:name="_Toc511756988"/>
      <w:bookmarkStart w:id="514" w:name="_Toc37166183"/>
      <w:bookmarkStart w:id="515" w:name="_Toc1585"/>
      <w:bookmarkStart w:id="516" w:name="_Toc49930322"/>
      <w:bookmarkStart w:id="517" w:name="_Toc9162"/>
      <w:bookmarkStart w:id="518" w:name="_Toc516743923"/>
      <w:bookmarkStart w:id="519" w:name="_Toc12360"/>
      <w:bookmarkStart w:id="520" w:name="_Toc528945005"/>
      <w:bookmarkStart w:id="521" w:name="_Toc16561"/>
      <w:r>
        <w:rPr>
          <w:rStyle w:val="73"/>
          <w:rFonts w:hint="eastAsia" w:ascii="宋体" w:hAnsi="宋体" w:eastAsia="宋体" w:cs="宋体"/>
          <w:b/>
          <w:bCs/>
          <w:sz w:val="21"/>
          <w:szCs w:val="21"/>
        </w:rPr>
        <w:t>11.磋商保证金</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73"/>
          <w:rFonts w:hint="eastAsia" w:ascii="宋体" w:hAnsi="宋体" w:cs="宋体"/>
          <w:b/>
          <w:bCs/>
          <w:sz w:val="21"/>
          <w:szCs w:val="21"/>
          <w:lang w:eastAsia="zh-CN"/>
        </w:rPr>
        <w:t>（</w:t>
      </w:r>
      <w:r>
        <w:rPr>
          <w:rStyle w:val="73"/>
          <w:rFonts w:hint="eastAsia" w:ascii="宋体" w:hAnsi="宋体" w:eastAsia="宋体" w:cs="宋体"/>
          <w:b/>
          <w:bCs/>
          <w:sz w:val="21"/>
          <w:szCs w:val="21"/>
          <w:lang w:val="en-US" w:eastAsia="zh-CN"/>
        </w:rPr>
        <w:t>如有</w:t>
      </w:r>
      <w:r>
        <w:rPr>
          <w:rStyle w:val="73"/>
          <w:rFonts w:hint="eastAsia" w:ascii="宋体" w:hAnsi="宋体" w:cs="宋体"/>
          <w:b/>
          <w:bCs/>
          <w:sz w:val="21"/>
          <w:szCs w:val="21"/>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11.1采购人、采购代理机构可以要求供应商在提交响应文件截止时间之前交纳磋商保证金</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供应商未按照磋商文件要求提交磋商保证金的，响应无效。具体约定见“磋商须知前附表”；允许联合体参加的，可以由联合体中的一方或者多方共同交纳磋商保证金，其</w:t>
      </w:r>
      <w:r>
        <w:rPr>
          <w:rFonts w:hint="eastAsia" w:ascii="宋体" w:hAnsi="宋体" w:cs="宋体"/>
          <w:sz w:val="21"/>
          <w:szCs w:val="21"/>
          <w:highlight w:val="none"/>
          <w:lang w:eastAsia="zh-CN"/>
        </w:rPr>
        <w:t>缴纳</w:t>
      </w:r>
      <w:r>
        <w:rPr>
          <w:rFonts w:hint="eastAsia" w:ascii="宋体" w:hAnsi="宋体" w:eastAsia="宋体" w:cs="宋体"/>
          <w:sz w:val="21"/>
          <w:szCs w:val="21"/>
          <w:highlight w:val="none"/>
        </w:rPr>
        <w:t>的保证金对联合体各方均具有约束力。</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11.2磋商保证金是响应文件的组成部分。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11.3有下列情形之一的，磋商保证金不予退还：</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kern w:val="0"/>
          <w:sz w:val="24"/>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一</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供应商在提交响应文件截止时间后撤回响应文件的；</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二</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供应商在响应文件中提供虚假材料的；</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三</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除因不可抗力或磋商文件认可的情形以外，成交供应商不与采购人签订合同的；</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四</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法律法规及磋商文件规定的其他情形。</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11.4磋商保证金可以采用电汇、银行转账形式提交：</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以电汇、银行转账形式</w:t>
      </w:r>
      <w:r>
        <w:rPr>
          <w:rFonts w:hint="eastAsia" w:ascii="宋体" w:hAnsi="宋体" w:cs="宋体"/>
          <w:sz w:val="21"/>
          <w:szCs w:val="21"/>
          <w:highlight w:val="none"/>
          <w:lang w:eastAsia="zh-CN"/>
        </w:rPr>
        <w:t>缴纳保证金</w:t>
      </w:r>
      <w:r>
        <w:rPr>
          <w:rFonts w:hint="eastAsia" w:ascii="宋体" w:hAnsi="宋体" w:eastAsia="宋体" w:cs="宋体"/>
          <w:sz w:val="21"/>
          <w:szCs w:val="21"/>
          <w:highlight w:val="none"/>
        </w:rPr>
        <w:t>的，直接存入如下账户</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交款时供应商向银行提供项目编号，由银行开具收款单盖章交给客户留底，作为保证金收取依据。并在“磋商须知前附表”响应条款规定时间前到达采购代理机构账户上。</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11.5未成交供应商的磋商保证金，将按本须知规定的磋商有效期满后三十</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30</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天内或在发出《成交结果通知书》之日起5个工作日内原额退还</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以先到的时间为准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11.6成交供应商的磋商保证金的退还必须同时满足以下要求：</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成交供应商按本须知的规定签订了成交合同；</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成交供应商按磋商文件约定缴纳了采购代理服务费。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11.7下列任何一种情况发生时，磋商保证金将被没收：</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供应商在磋商文件规定的磋商有效期内撤回其响应文件；</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成交供应商在规定期限内未能根据磋商文件的规定签订合同；</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3</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法律法规规定的其他情形。</w:t>
      </w:r>
    </w:p>
    <w:p>
      <w:pPr>
        <w:spacing w:line="360" w:lineRule="auto"/>
        <w:outlineLvl w:val="9"/>
        <w:rPr>
          <w:rStyle w:val="73"/>
          <w:rFonts w:hint="eastAsia" w:ascii="宋体" w:hAnsi="宋体" w:eastAsia="宋体" w:cs="宋体"/>
          <w:b/>
          <w:bCs/>
          <w:sz w:val="21"/>
          <w:szCs w:val="21"/>
        </w:rPr>
      </w:pPr>
      <w:bookmarkStart w:id="522" w:name="_Toc37919869"/>
      <w:bookmarkStart w:id="523" w:name="_Toc7463"/>
      <w:bookmarkStart w:id="524" w:name="_Toc516743924"/>
      <w:bookmarkStart w:id="525" w:name="_Toc528945006"/>
      <w:bookmarkStart w:id="526" w:name="_Toc4095"/>
      <w:bookmarkStart w:id="527" w:name="_Toc21805"/>
      <w:bookmarkStart w:id="528" w:name="_Toc31555"/>
      <w:bookmarkStart w:id="529" w:name="_Toc8063"/>
      <w:bookmarkStart w:id="530" w:name="_Toc24028"/>
      <w:bookmarkStart w:id="531" w:name="_Toc181"/>
      <w:bookmarkStart w:id="532" w:name="_Toc2075"/>
      <w:bookmarkStart w:id="533" w:name="_Toc511756989"/>
      <w:bookmarkStart w:id="534" w:name="_Toc49930323"/>
      <w:bookmarkStart w:id="535" w:name="_Toc37166184"/>
      <w:bookmarkStart w:id="536" w:name="_Toc20294"/>
      <w:bookmarkStart w:id="537" w:name="_Toc494979050"/>
      <w:bookmarkStart w:id="538" w:name="_Toc24003"/>
      <w:bookmarkStart w:id="539" w:name="_Toc21521"/>
      <w:r>
        <w:rPr>
          <w:rStyle w:val="73"/>
          <w:rFonts w:hint="eastAsia" w:ascii="宋体" w:hAnsi="宋体" w:eastAsia="宋体" w:cs="宋体"/>
          <w:b/>
          <w:bCs/>
          <w:sz w:val="21"/>
          <w:szCs w:val="21"/>
        </w:rPr>
        <w:t>12.响应文件的递交和撤回</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12.1供应商应按竞争性磋商邀请函中规定的时间和地点于递交响应文件截止时间之前递交响应文件。在截止时间后送达的响应文件为无效响应文件，采购人、采购代理机构应当拒收。</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磋商期间应磋商小组的要求所作的磋商文件修改应答和最后报价应在磋商小组规定的时间内递交。</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在递交响应文件截止时间前供应商可以撤回响应文件，但在递交响应文件截止时间之后不允许撤回响应文件。</w:t>
      </w:r>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540" w:name="_Toc4953"/>
      <w:bookmarkStart w:id="541" w:name="_Toc511756990"/>
      <w:bookmarkStart w:id="542" w:name="_Toc49930324"/>
      <w:bookmarkStart w:id="543" w:name="_Toc516743925"/>
      <w:bookmarkStart w:id="544" w:name="_Toc10574"/>
      <w:bookmarkStart w:id="545" w:name="_Toc28563"/>
      <w:bookmarkStart w:id="546" w:name="_Toc14047"/>
      <w:bookmarkStart w:id="547" w:name="_Toc8544"/>
      <w:bookmarkStart w:id="548" w:name="_Toc37919870"/>
      <w:bookmarkStart w:id="549" w:name="_Toc37166185"/>
      <w:bookmarkStart w:id="550" w:name="_Toc10329"/>
      <w:bookmarkStart w:id="551" w:name="_Toc13119"/>
      <w:bookmarkStart w:id="552" w:name="_Toc2381"/>
      <w:bookmarkStart w:id="553" w:name="_Toc26705"/>
      <w:bookmarkStart w:id="554" w:name="_Toc528945007"/>
      <w:bookmarkStart w:id="555" w:name="_Toc18305"/>
      <w:bookmarkStart w:id="556" w:name="_Toc12672"/>
      <w:bookmarkStart w:id="557" w:name="_Toc494979051"/>
      <w:r>
        <w:rPr>
          <w:rFonts w:hint="eastAsia" w:ascii="宋体" w:hAnsi="宋体" w:eastAsia="宋体" w:cs="宋体"/>
          <w:b/>
          <w:bCs/>
          <w:sz w:val="21"/>
          <w:szCs w:val="21"/>
          <w:highlight w:val="none"/>
        </w:rPr>
        <w:t>四、磋商及评审</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spacing w:line="360" w:lineRule="auto"/>
        <w:outlineLvl w:val="9"/>
        <w:rPr>
          <w:rStyle w:val="73"/>
          <w:rFonts w:hint="eastAsia" w:ascii="宋体" w:hAnsi="宋体" w:eastAsia="宋体" w:cs="宋体"/>
          <w:b/>
          <w:bCs/>
          <w:sz w:val="21"/>
          <w:szCs w:val="21"/>
        </w:rPr>
      </w:pPr>
      <w:bookmarkStart w:id="558" w:name="_Toc21589"/>
      <w:bookmarkStart w:id="559" w:name="_Toc25296"/>
      <w:bookmarkStart w:id="560" w:name="_Toc218"/>
      <w:bookmarkStart w:id="561" w:name="_Toc37919871"/>
      <w:bookmarkStart w:id="562" w:name="_Toc414"/>
      <w:bookmarkStart w:id="563" w:name="_Toc15405"/>
      <w:bookmarkStart w:id="564" w:name="_Toc511756991"/>
      <w:bookmarkStart w:id="565" w:name="_Toc2072"/>
      <w:bookmarkStart w:id="566" w:name="_Toc4377"/>
      <w:bookmarkStart w:id="567" w:name="_Toc37166186"/>
      <w:bookmarkStart w:id="568" w:name="_Toc516743926"/>
      <w:bookmarkStart w:id="569" w:name="_Toc494979052"/>
      <w:bookmarkStart w:id="570" w:name="_Toc528945008"/>
      <w:bookmarkStart w:id="571" w:name="_Toc49930325"/>
      <w:bookmarkStart w:id="572" w:name="_Toc12459"/>
      <w:bookmarkStart w:id="573" w:name="_Toc18785"/>
      <w:bookmarkStart w:id="574" w:name="_Toc23875"/>
      <w:bookmarkStart w:id="575" w:name="_Toc3957"/>
      <w:r>
        <w:rPr>
          <w:rStyle w:val="73"/>
          <w:rFonts w:hint="eastAsia" w:ascii="宋体" w:hAnsi="宋体" w:eastAsia="宋体" w:cs="宋体"/>
          <w:b/>
          <w:bCs/>
          <w:sz w:val="21"/>
          <w:szCs w:val="21"/>
        </w:rPr>
        <w:t>13.磋商小组</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13.1磋商小组由评审专家共3人以上单数组成，其中评审专家人数不得少于磋商小组成员总数的2/3，评审专家应当遵守评审工作纪律，不得泄露评审情况和评审中获悉的商业秘密。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13.2磋商小组在磋商及评审过程中出现意见不一致时，应遵循少数服从多数原则。</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13.3磋商小组依法根据磋商文件的规定与供应商进行磋商及对最终形成的响应文件和最终磋商结果进行详细评审</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并据此推荐成交候选人。</w:t>
      </w:r>
    </w:p>
    <w:p>
      <w:pPr>
        <w:spacing w:line="360" w:lineRule="auto"/>
        <w:outlineLvl w:val="9"/>
        <w:rPr>
          <w:rStyle w:val="73"/>
          <w:rFonts w:hint="eastAsia" w:ascii="宋体" w:hAnsi="宋体" w:eastAsia="宋体" w:cs="宋体"/>
          <w:b/>
          <w:bCs/>
          <w:sz w:val="21"/>
          <w:szCs w:val="21"/>
        </w:rPr>
      </w:pPr>
      <w:bookmarkStart w:id="576" w:name="_Toc17933"/>
      <w:bookmarkStart w:id="577" w:name="_Toc13352"/>
      <w:bookmarkStart w:id="578" w:name="_Toc24368"/>
      <w:bookmarkStart w:id="579" w:name="_Toc528945009"/>
      <w:bookmarkStart w:id="580" w:name="_Toc13097"/>
      <w:bookmarkStart w:id="581" w:name="_Toc3494"/>
      <w:bookmarkStart w:id="582" w:name="_Toc21849"/>
      <w:bookmarkStart w:id="583" w:name="_Toc30605"/>
      <w:bookmarkStart w:id="584" w:name="_Toc37166187"/>
      <w:bookmarkStart w:id="585" w:name="_Toc49930326"/>
      <w:bookmarkStart w:id="586" w:name="_Toc37919872"/>
      <w:bookmarkStart w:id="587" w:name="_Toc6063"/>
      <w:bookmarkStart w:id="588" w:name="_Toc13128"/>
      <w:bookmarkStart w:id="589" w:name="_Toc494979053"/>
      <w:bookmarkStart w:id="590" w:name="_Toc30161"/>
      <w:bookmarkStart w:id="591" w:name="_Toc516743927"/>
      <w:bookmarkStart w:id="592" w:name="_Toc17123"/>
      <w:bookmarkStart w:id="593" w:name="_Toc511756992"/>
      <w:r>
        <w:rPr>
          <w:rStyle w:val="73"/>
          <w:rFonts w:hint="eastAsia" w:ascii="宋体" w:hAnsi="宋体" w:eastAsia="宋体" w:cs="宋体"/>
          <w:b/>
          <w:bCs/>
          <w:sz w:val="21"/>
          <w:szCs w:val="21"/>
        </w:rPr>
        <w:t>14.磋商程序</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14.1磋商小组成员应当按照客观、公正、审慎的原则，根据磋商文件规定的评审程序、评审方法和评审标准进行独立评审。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14.2磋商小组将在按磋商排序的顺序逐一与供应商分别就技术、商务和价格进行相同轮次</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一个或多个回合</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磋商，并形成磋商纪要文件。磋商目的在于澄清报价、明确需求，使所有供应商的响应具有可比性。在磋商中，磋商的任何一方不得透露与磋商有关的其他供应商的技术资料、报价和其他信息。</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14.3在磋商过程中，磋商小组可以根据磋商文件和磋商情况实质性变动采购需求中的技术、服务要求以及合同条款，但不得变动磋商文件的其他内容。实质性变动的内容，须经采购人代表确认。对磋商文件作出的实质性变动是磋商文件的有效组成部分，磋商小组应当及时以书面形式同时通知所有参加磋商的供应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14.4最后报价：供应商应在磋商小组规定的时间内统一密封提交最后报价</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最后报价时间视磋商进程由磋商小组决定</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磋商过程对用户需求</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包括规格、数量和服务等涉及价格变动因素</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没有作出改变的，供应商的后次报价不得高于其前次报价，否则磋商小组有权确定其报价为无效报价或者接纳其前次报价作为最后报价；</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14.5磋商的内容包括但不限于：商务条件、技术规格、产品质量、验收、合同执行计划、相关服务、质量保证、采购人配合等内容。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14.6技术商务磋商的时间及地点</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见磋商邀请函</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14.7在磋商过程中，供应商提交的响应文件、澄清文件、最后响应文件等，由供应商</w:t>
      </w:r>
      <w:r>
        <w:rPr>
          <w:rFonts w:hint="eastAsia" w:ascii="宋体" w:hAnsi="宋体" w:cs="宋体"/>
          <w:sz w:val="21"/>
          <w:szCs w:val="21"/>
          <w:highlight w:val="none"/>
          <w:lang w:eastAsia="zh-CN"/>
        </w:rPr>
        <w:t>法定代表人</w:t>
      </w:r>
      <w:r>
        <w:rPr>
          <w:rFonts w:hint="eastAsia" w:ascii="宋体" w:hAnsi="宋体" w:eastAsia="宋体" w:cs="宋体"/>
          <w:sz w:val="21"/>
          <w:szCs w:val="21"/>
          <w:highlight w:val="none"/>
        </w:rPr>
        <w:t>或授权代表当场签字后生效，供应商应受其约束。</w:t>
      </w:r>
    </w:p>
    <w:p>
      <w:pPr>
        <w:spacing w:line="360" w:lineRule="auto"/>
        <w:outlineLvl w:val="9"/>
        <w:rPr>
          <w:rStyle w:val="73"/>
          <w:rFonts w:hint="eastAsia" w:ascii="宋体" w:hAnsi="宋体" w:eastAsia="宋体" w:cs="宋体"/>
          <w:b/>
          <w:bCs/>
          <w:sz w:val="21"/>
          <w:szCs w:val="21"/>
        </w:rPr>
      </w:pPr>
      <w:bookmarkStart w:id="594" w:name="_Toc49930327"/>
      <w:bookmarkStart w:id="595" w:name="_Toc10410"/>
      <w:bookmarkStart w:id="596" w:name="_Toc528945010"/>
      <w:bookmarkStart w:id="597" w:name="_Toc10600"/>
      <w:bookmarkStart w:id="598" w:name="_Toc516743928"/>
      <w:bookmarkStart w:id="599" w:name="_Toc31900"/>
      <w:bookmarkStart w:id="600" w:name="_Toc20027"/>
      <w:bookmarkStart w:id="601" w:name="_Toc37166188"/>
      <w:bookmarkStart w:id="602" w:name="_Toc37919873"/>
      <w:bookmarkStart w:id="603" w:name="_Toc24221"/>
      <w:bookmarkStart w:id="604" w:name="_Toc673"/>
      <w:bookmarkStart w:id="605" w:name="_Toc10163"/>
      <w:bookmarkStart w:id="606" w:name="_Toc511756993"/>
      <w:bookmarkStart w:id="607" w:name="_Toc21118"/>
      <w:bookmarkStart w:id="608" w:name="_Toc24708"/>
      <w:bookmarkStart w:id="609" w:name="_Toc494979054"/>
      <w:bookmarkStart w:id="610" w:name="_Toc13950"/>
      <w:bookmarkStart w:id="611" w:name="_Toc2318"/>
      <w:r>
        <w:rPr>
          <w:rStyle w:val="73"/>
          <w:rFonts w:hint="eastAsia" w:ascii="宋体" w:hAnsi="宋体" w:eastAsia="宋体" w:cs="宋体"/>
          <w:b/>
          <w:bCs/>
          <w:sz w:val="21"/>
          <w:szCs w:val="21"/>
        </w:rPr>
        <w:t>15.评审</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15.1磋商小组将只对确定为实质上响应磋商文件要求的报价、澄清和最后报价等内容进行详细评审。</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15.2实质上没有响应磋商文件要求的响应文件将被视为无效响应文件，磋商小组应当告知提交响应文件的供应商。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15.3磋商小组将按磋商文件规定的原则进行评审。</w:t>
      </w:r>
    </w:p>
    <w:p>
      <w:pPr>
        <w:spacing w:line="360" w:lineRule="auto"/>
        <w:outlineLvl w:val="9"/>
        <w:rPr>
          <w:rStyle w:val="73"/>
          <w:rFonts w:hint="eastAsia" w:ascii="宋体" w:hAnsi="宋体" w:eastAsia="宋体" w:cs="宋体"/>
          <w:b/>
          <w:bCs/>
          <w:sz w:val="21"/>
          <w:szCs w:val="21"/>
        </w:rPr>
      </w:pPr>
      <w:bookmarkStart w:id="612" w:name="_Toc12929"/>
      <w:bookmarkStart w:id="613" w:name="_Toc22869"/>
      <w:bookmarkStart w:id="614" w:name="_Toc31720"/>
      <w:bookmarkStart w:id="615" w:name="_Toc13442"/>
      <w:bookmarkStart w:id="616" w:name="_Toc37919874"/>
      <w:bookmarkStart w:id="617" w:name="_Toc4997"/>
      <w:bookmarkStart w:id="618" w:name="_Toc494979055"/>
      <w:bookmarkStart w:id="619" w:name="_Toc528945011"/>
      <w:bookmarkStart w:id="620" w:name="_Toc511756994"/>
      <w:bookmarkStart w:id="621" w:name="_Toc22363"/>
      <w:bookmarkStart w:id="622" w:name="_Toc17717"/>
      <w:bookmarkStart w:id="623" w:name="_Toc49930328"/>
      <w:bookmarkStart w:id="624" w:name="_Toc7327"/>
      <w:bookmarkStart w:id="625" w:name="_Toc516743929"/>
      <w:bookmarkStart w:id="626" w:name="_Toc4693"/>
      <w:bookmarkStart w:id="627" w:name="_Toc12217"/>
      <w:bookmarkStart w:id="628" w:name="_Toc4215"/>
      <w:bookmarkStart w:id="629" w:name="_Toc37166189"/>
      <w:r>
        <w:rPr>
          <w:rStyle w:val="73"/>
          <w:rFonts w:hint="eastAsia" w:ascii="宋体" w:hAnsi="宋体" w:eastAsia="宋体" w:cs="宋体"/>
          <w:b/>
          <w:bCs/>
          <w:sz w:val="21"/>
          <w:szCs w:val="21"/>
        </w:rPr>
        <w:t>16.评审方法</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16.1评审原则</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评审工作应依据国家部委和地方采购的有关规定，遵循“客观、公正、审慎”的原则。</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本次竞争性磋商采购的评审采用</w:t>
      </w:r>
      <w:r>
        <w:rPr>
          <w:rFonts w:hint="eastAsia" w:ascii="宋体" w:hAnsi="宋体" w:eastAsia="宋体" w:cs="宋体"/>
          <w:b/>
          <w:bCs/>
          <w:sz w:val="21"/>
          <w:szCs w:val="21"/>
          <w:highlight w:val="none"/>
        </w:rPr>
        <w:t>综合评分法</w:t>
      </w:r>
      <w:r>
        <w:rPr>
          <w:rFonts w:hint="eastAsia" w:ascii="宋体" w:hAnsi="宋体" w:eastAsia="宋体" w:cs="宋体"/>
          <w:sz w:val="21"/>
          <w:szCs w:val="21"/>
          <w:highlight w:val="none"/>
        </w:rPr>
        <w:t>。本次评审是以磋商文件、最终形成的响应文件和磋商承诺文件和最后报价为依据，在需求明确的基础上，按公正、科学、客观、平等竞争的要求，推荐技术先进、报价合理、经验丰富、信誉良好、售后服务好</w:t>
      </w:r>
      <w:r>
        <w:rPr>
          <w:rFonts w:hint="eastAsia" w:ascii="宋体" w:hAnsi="宋体" w:cs="宋体"/>
          <w:sz w:val="21"/>
          <w:szCs w:val="21"/>
          <w:highlight w:val="none"/>
          <w:lang w:eastAsia="zh-CN"/>
        </w:rPr>
        <w:t>及</w:t>
      </w:r>
      <w:r>
        <w:rPr>
          <w:rFonts w:hint="eastAsia" w:ascii="宋体" w:hAnsi="宋体" w:eastAsia="宋体" w:cs="宋体"/>
          <w:sz w:val="21"/>
          <w:szCs w:val="21"/>
          <w:highlight w:val="none"/>
        </w:rPr>
        <w:t>综合实力强的成交供应商。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3</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参加磋商工作的所有人员应遵守国家部委和地方采购的有关规定，严格保密，确保竞争性磋商工作公平、公正，任何单位和个人不得无理干预磋商小组的正常工作。</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16.2磋商评审程序和评审方法</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按照磋商评审程序的规定，磋商小组首先阅读供应商的响应文件，据此与供应商进行技术、商务、价格的澄清、修正和磋商，磋商中发现供应商的响应文件资料不齐或欠缺时</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准许其在规定时间内补足相应资料，如不能补足，该报价则可能由于不符合磋商的基本要求而被拒绝。本项目磋商如无特殊情况，磋商小组要求供应商进行二轮报价，即在磋商后的第二次报价为最后报价。</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采购项目属于政府购买服务目录内，或者为市场竞争不充分的科研项目，以及需要扶持的科技成果转化项目，在采购过程中符合要求的供应商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社会资本</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只有2家的，竞争性磋商采购活动可以继续进行；不属于以上情形的其他项目，采购过程中，符合要求的供应商不足</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家的，采购人</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项目实施机构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或者采购代理机构应当终止竞争性磋商采购活动，发布项目终止公告并说明原因。</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3</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在磋商的同时磋商小组对供应商的响应文件进行初步评审。无效响应文件的认定条件详见第二部分“磋商须知前附表”所列各项内容。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4</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综合评分及其统计：按照评审程序、评分标准以及权重分配的规定，磋商小组成员分别就各个供应商的技术状况、商务状况及其对磋商文件要求的响应情况进行评议和比较，评出其技术评分和商务评分。各评委的评分的算术平均值即为该供应商的技术评分和商务评分。然后，评出磋商报价得分。将技术评分、商务评分和价格评分分别乘以权重并相加得出综合得分，综合得分按由高到低顺序排列。综合得分相同的，优先排列顺序如下</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 1 \* GB3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①</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最后报价低者</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 2 \* GB3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②</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技术得分高者。综合得分最高的供应商为第一中成交选人，综合得分次高的供应商为第二成交候选人，综合得第三高的供应商为第三成交候选人。</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5</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技术、商务和价格的评审：</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1．技术评分：技术评分各单项所占分值详见附表《技术打分表》；</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按四舍五入原则取值并保留小数点后</w:t>
      </w:r>
      <w:r>
        <w:rPr>
          <w:rFonts w:hint="eastAsia" w:ascii="宋体" w:hAnsi="宋体" w:cs="宋体"/>
          <w:sz w:val="21"/>
          <w:szCs w:val="21"/>
          <w:highlight w:val="none"/>
          <w:lang w:val="en-US" w:eastAsia="zh-CN"/>
        </w:rPr>
        <w:t>四</w:t>
      </w:r>
      <w:r>
        <w:rPr>
          <w:rFonts w:hint="eastAsia" w:ascii="宋体" w:hAnsi="宋体" w:eastAsia="宋体" w:cs="宋体"/>
          <w:sz w:val="21"/>
          <w:szCs w:val="21"/>
          <w:highlight w:val="none"/>
        </w:rPr>
        <w:t>位有效数字。</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 商务评分：商务评分各单项所占分值详见附表《商务打分表》；</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按四舍五入原则取值并保留小数点后</w:t>
      </w:r>
      <w:r>
        <w:rPr>
          <w:rFonts w:hint="eastAsia" w:ascii="宋体" w:hAnsi="宋体" w:cs="宋体"/>
          <w:sz w:val="21"/>
          <w:szCs w:val="21"/>
          <w:highlight w:val="none"/>
          <w:lang w:val="en-US" w:eastAsia="zh-CN"/>
        </w:rPr>
        <w:t>四</w:t>
      </w:r>
      <w:r>
        <w:rPr>
          <w:rFonts w:hint="eastAsia" w:ascii="宋体" w:hAnsi="宋体" w:eastAsia="宋体" w:cs="宋体"/>
          <w:sz w:val="21"/>
          <w:szCs w:val="21"/>
          <w:highlight w:val="none"/>
        </w:rPr>
        <w:t>位有效数字。</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3．价格评分：取满足磋商文件要求且最后报价最低的供应商的价格为磋商基准价，其价格分为满分；其他供应商的价格分统一按照下列公式计算：</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磋商报价得分=磋商基准价/最后磋商</w:t>
      </w:r>
      <w:r>
        <w:rPr>
          <w:rFonts w:hint="eastAsia" w:ascii="宋体" w:hAnsi="宋体" w:cs="宋体"/>
          <w:sz w:val="21"/>
          <w:szCs w:val="21"/>
          <w:highlight w:val="none"/>
          <w:lang w:eastAsia="zh-CN"/>
        </w:rPr>
        <w:t>报价</w:t>
      </w:r>
      <w:r>
        <w:rPr>
          <w:rFonts w:hint="eastAsia" w:ascii="宋体" w:hAnsi="宋体" w:eastAsia="宋体" w:cs="宋体"/>
          <w:sz w:val="21"/>
          <w:szCs w:val="21"/>
          <w:highlight w:val="none"/>
        </w:rPr>
        <w:t>×价格权重×100</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如此类推，算出所有供应商的价格评分。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按四舍五入原则取值并保留小数点后</w:t>
      </w:r>
      <w:r>
        <w:rPr>
          <w:rFonts w:hint="eastAsia" w:ascii="宋体" w:hAnsi="宋体" w:cs="宋体"/>
          <w:sz w:val="21"/>
          <w:szCs w:val="21"/>
          <w:highlight w:val="none"/>
          <w:lang w:val="en-US" w:eastAsia="zh-CN"/>
        </w:rPr>
        <w:t>四</w:t>
      </w:r>
      <w:r>
        <w:rPr>
          <w:rFonts w:hint="eastAsia" w:ascii="宋体" w:hAnsi="宋体" w:eastAsia="宋体" w:cs="宋体"/>
          <w:sz w:val="21"/>
          <w:szCs w:val="21"/>
          <w:highlight w:val="none"/>
        </w:rPr>
        <w:t>位有效数字。</w:t>
      </w:r>
      <w:r>
        <w:rPr>
          <w:rFonts w:hint="eastAsia" w:ascii="宋体" w:hAnsi="宋体" w:cs="宋体"/>
          <w:sz w:val="21"/>
          <w:szCs w:val="21"/>
          <w:highlight w:val="none"/>
          <w:lang w:eastAsia="zh-CN"/>
        </w:rPr>
        <w:t>）</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6</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技术、商务及价格权重分配：见“磋商须知前附表”。</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16.3推荐成交供应商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磋商小组按综合得分由高到低顺序排列推荐成交候选人</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综合得分相同的，优先排列顺序如下①最后报价低者②技术得分高者</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，综合得分最高的供应商为第一中成交选人，综合得分次高的供应商为第二成交候选人，综合得第三高的供应商为第三成交候选人。</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16.4评审报告</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磋商小组依据评审结果出具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16.5磋商、评审过程的保密性。</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接受报价后，直至确定成交供应商，凡与磋商、审查、澄清、评价、比较、确定成交供应商意见有关的内容，任何人均不得向供应商及与磋商评审无关的其他人透露。</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从递交响应文件截止时间起到确定评审结束，供应商不得与参加磋商、评审的有关人员私下接触。在磋商评审过程中，如果供应商试图在响应文件审查、澄清、比较及推荐成交供应商方面向参与磋商评审的有关人员和采购人施加任何影响，其响应文件将被拒绝。</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16.6接受和拒绝任何或所有报价的权利。</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代理采购机构和采购人保留在成交之前任何时候接受或拒绝任何响应文件，以及宣布竞争性磋商无效或拒绝所有响应文件的权力，对受影响的供应商不承担任何责任。</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16.7变更技术方案的权利。</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在竞争性磋商过程中，采购人有权变更技术方案或采购数量，如果供应商根据采购人提出的变更要求调整方案或价格后未能获得合同，采购人和采购代理机构不承担任何责任。</w:t>
      </w:r>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630" w:name="_Toc23188"/>
      <w:bookmarkStart w:id="631" w:name="_Toc37919875"/>
      <w:bookmarkStart w:id="632" w:name="_Toc516743930"/>
      <w:bookmarkStart w:id="633" w:name="_Toc26910"/>
      <w:bookmarkStart w:id="634" w:name="_Toc37166190"/>
      <w:bookmarkStart w:id="635" w:name="_Toc27231"/>
      <w:bookmarkStart w:id="636" w:name="_Toc30055"/>
      <w:bookmarkStart w:id="637" w:name="_Toc494979056"/>
      <w:bookmarkStart w:id="638" w:name="_Toc9319"/>
      <w:bookmarkStart w:id="639" w:name="_Toc1401"/>
      <w:bookmarkStart w:id="640" w:name="_Toc528945012"/>
      <w:bookmarkStart w:id="641" w:name="_Toc8041"/>
      <w:bookmarkStart w:id="642" w:name="_Toc49930329"/>
      <w:bookmarkStart w:id="643" w:name="_Toc8996"/>
      <w:bookmarkStart w:id="644" w:name="_Toc511756995"/>
      <w:bookmarkStart w:id="645" w:name="_Toc10437"/>
      <w:bookmarkStart w:id="646" w:name="_Toc7320"/>
      <w:bookmarkStart w:id="647" w:name="_Toc17147"/>
      <w:r>
        <w:rPr>
          <w:rFonts w:hint="eastAsia" w:ascii="宋体" w:hAnsi="宋体" w:eastAsia="宋体" w:cs="宋体"/>
          <w:b/>
          <w:bCs/>
          <w:sz w:val="21"/>
          <w:szCs w:val="21"/>
          <w:highlight w:val="none"/>
        </w:rPr>
        <w:t>五、成交供应商及采购代理服务费</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spacing w:line="360" w:lineRule="auto"/>
        <w:outlineLvl w:val="9"/>
        <w:rPr>
          <w:rStyle w:val="73"/>
          <w:rFonts w:hint="eastAsia" w:ascii="宋体" w:hAnsi="宋体" w:eastAsia="宋体" w:cs="宋体"/>
          <w:b/>
          <w:bCs/>
          <w:sz w:val="21"/>
          <w:szCs w:val="21"/>
        </w:rPr>
      </w:pPr>
      <w:bookmarkStart w:id="648" w:name="_Toc31405"/>
      <w:bookmarkStart w:id="649" w:name="_Toc49930330"/>
      <w:bookmarkStart w:id="650" w:name="_Toc13200"/>
      <w:bookmarkStart w:id="651" w:name="_Toc30705"/>
      <w:bookmarkStart w:id="652" w:name="_Toc22578"/>
      <w:bookmarkStart w:id="653" w:name="_Toc8332"/>
      <w:bookmarkStart w:id="654" w:name="_Toc18722"/>
      <w:bookmarkStart w:id="655" w:name="_Toc7202"/>
      <w:r>
        <w:rPr>
          <w:rStyle w:val="73"/>
          <w:rFonts w:hint="eastAsia" w:ascii="宋体" w:hAnsi="宋体" w:eastAsia="宋体" w:cs="宋体"/>
          <w:b/>
          <w:bCs/>
          <w:sz w:val="21"/>
          <w:szCs w:val="21"/>
        </w:rPr>
        <w:t>17.成交供应商及采购代理服务费</w:t>
      </w:r>
      <w:bookmarkEnd w:id="648"/>
      <w:bookmarkEnd w:id="649"/>
      <w:bookmarkEnd w:id="650"/>
      <w:bookmarkEnd w:id="651"/>
      <w:bookmarkEnd w:id="652"/>
      <w:bookmarkEnd w:id="653"/>
      <w:bookmarkEnd w:id="654"/>
      <w:bookmarkEnd w:id="655"/>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17.1成交供应商的确定</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根据磋商小组评审结果，采购人依法确定成交供应商。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17.2成交结果公告</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采购代理机构将在</w:t>
      </w:r>
      <w:r>
        <w:rPr>
          <w:rFonts w:hint="eastAsia" w:ascii="宋体" w:hAnsi="宋体" w:cs="宋体"/>
          <w:sz w:val="21"/>
          <w:szCs w:val="21"/>
          <w:highlight w:val="none"/>
          <w:lang w:val="en-US" w:eastAsia="zh-CN"/>
        </w:rPr>
        <w:t>省级以上财政部门</w:t>
      </w:r>
      <w:r>
        <w:rPr>
          <w:rFonts w:hint="eastAsia" w:ascii="宋体" w:hAnsi="宋体" w:eastAsia="宋体" w:cs="宋体"/>
          <w:sz w:val="21"/>
          <w:szCs w:val="21"/>
          <w:highlight w:val="none"/>
        </w:rPr>
        <w:t>指定的采购信息发布媒体上公告成交结果，同时向成交供应商发出成交通知书，公告内容包括磋商项目名称、成交供应商名单、采购人名称和电话，主要成交标的的名称、规格型号、数量、单价、服务要求，磋商小组成员名单。</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17.3成交通知书</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成交结果公告发布的同时，采购代理机构以书面形式向成交供应商发出《成交通知书》；成交供应商收到《成交通知书》后以书面形式向采购代理机构确认。</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《成交通知书》将是合同的一个组成部分，对采购人和成交供应商具有同等法律效力；《成交通知书》发出后，采购人改变成交结果，或者成交供应商放弃成交，均应承担相应的法律责任。</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17.4采购代理服务费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成交供应商在收取《成交通知书》时应向采购代理机构</w:t>
      </w:r>
      <w:r>
        <w:rPr>
          <w:rFonts w:hint="eastAsia" w:ascii="宋体" w:hAnsi="宋体" w:cs="宋体"/>
          <w:sz w:val="21"/>
          <w:szCs w:val="21"/>
          <w:highlight w:val="none"/>
          <w:lang w:eastAsia="zh-CN"/>
        </w:rPr>
        <w:t>缴纳</w:t>
      </w:r>
      <w:r>
        <w:rPr>
          <w:rFonts w:hint="eastAsia" w:ascii="宋体" w:hAnsi="宋体" w:eastAsia="宋体" w:cs="宋体"/>
          <w:sz w:val="21"/>
          <w:szCs w:val="21"/>
          <w:highlight w:val="none"/>
        </w:rPr>
        <w:t>采购代理服务费，采购代理服务费的收费标准具体收费约定详见《磋商须知前附表》</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采购代理服务费以人民币支付。</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3</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采购代理服务费支付方式：一次性以电汇、支票或现金等形式支付。</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4</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采购代理服务费不在报价中单列。</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5</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供应商如果不按规定</w:t>
      </w:r>
      <w:r>
        <w:rPr>
          <w:rFonts w:hint="eastAsia" w:ascii="宋体" w:hAnsi="宋体" w:cs="宋体"/>
          <w:sz w:val="21"/>
          <w:szCs w:val="21"/>
          <w:highlight w:val="none"/>
          <w:lang w:eastAsia="zh-CN"/>
        </w:rPr>
        <w:t>缴纳</w:t>
      </w:r>
      <w:r>
        <w:rPr>
          <w:rFonts w:hint="eastAsia" w:ascii="宋体" w:hAnsi="宋体" w:eastAsia="宋体" w:cs="宋体"/>
          <w:sz w:val="21"/>
          <w:szCs w:val="21"/>
          <w:highlight w:val="none"/>
        </w:rPr>
        <w:t>采购代理服务费，采购代理机构将在成交供应商的磋商保证金中抵扣服务费，并追讨不足部分。</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17.5签订合同</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1</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成交供应商应在成交通知书发出之日起三十日内，按照磋商文件确定的事项，由法定代表人或其授权代表与采购人签署合同。</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2</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合同的组成基于但不限于以下部分：</w:t>
      </w:r>
    </w:p>
    <w:p>
      <w:pPr>
        <w:pageBreakBefore w:val="0"/>
        <w:tabs>
          <w:tab w:val="left" w:pos="495"/>
        </w:tabs>
        <w:kinsoku/>
        <w:wordWrap/>
        <w:overflowPunct/>
        <w:topLinePunct w:val="0"/>
        <w:autoSpaceDE/>
        <w:autoSpaceDN/>
        <w:bidi w:val="0"/>
        <w:snapToGrid w:val="0"/>
        <w:spacing w:line="360" w:lineRule="auto"/>
        <w:ind w:left="0" w:leftChars="0" w:right="0" w:rightChars="0" w:firstLine="840" w:firstLineChars="4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a.《合同书》；</w:t>
      </w:r>
    </w:p>
    <w:p>
      <w:pPr>
        <w:pageBreakBefore w:val="0"/>
        <w:tabs>
          <w:tab w:val="left" w:pos="495"/>
        </w:tabs>
        <w:kinsoku/>
        <w:wordWrap/>
        <w:overflowPunct/>
        <w:topLinePunct w:val="0"/>
        <w:autoSpaceDE/>
        <w:autoSpaceDN/>
        <w:bidi w:val="0"/>
        <w:snapToGrid w:val="0"/>
        <w:spacing w:line="360" w:lineRule="auto"/>
        <w:ind w:left="0" w:leftChars="0" w:right="0" w:rightChars="0" w:firstLine="840" w:firstLineChars="4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b.磋商文件及其澄清、补充文件；</w:t>
      </w:r>
    </w:p>
    <w:p>
      <w:pPr>
        <w:pageBreakBefore w:val="0"/>
        <w:tabs>
          <w:tab w:val="left" w:pos="495"/>
        </w:tabs>
        <w:kinsoku/>
        <w:wordWrap/>
        <w:overflowPunct/>
        <w:topLinePunct w:val="0"/>
        <w:autoSpaceDE/>
        <w:autoSpaceDN/>
        <w:bidi w:val="0"/>
        <w:snapToGrid w:val="0"/>
        <w:spacing w:line="360" w:lineRule="auto"/>
        <w:ind w:left="0" w:leftChars="0" w:right="0" w:rightChars="0" w:firstLine="840" w:firstLineChars="4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c.成交供应商的响应文件及其澄清、补充文件；</w:t>
      </w:r>
    </w:p>
    <w:p>
      <w:pPr>
        <w:pageBreakBefore w:val="0"/>
        <w:tabs>
          <w:tab w:val="left" w:pos="495"/>
        </w:tabs>
        <w:kinsoku/>
        <w:wordWrap/>
        <w:overflowPunct/>
        <w:topLinePunct w:val="0"/>
        <w:autoSpaceDE/>
        <w:autoSpaceDN/>
        <w:bidi w:val="0"/>
        <w:snapToGrid w:val="0"/>
        <w:spacing w:line="360" w:lineRule="auto"/>
        <w:ind w:left="0" w:leftChars="0" w:right="0" w:rightChars="0" w:firstLine="840" w:firstLineChars="400"/>
        <w:textAlignment w:val="auto"/>
        <w:outlineLvl w:val="9"/>
        <w:rPr>
          <w:rFonts w:hint="eastAsia" w:ascii="宋体" w:hAnsi="宋体" w:eastAsia="宋体" w:cs="宋体"/>
          <w:sz w:val="21"/>
          <w:szCs w:val="21"/>
          <w:highlight w:val="none"/>
        </w:rPr>
      </w:pPr>
      <w:bookmarkStart w:id="656" w:name="_Toc37919876"/>
      <w:r>
        <w:rPr>
          <w:rFonts w:hint="eastAsia" w:ascii="宋体" w:hAnsi="宋体" w:eastAsia="宋体" w:cs="宋体"/>
          <w:sz w:val="21"/>
          <w:szCs w:val="21"/>
          <w:highlight w:val="none"/>
        </w:rPr>
        <w:t>d.《成交通知书》。</w:t>
      </w:r>
      <w:bookmarkEnd w:id="656"/>
      <w:bookmarkStart w:id="657" w:name="_Toc37919877"/>
      <w:bookmarkStart w:id="658" w:name="_Toc481532842"/>
      <w:bookmarkStart w:id="659" w:name="_Toc5339"/>
      <w:bookmarkStart w:id="660" w:name="_Toc521008646"/>
    </w:p>
    <w:p>
      <w:pPr>
        <w:spacing w:line="360" w:lineRule="auto"/>
        <w:outlineLvl w:val="9"/>
        <w:rPr>
          <w:rStyle w:val="73"/>
          <w:rFonts w:hint="eastAsia" w:ascii="宋体" w:hAnsi="宋体" w:eastAsia="宋体" w:cs="宋体"/>
          <w:b/>
          <w:bCs/>
          <w:sz w:val="21"/>
          <w:szCs w:val="21"/>
        </w:rPr>
      </w:pPr>
      <w:bookmarkStart w:id="661" w:name="_Toc20489"/>
      <w:bookmarkStart w:id="662" w:name="_Toc18886"/>
      <w:bookmarkStart w:id="663" w:name="_Toc29830"/>
      <w:bookmarkStart w:id="664" w:name="_Toc3089"/>
      <w:bookmarkStart w:id="665" w:name="_Toc31406"/>
      <w:bookmarkStart w:id="666" w:name="_Toc7300"/>
      <w:bookmarkStart w:id="667" w:name="_Toc49930331"/>
      <w:bookmarkStart w:id="668" w:name="_Toc10814"/>
      <w:r>
        <w:rPr>
          <w:rStyle w:val="73"/>
          <w:rFonts w:hint="eastAsia" w:ascii="宋体" w:hAnsi="宋体" w:eastAsia="宋体" w:cs="宋体"/>
          <w:b/>
          <w:bCs/>
          <w:sz w:val="21"/>
          <w:szCs w:val="21"/>
        </w:rPr>
        <w:t>18.质疑</w:t>
      </w:r>
      <w:bookmarkEnd w:id="657"/>
      <w:bookmarkEnd w:id="658"/>
      <w:bookmarkEnd w:id="659"/>
      <w:bookmarkEnd w:id="660"/>
      <w:bookmarkEnd w:id="661"/>
      <w:bookmarkEnd w:id="662"/>
      <w:bookmarkEnd w:id="663"/>
      <w:bookmarkEnd w:id="664"/>
      <w:bookmarkEnd w:id="665"/>
      <w:bookmarkEnd w:id="666"/>
      <w:bookmarkEnd w:id="667"/>
      <w:bookmarkEnd w:id="668"/>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18.1供应商对采购活动事项有疑问的，可以向采购人或者采购代理机构提出询问。采购人或者采购代理机构应当在3个工作日内对供应商依法提出的询问作出答复，但答复的内容不得涉及商业秘密。</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18.2如果供应商认为采购文件、采购过程或采购结果使其权益受到损害的，可以在知道或者应知其权益受到损害之日起3个工作日内</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注</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供应商购买采购文件之日早于采购文件公告期限届满之日的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则以供应商购买采购文件之日为质疑时效期间的起算日期；否则</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以采购文件公告期限届满之日为质疑时效期间的起算日期</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以书面形式向招标采购单位提出，并递交原件，质疑书应由法定代表人或其授权代表签字，授权代表签字的，应同时递交法定代表人对质疑事项的授权委托书，授权委托书应当载明代理人的姓名或者名称、代理事项、具体权限、期限和相关事项。以联合体形式参加采购活动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采购文件允许联合体参加的</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，其投诉应当由组成联合体的所有供应商共同提出。</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供应商应知其权益受到损害之日是指：</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对</w:t>
      </w:r>
      <w:r>
        <w:rPr>
          <w:rFonts w:hint="eastAsia" w:ascii="宋体" w:hAnsi="宋体" w:cs="宋体"/>
          <w:color w:val="auto"/>
          <w:sz w:val="21"/>
          <w:szCs w:val="21"/>
          <w:lang w:val="en-US" w:eastAsia="zh-CN"/>
        </w:rPr>
        <w:t>采购</w:t>
      </w:r>
      <w:r>
        <w:rPr>
          <w:rFonts w:hint="eastAsia" w:ascii="宋体" w:hAnsi="宋体" w:eastAsia="宋体" w:cs="宋体"/>
          <w:color w:val="auto"/>
          <w:sz w:val="21"/>
          <w:szCs w:val="21"/>
          <w:lang w:val="en-US" w:eastAsia="zh-CN"/>
        </w:rPr>
        <w:t>文件提出质疑的，为获取</w:t>
      </w:r>
      <w:r>
        <w:rPr>
          <w:rFonts w:hint="eastAsia" w:ascii="宋体" w:hAnsi="宋体" w:cs="宋体"/>
          <w:color w:val="auto"/>
          <w:sz w:val="21"/>
          <w:szCs w:val="21"/>
          <w:lang w:val="en-US" w:eastAsia="zh-CN"/>
        </w:rPr>
        <w:t>采购</w:t>
      </w:r>
      <w:r>
        <w:rPr>
          <w:rFonts w:hint="eastAsia" w:ascii="宋体" w:hAnsi="宋体" w:eastAsia="宋体" w:cs="宋体"/>
          <w:color w:val="auto"/>
          <w:sz w:val="21"/>
          <w:szCs w:val="21"/>
          <w:lang w:val="en-US" w:eastAsia="zh-CN"/>
        </w:rPr>
        <w:t>文件之日或者</w:t>
      </w:r>
      <w:r>
        <w:rPr>
          <w:rFonts w:hint="eastAsia" w:ascii="宋体" w:hAnsi="宋体" w:cs="宋体"/>
          <w:color w:val="auto"/>
          <w:sz w:val="21"/>
          <w:szCs w:val="21"/>
          <w:lang w:val="en-US" w:eastAsia="zh-CN"/>
        </w:rPr>
        <w:t>采购</w:t>
      </w:r>
      <w:r>
        <w:rPr>
          <w:rFonts w:hint="eastAsia" w:ascii="宋体" w:hAnsi="宋体" w:eastAsia="宋体" w:cs="宋体"/>
          <w:color w:val="auto"/>
          <w:sz w:val="21"/>
          <w:szCs w:val="21"/>
          <w:lang w:val="en-US" w:eastAsia="zh-CN"/>
        </w:rPr>
        <w:t>文件公告期限届满之日；</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对采购过程提出质疑的，为各采购程序环节结束之日；</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对中标</w:t>
      </w:r>
      <w:r>
        <w:rPr>
          <w:rFonts w:hint="eastAsia" w:ascii="宋体" w:hAnsi="宋体" w:cs="宋体"/>
          <w:color w:val="auto"/>
          <w:sz w:val="21"/>
          <w:szCs w:val="21"/>
          <w:lang w:val="en-US" w:eastAsia="zh-CN"/>
        </w:rPr>
        <w:t>（成交）</w:t>
      </w:r>
      <w:r>
        <w:rPr>
          <w:rFonts w:hint="eastAsia" w:ascii="宋体" w:hAnsi="宋体" w:eastAsia="宋体" w:cs="宋体"/>
          <w:color w:val="auto"/>
          <w:sz w:val="21"/>
          <w:szCs w:val="21"/>
          <w:lang w:val="en-US" w:eastAsia="zh-CN"/>
        </w:rPr>
        <w:t>结果提出质疑的，为中标</w:t>
      </w:r>
      <w:r>
        <w:rPr>
          <w:rFonts w:hint="eastAsia" w:ascii="宋体" w:hAnsi="宋体" w:cs="宋体"/>
          <w:color w:val="auto"/>
          <w:sz w:val="21"/>
          <w:szCs w:val="21"/>
          <w:lang w:val="en-US" w:eastAsia="zh-CN"/>
        </w:rPr>
        <w:t>（成交）</w:t>
      </w:r>
      <w:r>
        <w:rPr>
          <w:rFonts w:hint="eastAsia" w:ascii="宋体" w:hAnsi="宋体" w:eastAsia="宋体" w:cs="宋体"/>
          <w:color w:val="auto"/>
          <w:sz w:val="21"/>
          <w:szCs w:val="21"/>
          <w:lang w:val="en-US" w:eastAsia="zh-CN"/>
        </w:rPr>
        <w:t>结果公告期限届满之日。</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18.3供应商应在法定质疑期内一次性提出针对同一采购程序环节的质疑，质疑函应当包括下列内容：</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一</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供应商的姓名或者名称、地址、邮编、联系人及联系电话；</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二</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质疑项目的名称、编号；</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三</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具体、明确的质疑事项和与质疑事项相关的请求；</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四</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事实依据；</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五</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必要的法律依据；</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cs="宋体"/>
          <w:sz w:val="21"/>
          <w:szCs w:val="21"/>
          <w:highlight w:val="none"/>
          <w:lang w:eastAsia="zh-CN"/>
        </w:rPr>
        <w:t>（</w:t>
      </w:r>
      <w:r>
        <w:rPr>
          <w:rFonts w:hint="eastAsia" w:ascii="宋体" w:hAnsi="宋体" w:eastAsia="宋体" w:cs="宋体"/>
          <w:sz w:val="21"/>
          <w:szCs w:val="21"/>
          <w:highlight w:val="none"/>
        </w:rPr>
        <w:t>六</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提出质疑的日期。</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18</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质疑函应当署名。质疑供应商为自然人的，应当由本人签字；质疑供应商为法人或者其他组织的，应当由法定代表人、主要负责人，或者其授权代表签字或者盖章，并加盖公章。</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18</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供应商质疑应当有明确的请求和必要的证明材料。质疑内容不得含有虚假、恶意成分。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采购监督管理部门依法处理。</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18</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质疑人进行质疑应当符合下列条件：</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质疑人是参与所质疑采购项目的供应商；</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在质疑有效期内提起质疑；</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法律法规规定的其他条件。</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18</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质疑联系方式如下：</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采购代理机构：珠海正诺工程咨询有限公司</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珠海市香洲区兴国街4号中立信大厦902</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电话：0756-2897761</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E-mail:ZHZN2020@163.com</w:t>
      </w:r>
    </w:p>
    <w:p>
      <w:pPr>
        <w:pStyle w:val="68"/>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rPr>
      </w:pPr>
      <w:r>
        <w:rPr>
          <w:rFonts w:hint="eastAsia" w:ascii="宋体" w:hAnsi="宋体" w:eastAsia="宋体" w:cs="宋体"/>
          <w:color w:val="auto"/>
          <w:sz w:val="21"/>
          <w:szCs w:val="21"/>
        </w:rPr>
        <w:t>联系人：</w:t>
      </w:r>
      <w:r>
        <w:rPr>
          <w:rFonts w:hint="eastAsia" w:ascii="宋体" w:hAnsi="宋体" w:cs="宋体"/>
          <w:color w:val="auto"/>
          <w:sz w:val="21"/>
          <w:szCs w:val="21"/>
          <w:lang w:val="en-US" w:eastAsia="zh-CN"/>
        </w:rPr>
        <w:t>刘鹏</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18.</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采购单位在收到供应商的书面质疑后5个工作日内作出答复</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并以书面形式通知质疑供应商和其他有关供应商</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但答复内容不涉及商业秘密。质疑供应商须提供相关证明材料</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包括但不限于权益受损害的情况说明及受损害的原因、证据内容等</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并对质疑内容的真实性承担责任。</w:t>
      </w:r>
    </w:p>
    <w:p>
      <w:pPr>
        <w:spacing w:line="360" w:lineRule="auto"/>
        <w:outlineLvl w:val="9"/>
        <w:rPr>
          <w:rStyle w:val="73"/>
          <w:rFonts w:hint="eastAsia" w:ascii="宋体" w:hAnsi="宋体" w:eastAsia="宋体" w:cs="宋体"/>
          <w:b/>
          <w:bCs/>
          <w:sz w:val="21"/>
          <w:szCs w:val="21"/>
        </w:rPr>
      </w:pPr>
      <w:bookmarkStart w:id="669" w:name="_Toc521419117"/>
      <w:bookmarkStart w:id="670" w:name="_Toc19389"/>
      <w:bookmarkStart w:id="671" w:name="_Toc12538"/>
      <w:bookmarkStart w:id="672" w:name="_Toc8493"/>
      <w:bookmarkStart w:id="673" w:name="_Toc49930332"/>
      <w:bookmarkStart w:id="674" w:name="_Toc22353"/>
      <w:bookmarkStart w:id="675" w:name="_Toc517380033"/>
      <w:bookmarkStart w:id="676" w:name="_Toc534749440"/>
      <w:bookmarkStart w:id="677" w:name="_Toc1665"/>
      <w:bookmarkStart w:id="678" w:name="_Toc6836648"/>
      <w:bookmarkStart w:id="679" w:name="_Toc30048"/>
      <w:bookmarkStart w:id="680" w:name="_Toc37919878"/>
      <w:bookmarkStart w:id="681" w:name="_Toc508880154"/>
      <w:bookmarkStart w:id="682" w:name="_Toc31711"/>
      <w:bookmarkStart w:id="683" w:name="_Toc509258017"/>
      <w:bookmarkStart w:id="684" w:name="_Toc27151"/>
      <w:bookmarkStart w:id="685" w:name="_Toc11582"/>
      <w:r>
        <w:rPr>
          <w:rStyle w:val="73"/>
          <w:rFonts w:hint="eastAsia" w:ascii="宋体" w:hAnsi="宋体" w:eastAsia="宋体" w:cs="宋体"/>
          <w:b/>
          <w:bCs/>
          <w:sz w:val="21"/>
          <w:szCs w:val="21"/>
        </w:rPr>
        <w:t>19.投诉</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19.1供应商对采购单位的质疑答复不满意，或者采购单位未在规定期限内作出答复的，供应商可以在答复期满后3个工作日内向采购人的监管部门提起投诉。</w:t>
      </w:r>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19.2 供应商质疑、投诉应当有明确的请求和必要的证明材料。供应商投诉的事项不得超出已质疑事项的范围。</w:t>
      </w:r>
    </w:p>
    <w:p>
      <w:pPr>
        <w:pageBreakBefore w:val="0"/>
        <w:tabs>
          <w:tab w:val="left" w:pos="495"/>
        </w:tabs>
        <w:kinsoku/>
        <w:wordWrap/>
        <w:overflowPunct/>
        <w:topLinePunct w:val="0"/>
        <w:autoSpaceDE/>
        <w:autoSpaceDN/>
        <w:bidi w:val="0"/>
        <w:snapToGrid w:val="0"/>
        <w:spacing w:line="360" w:lineRule="auto"/>
        <w:ind w:right="0" w:rightChars="0"/>
        <w:textAlignment w:val="auto"/>
        <w:outlineLvl w:val="9"/>
        <w:rPr>
          <w:rFonts w:hint="eastAsia" w:ascii="宋体" w:hAnsi="宋体" w:eastAsia="宋体" w:cs="宋体"/>
          <w:b/>
          <w:bCs/>
          <w:sz w:val="21"/>
          <w:szCs w:val="21"/>
          <w:highlight w:val="none"/>
        </w:rPr>
      </w:pPr>
      <w:bookmarkStart w:id="686" w:name="_Toc29256"/>
      <w:bookmarkStart w:id="687" w:name="_Toc24867"/>
      <w:bookmarkStart w:id="688" w:name="_Toc521008647"/>
      <w:bookmarkStart w:id="689" w:name="_Toc5491"/>
      <w:bookmarkStart w:id="690" w:name="_Toc27397"/>
      <w:bookmarkStart w:id="691" w:name="_Toc37919879"/>
      <w:bookmarkStart w:id="692" w:name="_Toc8639"/>
      <w:bookmarkStart w:id="693" w:name="_Toc14827"/>
      <w:bookmarkStart w:id="694" w:name="_Toc481532843"/>
      <w:bookmarkStart w:id="695" w:name="_Toc19524"/>
      <w:bookmarkStart w:id="696" w:name="_Toc9380"/>
      <w:bookmarkStart w:id="697" w:name="_Toc49930333"/>
      <w:r>
        <w:rPr>
          <w:rFonts w:hint="eastAsia" w:ascii="宋体" w:hAnsi="宋体" w:eastAsia="宋体" w:cs="宋体"/>
          <w:b/>
          <w:bCs/>
          <w:sz w:val="21"/>
          <w:szCs w:val="21"/>
          <w:highlight w:val="none"/>
        </w:rPr>
        <w:t>六、磋商文件的解释权</w:t>
      </w:r>
      <w:bookmarkEnd w:id="686"/>
      <w:bookmarkEnd w:id="687"/>
      <w:bookmarkEnd w:id="688"/>
      <w:bookmarkEnd w:id="689"/>
      <w:bookmarkEnd w:id="690"/>
      <w:bookmarkEnd w:id="691"/>
      <w:bookmarkEnd w:id="692"/>
      <w:bookmarkEnd w:id="693"/>
      <w:bookmarkEnd w:id="694"/>
      <w:bookmarkEnd w:id="695"/>
      <w:bookmarkEnd w:id="696"/>
      <w:bookmarkEnd w:id="697"/>
    </w:p>
    <w:p>
      <w:pPr>
        <w:pageBreakBefore w:val="0"/>
        <w:tabs>
          <w:tab w:val="left" w:pos="495"/>
        </w:tabs>
        <w:kinsoku/>
        <w:wordWrap/>
        <w:overflowPunct/>
        <w:topLinePunct w:val="0"/>
        <w:autoSpaceDE/>
        <w:autoSpaceDN/>
        <w:bidi w:val="0"/>
        <w:snapToGrid w:val="0"/>
        <w:spacing w:line="360" w:lineRule="auto"/>
        <w:ind w:left="0" w:leftChars="0" w:right="0" w:rightChars="0"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本磋商文件的解释权归</w:t>
      </w:r>
      <w:r>
        <w:rPr>
          <w:rFonts w:hint="eastAsia" w:ascii="宋体" w:hAnsi="宋体" w:eastAsia="宋体" w:cs="宋体"/>
          <w:sz w:val="21"/>
          <w:szCs w:val="21"/>
          <w:highlight w:val="none"/>
          <w:lang w:eastAsia="zh-CN"/>
        </w:rPr>
        <w:t>珠海正诺工程咨询有限公司</w:t>
      </w:r>
      <w:r>
        <w:rPr>
          <w:rFonts w:hint="eastAsia" w:ascii="宋体" w:hAnsi="宋体" w:eastAsia="宋体" w:cs="宋体"/>
          <w:sz w:val="21"/>
          <w:szCs w:val="21"/>
          <w:highlight w:val="none"/>
        </w:rPr>
        <w:t>。</w:t>
      </w:r>
      <w:bookmarkEnd w:id="282"/>
      <w:bookmarkEnd w:id="283"/>
      <w:bookmarkEnd w:id="284"/>
      <w:bookmarkEnd w:id="285"/>
      <w:bookmarkEnd w:id="286"/>
      <w:bookmarkEnd w:id="287"/>
    </w:p>
    <w:p>
      <w:pPr>
        <w:snapToGrid w:val="0"/>
        <w:spacing w:line="400" w:lineRule="atLeast"/>
        <w:rPr>
          <w:rFonts w:hint="eastAsia" w:ascii="宋体" w:hAnsi="宋体" w:eastAsia="宋体" w:cs="宋体"/>
          <w:szCs w:val="21"/>
          <w:highlight w:val="none"/>
        </w:rPr>
      </w:pPr>
      <w:r>
        <w:rPr>
          <w:rFonts w:hint="eastAsia" w:ascii="宋体" w:hAnsi="宋体" w:eastAsia="宋体" w:cs="宋体"/>
          <w:szCs w:val="21"/>
          <w:highlight w:val="none"/>
        </w:rPr>
        <w:br w:type="page"/>
      </w:r>
    </w:p>
    <w:p>
      <w:pPr>
        <w:pStyle w:val="3"/>
        <w:keepNext/>
        <w:keepLines/>
        <w:pageBreakBefore w:val="0"/>
        <w:widowControl w:val="0"/>
        <w:kinsoku/>
        <w:wordWrap/>
        <w:overflowPunct/>
        <w:topLinePunct w:val="0"/>
        <w:autoSpaceDE/>
        <w:autoSpaceDN/>
        <w:bidi w:val="0"/>
        <w:adjustRightInd/>
        <w:snapToGrid/>
        <w:spacing w:before="120" w:beforeLines="50" w:after="120" w:afterLines="50" w:line="360" w:lineRule="auto"/>
        <w:textAlignment w:val="auto"/>
        <w:rPr>
          <w:rFonts w:hint="eastAsia" w:ascii="宋体" w:hAnsi="宋体" w:eastAsia="宋体" w:cs="宋体"/>
          <w:sz w:val="44"/>
          <w:szCs w:val="36"/>
          <w:highlight w:val="none"/>
        </w:rPr>
      </w:pPr>
      <w:bookmarkStart w:id="698" w:name="_Toc10571"/>
      <w:bookmarkStart w:id="699" w:name="_Toc37919880"/>
      <w:bookmarkStart w:id="700" w:name="_Toc497076525"/>
      <w:bookmarkStart w:id="701" w:name="_Toc276645575"/>
      <w:bookmarkStart w:id="702" w:name="_Toc18160"/>
      <w:bookmarkStart w:id="703" w:name="_Toc9314"/>
      <w:bookmarkStart w:id="704" w:name="_Toc12354"/>
      <w:bookmarkStart w:id="705" w:name="_Toc23681"/>
      <w:bookmarkStart w:id="706" w:name="_Toc3992"/>
      <w:bookmarkStart w:id="707" w:name="_Toc531617896"/>
      <w:bookmarkStart w:id="708" w:name="_Toc26849"/>
      <w:bookmarkStart w:id="709" w:name="_Toc1318"/>
      <w:bookmarkStart w:id="710" w:name="_Toc3387024"/>
      <w:bookmarkStart w:id="711" w:name="_Toc20204"/>
      <w:bookmarkStart w:id="712" w:name="_Toc49930334"/>
      <w:bookmarkStart w:id="713" w:name="_Toc15610"/>
      <w:r>
        <w:rPr>
          <w:rFonts w:hint="eastAsia" w:ascii="宋体" w:hAnsi="宋体" w:eastAsia="宋体" w:cs="宋体"/>
          <w:sz w:val="44"/>
          <w:szCs w:val="36"/>
          <w:highlight w:val="none"/>
        </w:rPr>
        <w:t>第四部分 用户需求书</w:t>
      </w:r>
      <w:bookmarkEnd w:id="167"/>
      <w:bookmarkEnd w:id="168"/>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Start w:id="714" w:name="_Hlt25128125"/>
      <w:bookmarkEnd w:id="714"/>
      <w:bookmarkStart w:id="715" w:name="_Toc24697"/>
      <w:bookmarkStart w:id="716" w:name="_Toc276645576"/>
      <w:bookmarkStart w:id="717" w:name="_Toc49508359"/>
      <w:bookmarkStart w:id="718" w:name="_Toc42923379"/>
    </w:p>
    <w:p>
      <w:pPr>
        <w:keepNext/>
        <w:keepLines/>
        <w:spacing w:line="360" w:lineRule="auto"/>
        <w:jc w:val="center"/>
        <w:rPr>
          <w:rFonts w:ascii="宋体" w:hAnsi="宋体" w:cs="宋体"/>
          <w:b/>
          <w:bCs/>
          <w:kern w:val="44"/>
          <w:sz w:val="28"/>
          <w:szCs w:val="28"/>
        </w:rPr>
      </w:pPr>
      <w:bookmarkStart w:id="719" w:name="_Toc531940643"/>
      <w:bookmarkStart w:id="720" w:name="_Toc3703"/>
      <w:bookmarkStart w:id="721" w:name="_Toc3366"/>
      <w:bookmarkStart w:id="722" w:name="_Toc531940570"/>
      <w:bookmarkStart w:id="723" w:name="_Toc11120"/>
      <w:bookmarkStart w:id="724" w:name="_Toc4966"/>
      <w:bookmarkStart w:id="725" w:name="_Toc3170"/>
      <w:bookmarkStart w:id="726" w:name="_Toc520423292"/>
      <w:r>
        <w:rPr>
          <w:rFonts w:hint="eastAsia" w:ascii="宋体" w:hAnsi="宋体" w:cs="宋体"/>
          <w:b/>
          <w:bCs/>
          <w:kern w:val="44"/>
          <w:sz w:val="28"/>
          <w:szCs w:val="28"/>
        </w:rPr>
        <w:t>响应</w:t>
      </w:r>
      <w:bookmarkEnd w:id="719"/>
      <w:bookmarkEnd w:id="720"/>
      <w:bookmarkEnd w:id="721"/>
      <w:bookmarkEnd w:id="722"/>
      <w:r>
        <w:rPr>
          <w:rFonts w:hint="eastAsia" w:ascii="宋体" w:hAnsi="宋体" w:cs="宋体"/>
          <w:b/>
          <w:bCs/>
          <w:kern w:val="44"/>
          <w:sz w:val="28"/>
          <w:szCs w:val="28"/>
        </w:rPr>
        <w:t>要求</w:t>
      </w:r>
      <w:bookmarkEnd w:id="723"/>
    </w:p>
    <w:p>
      <w:pPr>
        <w:spacing w:line="360" w:lineRule="auto"/>
        <w:rPr>
          <w:rFonts w:ascii="宋体" w:hAnsi="宋体" w:cs="宋体"/>
          <w:b/>
          <w:bCs/>
          <w:szCs w:val="21"/>
        </w:rPr>
      </w:pPr>
      <w:r>
        <w:rPr>
          <w:rFonts w:hint="eastAsia" w:ascii="宋体" w:hAnsi="宋体" w:cs="宋体"/>
          <w:b/>
          <w:bCs/>
          <w:szCs w:val="21"/>
        </w:rPr>
        <w:t>1.响应供应商须对本项目的用户需求书进行整体响应，任何只对本项目用户需求书其中一部分内容进行响应的，将视为非实质性响应磋商文件要求而导致响应无效。</w:t>
      </w:r>
    </w:p>
    <w:p>
      <w:pPr>
        <w:spacing w:line="360" w:lineRule="auto"/>
        <w:rPr>
          <w:rFonts w:ascii="宋体" w:hAnsi="宋体" w:cs="宋体"/>
          <w:b/>
          <w:bCs/>
          <w:szCs w:val="21"/>
        </w:rPr>
      </w:pPr>
      <w:r>
        <w:rPr>
          <w:rFonts w:hint="eastAsia" w:ascii="宋体" w:hAnsi="宋体" w:cs="宋体"/>
          <w:b/>
          <w:bCs/>
          <w:szCs w:val="21"/>
        </w:rPr>
        <w:t>2.本项目不得非法转包，但可以将非主体</w:t>
      </w:r>
      <w:r>
        <w:rPr>
          <w:rFonts w:hint="eastAsia" w:ascii="宋体" w:hAnsi="宋体" w:cs="宋体"/>
          <w:b/>
          <w:bCs/>
          <w:szCs w:val="21"/>
          <w:lang w:eastAsia="zh-CN"/>
        </w:rPr>
        <w:t>（</w:t>
      </w:r>
      <w:r>
        <w:rPr>
          <w:rFonts w:hint="eastAsia" w:ascii="宋体" w:hAnsi="宋体" w:cs="宋体"/>
          <w:b/>
          <w:bCs/>
          <w:szCs w:val="21"/>
        </w:rPr>
        <w:t>非关键</w:t>
      </w:r>
      <w:r>
        <w:rPr>
          <w:rFonts w:hint="eastAsia" w:ascii="宋体" w:hAnsi="宋体" w:cs="宋体"/>
          <w:b/>
          <w:bCs/>
          <w:szCs w:val="21"/>
          <w:lang w:eastAsia="zh-CN"/>
        </w:rPr>
        <w:t>）</w:t>
      </w:r>
      <w:r>
        <w:rPr>
          <w:rFonts w:hint="eastAsia" w:ascii="宋体" w:hAnsi="宋体" w:cs="宋体"/>
          <w:b/>
          <w:bCs/>
          <w:szCs w:val="21"/>
        </w:rPr>
        <w:t>工作分包给有资质</w:t>
      </w:r>
      <w:r>
        <w:rPr>
          <w:rFonts w:hint="eastAsia" w:ascii="宋体" w:hAnsi="宋体" w:cs="宋体"/>
          <w:b/>
          <w:bCs/>
          <w:szCs w:val="21"/>
          <w:lang w:eastAsia="zh-CN"/>
        </w:rPr>
        <w:t>（</w:t>
      </w:r>
      <w:r>
        <w:rPr>
          <w:rFonts w:hint="eastAsia" w:ascii="宋体" w:hAnsi="宋体" w:cs="宋体"/>
          <w:b/>
          <w:bCs/>
          <w:szCs w:val="21"/>
        </w:rPr>
        <w:t>有能力</w:t>
      </w:r>
      <w:r>
        <w:rPr>
          <w:rFonts w:hint="eastAsia" w:ascii="宋体" w:hAnsi="宋体" w:cs="宋体"/>
          <w:b/>
          <w:bCs/>
          <w:szCs w:val="21"/>
          <w:lang w:eastAsia="zh-CN"/>
        </w:rPr>
        <w:t>）</w:t>
      </w:r>
      <w:r>
        <w:rPr>
          <w:rFonts w:hint="eastAsia" w:ascii="宋体" w:hAnsi="宋体" w:cs="宋体"/>
          <w:b/>
          <w:bCs/>
          <w:szCs w:val="21"/>
        </w:rPr>
        <w:t>的供应商实施。</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1.1项目名称</w:t>
      </w:r>
    </w:p>
    <w:p>
      <w:pPr>
        <w:spacing w:line="360" w:lineRule="auto"/>
        <w:ind w:firstLine="493" w:firstLineChars="235"/>
        <w:rPr>
          <w:rFonts w:hint="eastAsia" w:ascii="宋体" w:hAnsi="宋体" w:eastAsia="宋体" w:cs="宋体"/>
          <w:sz w:val="21"/>
          <w:szCs w:val="21"/>
        </w:rPr>
      </w:pPr>
      <w:r>
        <w:rPr>
          <w:rFonts w:hint="eastAsia" w:ascii="宋体" w:hAnsi="宋体" w:eastAsia="宋体" w:cs="宋体"/>
          <w:kern w:val="0"/>
          <w:sz w:val="21"/>
          <w:szCs w:val="21"/>
        </w:rPr>
        <w:t>珠海市中级人民法院2023年科技法庭租赁服务项目</w:t>
      </w:r>
      <w:r>
        <w:rPr>
          <w:rFonts w:hint="eastAsia" w:ascii="宋体" w:hAnsi="宋体" w:eastAsia="宋体" w:cs="宋体"/>
          <w:sz w:val="21"/>
          <w:szCs w:val="21"/>
        </w:rPr>
        <w:t>。</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1.2项目租赁服务期限、售后及续约</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1"/>
          <w:szCs w:val="21"/>
        </w:rPr>
      </w:pPr>
      <w:r>
        <w:rPr>
          <w:rFonts w:hint="eastAsia" w:ascii="宋体" w:hAnsi="宋体" w:eastAsia="宋体" w:cs="宋体"/>
          <w:b/>
          <w:kern w:val="0"/>
          <w:sz w:val="21"/>
          <w:szCs w:val="21"/>
        </w:rPr>
        <w:t>★</w:t>
      </w:r>
      <w:r>
        <w:rPr>
          <w:rFonts w:hint="eastAsia" w:ascii="宋体" w:hAnsi="宋体" w:eastAsia="宋体" w:cs="宋体"/>
          <w:b/>
          <w:color w:val="000000"/>
          <w:kern w:val="0"/>
          <w:sz w:val="21"/>
          <w:szCs w:val="21"/>
        </w:rPr>
        <w:t>本项目租赁服务期限为3年，首个租赁期的初始设备必须为全新产品。在租赁服务期内中标人负责免费维护升级所有的租赁设备。租赁期满前三个月中标人应提前通知甲方，中标人应优先考虑甲方的续约需求。</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1.</w:t>
      </w:r>
      <w:r>
        <w:rPr>
          <w:rFonts w:hint="eastAsia" w:ascii="宋体" w:hAnsi="宋体" w:eastAsia="宋体" w:cs="宋体"/>
          <w:b/>
          <w:sz w:val="21"/>
          <w:szCs w:val="21"/>
          <w:lang w:val="en-US" w:eastAsia="zh-CN"/>
        </w:rPr>
        <w:t>3</w:t>
      </w:r>
      <w:r>
        <w:rPr>
          <w:rFonts w:hint="eastAsia" w:ascii="宋体" w:hAnsi="宋体" w:eastAsia="宋体" w:cs="宋体"/>
          <w:b/>
          <w:sz w:val="21"/>
          <w:szCs w:val="21"/>
        </w:rPr>
        <w:t>项目建设依据</w:t>
      </w:r>
    </w:p>
    <w:p>
      <w:pPr>
        <w:spacing w:line="360" w:lineRule="auto"/>
        <w:ind w:firstLine="495" w:firstLineChars="236"/>
        <w:rPr>
          <w:rFonts w:hint="eastAsia" w:ascii="宋体" w:hAnsi="宋体" w:eastAsia="宋体" w:cs="宋体"/>
          <w:sz w:val="21"/>
          <w:szCs w:val="21"/>
        </w:rPr>
      </w:pPr>
      <w:r>
        <w:rPr>
          <w:rFonts w:hint="eastAsia" w:ascii="宋体" w:hAnsi="宋体" w:eastAsia="宋体" w:cs="宋体"/>
          <w:sz w:val="21"/>
          <w:szCs w:val="21"/>
        </w:rPr>
        <w:t>项目建设依据满足且不限于以下要求：</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《科技法庭信息化建设规范》</w:t>
      </w:r>
      <w:r>
        <w:rPr>
          <w:rFonts w:hint="eastAsia" w:ascii="宋体" w:hAnsi="宋体" w:cs="宋体"/>
          <w:sz w:val="21"/>
          <w:szCs w:val="21"/>
          <w:lang w:eastAsia="zh-CN"/>
        </w:rPr>
        <w:t>（</w:t>
      </w:r>
      <w:r>
        <w:rPr>
          <w:rFonts w:hint="eastAsia" w:ascii="宋体" w:hAnsi="宋体" w:eastAsia="宋体" w:cs="宋体"/>
          <w:sz w:val="21"/>
          <w:szCs w:val="21"/>
        </w:rPr>
        <w:t>FYB/T54001—2021</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《智能庭审应用技术要求》</w:t>
      </w:r>
      <w:r>
        <w:rPr>
          <w:rFonts w:hint="eastAsia" w:ascii="宋体" w:hAnsi="宋体" w:cs="宋体"/>
          <w:sz w:val="21"/>
          <w:szCs w:val="21"/>
          <w:lang w:eastAsia="zh-CN"/>
        </w:rPr>
        <w:t>（</w:t>
      </w:r>
      <w:r>
        <w:rPr>
          <w:rFonts w:hint="eastAsia" w:ascii="宋体" w:hAnsi="宋体" w:eastAsia="宋体" w:cs="宋体"/>
          <w:sz w:val="21"/>
          <w:szCs w:val="21"/>
        </w:rPr>
        <w:t>FYB/T52038—2020</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《安全隔离与信息交换平台建设要求》</w:t>
      </w:r>
      <w:r>
        <w:rPr>
          <w:rFonts w:hint="eastAsia" w:ascii="宋体" w:hAnsi="宋体" w:cs="宋体"/>
          <w:sz w:val="21"/>
          <w:szCs w:val="21"/>
          <w:lang w:eastAsia="zh-CN"/>
        </w:rPr>
        <w:t>（</w:t>
      </w:r>
      <w:r>
        <w:rPr>
          <w:rFonts w:hint="eastAsia" w:ascii="宋体" w:hAnsi="宋体" w:eastAsia="宋体" w:cs="宋体"/>
          <w:sz w:val="21"/>
          <w:szCs w:val="21"/>
        </w:rPr>
        <w:t>FYB/T53001—2020</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《安全隔离与信息交换平台使用和管理要求》</w:t>
      </w:r>
      <w:r>
        <w:rPr>
          <w:rFonts w:hint="eastAsia" w:ascii="宋体" w:hAnsi="宋体" w:cs="宋体"/>
          <w:sz w:val="21"/>
          <w:szCs w:val="21"/>
          <w:lang w:eastAsia="zh-CN"/>
        </w:rPr>
        <w:t>（</w:t>
      </w:r>
      <w:r>
        <w:rPr>
          <w:rFonts w:hint="eastAsia" w:ascii="宋体" w:hAnsi="宋体" w:eastAsia="宋体" w:cs="宋体"/>
          <w:sz w:val="21"/>
          <w:szCs w:val="21"/>
        </w:rPr>
        <w:t>FYB_T_59006-2020</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《综合布线系统工程设计规范》</w:t>
      </w:r>
      <w:r>
        <w:rPr>
          <w:rFonts w:hint="eastAsia" w:ascii="宋体" w:hAnsi="宋体" w:cs="宋体"/>
          <w:sz w:val="21"/>
          <w:szCs w:val="21"/>
          <w:lang w:eastAsia="zh-CN"/>
        </w:rPr>
        <w:t>（</w:t>
      </w:r>
      <w:r>
        <w:rPr>
          <w:rFonts w:hint="eastAsia" w:ascii="宋体" w:hAnsi="宋体" w:eastAsia="宋体" w:cs="宋体"/>
          <w:sz w:val="21"/>
          <w:szCs w:val="21"/>
        </w:rPr>
        <w:t>GB 50311-2007</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6</w:t>
      </w:r>
      <w:r>
        <w:rPr>
          <w:rFonts w:hint="eastAsia" w:ascii="宋体" w:hAnsi="宋体" w:cs="宋体"/>
          <w:sz w:val="21"/>
          <w:szCs w:val="21"/>
          <w:lang w:eastAsia="zh-CN"/>
        </w:rPr>
        <w:t>）</w:t>
      </w:r>
      <w:r>
        <w:rPr>
          <w:rFonts w:hint="eastAsia" w:ascii="宋体" w:hAnsi="宋体" w:eastAsia="宋体" w:cs="宋体"/>
          <w:sz w:val="21"/>
          <w:szCs w:val="21"/>
        </w:rPr>
        <w:t>《智能建筑设计标准》</w:t>
      </w:r>
      <w:r>
        <w:rPr>
          <w:rFonts w:hint="eastAsia" w:ascii="宋体" w:hAnsi="宋体" w:cs="宋体"/>
          <w:sz w:val="21"/>
          <w:szCs w:val="21"/>
          <w:lang w:eastAsia="zh-CN"/>
        </w:rPr>
        <w:t>（</w:t>
      </w:r>
      <w:r>
        <w:rPr>
          <w:rFonts w:hint="eastAsia" w:ascii="宋体" w:hAnsi="宋体" w:eastAsia="宋体" w:cs="宋体"/>
          <w:sz w:val="21"/>
          <w:szCs w:val="21"/>
        </w:rPr>
        <w:t>GB/T 50314-2015</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7</w:t>
      </w:r>
      <w:r>
        <w:rPr>
          <w:rFonts w:hint="eastAsia" w:ascii="宋体" w:hAnsi="宋体" w:cs="宋体"/>
          <w:sz w:val="21"/>
          <w:szCs w:val="21"/>
          <w:lang w:eastAsia="zh-CN"/>
        </w:rPr>
        <w:t>）</w:t>
      </w:r>
      <w:r>
        <w:rPr>
          <w:rFonts w:hint="eastAsia" w:ascii="宋体" w:hAnsi="宋体" w:eastAsia="宋体" w:cs="宋体"/>
          <w:sz w:val="21"/>
          <w:szCs w:val="21"/>
        </w:rPr>
        <w:t>《民用建筑电气设计规范》</w:t>
      </w:r>
      <w:r>
        <w:rPr>
          <w:rFonts w:hint="eastAsia" w:ascii="宋体" w:hAnsi="宋体" w:cs="宋体"/>
          <w:sz w:val="21"/>
          <w:szCs w:val="21"/>
          <w:lang w:eastAsia="zh-CN"/>
        </w:rPr>
        <w:t>（</w:t>
      </w:r>
      <w:r>
        <w:rPr>
          <w:rFonts w:hint="eastAsia" w:ascii="宋体" w:hAnsi="宋体" w:eastAsia="宋体" w:cs="宋体"/>
          <w:sz w:val="21"/>
          <w:szCs w:val="21"/>
        </w:rPr>
        <w:t>JGJ16-2008</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8</w:t>
      </w:r>
      <w:r>
        <w:rPr>
          <w:rFonts w:hint="eastAsia" w:ascii="宋体" w:hAnsi="宋体" w:cs="宋体"/>
          <w:sz w:val="21"/>
          <w:szCs w:val="21"/>
          <w:lang w:eastAsia="zh-CN"/>
        </w:rPr>
        <w:t>）</w:t>
      </w:r>
      <w:r>
        <w:rPr>
          <w:rFonts w:hint="eastAsia" w:ascii="宋体" w:hAnsi="宋体" w:eastAsia="宋体" w:cs="宋体"/>
          <w:sz w:val="21"/>
          <w:szCs w:val="21"/>
        </w:rPr>
        <w:t>《厅堂扩声系统设计规范》</w:t>
      </w:r>
      <w:r>
        <w:rPr>
          <w:rFonts w:hint="eastAsia" w:ascii="宋体" w:hAnsi="宋体" w:cs="宋体"/>
          <w:sz w:val="21"/>
          <w:szCs w:val="21"/>
          <w:lang w:eastAsia="zh-CN"/>
        </w:rPr>
        <w:t>（</w:t>
      </w:r>
      <w:r>
        <w:rPr>
          <w:rFonts w:hint="eastAsia" w:ascii="宋体" w:hAnsi="宋体" w:eastAsia="宋体" w:cs="宋体"/>
          <w:sz w:val="21"/>
          <w:szCs w:val="21"/>
        </w:rPr>
        <w:t>GB 50371-2006</w:t>
      </w:r>
      <w:r>
        <w:rPr>
          <w:rFonts w:hint="eastAsia" w:ascii="宋体" w:hAnsi="宋体" w:cs="宋体"/>
          <w:sz w:val="21"/>
          <w:szCs w:val="21"/>
          <w:lang w:eastAsia="zh-CN"/>
        </w:rPr>
        <w:t>）</w:t>
      </w:r>
      <w:r>
        <w:rPr>
          <w:rFonts w:hint="eastAsia" w:ascii="宋体" w:hAnsi="宋体" w:eastAsia="宋体" w:cs="宋体"/>
          <w:sz w:val="21"/>
          <w:szCs w:val="21"/>
        </w:rPr>
        <w:t>；</w:t>
      </w:r>
    </w:p>
    <w:p>
      <w:pPr>
        <w:spacing w:line="360" w:lineRule="auto"/>
        <w:ind w:firstLine="495" w:firstLineChars="236"/>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9</w:t>
      </w:r>
      <w:r>
        <w:rPr>
          <w:rFonts w:hint="eastAsia" w:ascii="宋体" w:hAnsi="宋体" w:cs="宋体"/>
          <w:sz w:val="21"/>
          <w:szCs w:val="21"/>
          <w:lang w:eastAsia="zh-CN"/>
        </w:rPr>
        <w:t>）</w:t>
      </w:r>
      <w:r>
        <w:rPr>
          <w:rFonts w:hint="eastAsia" w:ascii="宋体" w:hAnsi="宋体" w:eastAsia="宋体" w:cs="宋体"/>
          <w:sz w:val="21"/>
          <w:szCs w:val="21"/>
        </w:rPr>
        <w:t>国家、行业、地方的相关标准、规范。</w:t>
      </w:r>
    </w:p>
    <w:p>
      <w:pPr>
        <w:spacing w:line="360" w:lineRule="auto"/>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项目概况及背景</w:t>
      </w:r>
    </w:p>
    <w:p>
      <w:pPr>
        <w:spacing w:line="360" w:lineRule="auto"/>
        <w:ind w:firstLine="493" w:firstLineChars="235"/>
        <w:rPr>
          <w:rFonts w:hint="eastAsia" w:ascii="宋体" w:hAnsi="宋体" w:eastAsia="宋体" w:cs="宋体"/>
          <w:kern w:val="0"/>
          <w:sz w:val="21"/>
          <w:szCs w:val="21"/>
        </w:rPr>
      </w:pPr>
      <w:r>
        <w:rPr>
          <w:rFonts w:hint="eastAsia" w:ascii="宋体" w:hAnsi="宋体" w:eastAsia="宋体" w:cs="宋体"/>
          <w:kern w:val="0"/>
          <w:sz w:val="21"/>
          <w:szCs w:val="21"/>
        </w:rPr>
        <w:t>人民法院信息化建设是响应党的十九大号召，彰显国家司法系统改革魄力的自我变革和推动政务现代化的必经之路。围绕“智慧审判、智慧服务、智慧管理”，把法院信息化建设推向全面发展的新格局，实现诉讼制度体系在信息时代的跨越发展，推动法院电子政务创新发展，助力数字中国建设。</w:t>
      </w:r>
    </w:p>
    <w:p>
      <w:pPr>
        <w:spacing w:line="360" w:lineRule="auto"/>
        <w:ind w:firstLine="493" w:firstLineChars="235"/>
        <w:rPr>
          <w:rFonts w:hint="eastAsia" w:ascii="宋体" w:hAnsi="宋体" w:eastAsia="宋体" w:cs="宋体"/>
          <w:kern w:val="0"/>
          <w:sz w:val="21"/>
          <w:szCs w:val="21"/>
        </w:rPr>
      </w:pPr>
      <w:r>
        <w:rPr>
          <w:rFonts w:hint="eastAsia" w:ascii="宋体" w:hAnsi="宋体" w:eastAsia="宋体" w:cs="宋体"/>
          <w:kern w:val="0"/>
          <w:sz w:val="21"/>
          <w:szCs w:val="21"/>
        </w:rPr>
        <w:t>云计算、大数据、人工智能等信息技术正在引发新一轮的全球信息技术革命，在国内也掀起了新一轮的信息化建设热潮，人民法院正在打造法院信息化3.0版本。各地法院都在尝试利用新技术，创新开庭方式，解决案多人少的问题。2016年最高人民法院发布《科技法庭应用技术要求》，并在2017年最高人民法院发布《科技法庭信息化建设指南》，规定了法庭信息化的建设要求以及适用范围，并结合信息技术的发展，总结以往建设经验，对新时期法庭的建设提出了新的指导意见，珠海市中级人民法院借助信息技术，通过科技法庭建设，促进庭审水平全面提高，不断提高庭审效率，提升公众满意度。</w:t>
      </w:r>
    </w:p>
    <w:p>
      <w:pPr>
        <w:pStyle w:val="418"/>
        <w:numPr>
          <w:ilvl w:val="0"/>
          <w:numId w:val="2"/>
        </w:numPr>
        <w:spacing w:line="360" w:lineRule="auto"/>
        <w:ind w:firstLineChars="0"/>
        <w:rPr>
          <w:rFonts w:hint="eastAsia" w:ascii="宋体" w:hAnsi="宋体" w:eastAsia="宋体" w:cs="宋体"/>
          <w:b/>
          <w:sz w:val="21"/>
          <w:szCs w:val="21"/>
        </w:rPr>
      </w:pPr>
      <w:r>
        <w:rPr>
          <w:rFonts w:hint="eastAsia" w:ascii="宋体" w:hAnsi="宋体" w:eastAsia="宋体" w:cs="宋体"/>
          <w:b/>
          <w:sz w:val="21"/>
          <w:szCs w:val="21"/>
        </w:rPr>
        <w:t>建设内容</w:t>
      </w:r>
    </w:p>
    <w:p>
      <w:pPr>
        <w:spacing w:line="360" w:lineRule="auto"/>
        <w:ind w:firstLine="459" w:firstLineChars="219"/>
        <w:rPr>
          <w:rFonts w:hint="eastAsia" w:ascii="宋体" w:hAnsi="宋体" w:eastAsia="宋体" w:cs="宋体"/>
          <w:sz w:val="21"/>
          <w:szCs w:val="21"/>
        </w:rPr>
      </w:pPr>
      <w:r>
        <w:rPr>
          <w:rFonts w:hint="eastAsia" w:ascii="宋体" w:hAnsi="宋体" w:eastAsia="宋体" w:cs="宋体"/>
          <w:sz w:val="21"/>
          <w:szCs w:val="21"/>
        </w:rPr>
        <w:t>本次项目对珠海市中级人民法院1间刑事法庭及1套分布式存储系统进行建设，按最高人民法院《科技法庭信息化建设规范》</w:t>
      </w:r>
      <w:r>
        <w:rPr>
          <w:rFonts w:hint="eastAsia" w:ascii="宋体" w:hAnsi="宋体" w:cs="宋体"/>
          <w:sz w:val="21"/>
          <w:szCs w:val="21"/>
          <w:lang w:eastAsia="zh-CN"/>
        </w:rPr>
        <w:t>（</w:t>
      </w:r>
      <w:r>
        <w:rPr>
          <w:rFonts w:hint="eastAsia" w:ascii="宋体" w:hAnsi="宋体" w:eastAsia="宋体" w:cs="宋体"/>
          <w:sz w:val="21"/>
          <w:szCs w:val="21"/>
        </w:rPr>
        <w:t>FYB/T54001—2021</w:t>
      </w:r>
      <w:r>
        <w:rPr>
          <w:rFonts w:hint="eastAsia" w:ascii="宋体" w:hAnsi="宋体" w:cs="宋体"/>
          <w:sz w:val="21"/>
          <w:szCs w:val="21"/>
          <w:lang w:eastAsia="zh-CN"/>
        </w:rPr>
        <w:t>）</w:t>
      </w:r>
      <w:r>
        <w:rPr>
          <w:rFonts w:hint="eastAsia" w:ascii="宋体" w:hAnsi="宋体" w:eastAsia="宋体" w:cs="宋体"/>
          <w:sz w:val="21"/>
          <w:szCs w:val="21"/>
        </w:rPr>
        <w:t>、《智能庭审应用技术要求》</w:t>
      </w:r>
      <w:r>
        <w:rPr>
          <w:rFonts w:hint="eastAsia" w:ascii="宋体" w:hAnsi="宋体" w:cs="宋体"/>
          <w:sz w:val="21"/>
          <w:szCs w:val="21"/>
          <w:lang w:eastAsia="zh-CN"/>
        </w:rPr>
        <w:t>（</w:t>
      </w:r>
      <w:r>
        <w:rPr>
          <w:rFonts w:hint="eastAsia" w:ascii="宋体" w:hAnsi="宋体" w:eastAsia="宋体" w:cs="宋体"/>
          <w:sz w:val="21"/>
          <w:szCs w:val="21"/>
        </w:rPr>
        <w:t>FYB/T52038—2020</w:t>
      </w:r>
      <w:r>
        <w:rPr>
          <w:rFonts w:hint="eastAsia" w:ascii="宋体" w:hAnsi="宋体" w:cs="宋体"/>
          <w:sz w:val="21"/>
          <w:szCs w:val="21"/>
          <w:lang w:eastAsia="zh-CN"/>
        </w:rPr>
        <w:t>）</w:t>
      </w:r>
      <w:r>
        <w:rPr>
          <w:rFonts w:hint="eastAsia" w:ascii="宋体" w:hAnsi="宋体" w:eastAsia="宋体" w:cs="宋体"/>
          <w:sz w:val="21"/>
          <w:szCs w:val="21"/>
        </w:rPr>
        <w:t>等标准规范要求，采用租赁科技法庭软硬件设备及配套、分布式存储系统软硬件设备及网络配套等方式，为法院提供科技法庭庭审及法院电子文档存储服务，租赁服务期为三年。项目建设内容一览表如下：</w:t>
      </w:r>
    </w:p>
    <w:tbl>
      <w:tblPr>
        <w:tblStyle w:val="70"/>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01"/>
        <w:gridCol w:w="815"/>
        <w:gridCol w:w="5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411"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序号</w:t>
            </w:r>
          </w:p>
        </w:tc>
        <w:tc>
          <w:tcPr>
            <w:tcW w:w="858"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名称</w:t>
            </w:r>
          </w:p>
        </w:tc>
        <w:tc>
          <w:tcPr>
            <w:tcW w:w="499"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数量</w:t>
            </w:r>
          </w:p>
        </w:tc>
        <w:tc>
          <w:tcPr>
            <w:tcW w:w="3231"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11"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858"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刑事法庭</w:t>
            </w:r>
          </w:p>
        </w:tc>
        <w:tc>
          <w:tcPr>
            <w:tcW w:w="499"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1间</w:t>
            </w:r>
          </w:p>
        </w:tc>
        <w:tc>
          <w:tcPr>
            <w:tcW w:w="3231"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采用租赁庭审软件、庭审硬件设备、基础支撑设施等的方式，为法院提供科技法庭庭审服务，租赁服务期为三年。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11"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858"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分布式存储系统</w:t>
            </w:r>
          </w:p>
        </w:tc>
        <w:tc>
          <w:tcPr>
            <w:tcW w:w="499"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1套</w:t>
            </w:r>
          </w:p>
        </w:tc>
        <w:tc>
          <w:tcPr>
            <w:tcW w:w="3231" w:type="pct"/>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采用租赁分布式存储系统软硬件设备、网络配套设备等的方式，为法院提供电子文档存储服务，租赁服务期为三年。</w:t>
            </w:r>
          </w:p>
        </w:tc>
      </w:tr>
    </w:tbl>
    <w:p>
      <w:pPr>
        <w:pStyle w:val="418"/>
        <w:numPr>
          <w:ilvl w:val="0"/>
          <w:numId w:val="2"/>
        </w:numPr>
        <w:spacing w:line="360" w:lineRule="auto"/>
        <w:ind w:firstLineChars="0"/>
        <w:rPr>
          <w:rFonts w:hint="eastAsia" w:ascii="宋体" w:hAnsi="宋体" w:eastAsia="宋体" w:cs="宋体"/>
          <w:b/>
          <w:kern w:val="0"/>
          <w:sz w:val="21"/>
          <w:szCs w:val="21"/>
        </w:rPr>
      </w:pPr>
      <w:r>
        <w:rPr>
          <w:rFonts w:hint="eastAsia" w:ascii="宋体" w:hAnsi="宋体" w:eastAsia="宋体" w:cs="宋体"/>
          <w:b/>
          <w:kern w:val="0"/>
          <w:sz w:val="21"/>
          <w:szCs w:val="21"/>
        </w:rPr>
        <w:t>项目整体建设要求</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2.1刑事法庭建设要求</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通过对刑事法庭的科技法庭建设，实现通过高清编码</w:t>
      </w:r>
      <w:r>
        <w:rPr>
          <w:rFonts w:hint="eastAsia" w:ascii="宋体" w:hAnsi="宋体" w:cs="宋体"/>
          <w:kern w:val="0"/>
          <w:sz w:val="21"/>
          <w:szCs w:val="21"/>
          <w:lang w:eastAsia="zh-CN"/>
        </w:rPr>
        <w:t>（</w:t>
      </w:r>
      <w:r>
        <w:rPr>
          <w:rFonts w:hint="eastAsia" w:ascii="宋体" w:hAnsi="宋体" w:eastAsia="宋体" w:cs="宋体"/>
          <w:kern w:val="0"/>
          <w:sz w:val="21"/>
          <w:szCs w:val="21"/>
        </w:rPr>
        <w:t>图像格式达到1080P</w:t>
      </w:r>
      <w:r>
        <w:rPr>
          <w:rFonts w:hint="eastAsia" w:ascii="宋体" w:hAnsi="宋体" w:cs="宋体"/>
          <w:kern w:val="0"/>
          <w:sz w:val="21"/>
          <w:szCs w:val="21"/>
          <w:lang w:eastAsia="zh-CN"/>
        </w:rPr>
        <w:t>）</w:t>
      </w:r>
      <w:r>
        <w:rPr>
          <w:rFonts w:hint="eastAsia" w:ascii="宋体" w:hAnsi="宋体" w:eastAsia="宋体" w:cs="宋体"/>
          <w:kern w:val="0"/>
          <w:sz w:val="21"/>
          <w:szCs w:val="21"/>
        </w:rPr>
        <w:t>设备对现场声音、画面和多媒体信息的采集、录制和后台存储，从而实现对庭审现场进行全方位记录。同时法官可以通过庭审控制软件在计算机上实现庭审排期信息的维护管理和立案排期管理，设备的统一控制，实现庭审记录和现场图像的同步处理。本套系统支持按多种条件查询</w:t>
      </w:r>
      <w:r>
        <w:rPr>
          <w:rFonts w:hint="eastAsia" w:ascii="宋体" w:hAnsi="宋体" w:cs="宋体"/>
          <w:kern w:val="0"/>
          <w:sz w:val="21"/>
          <w:szCs w:val="21"/>
          <w:lang w:eastAsia="zh-CN"/>
        </w:rPr>
        <w:t>庭审</w:t>
      </w:r>
      <w:r>
        <w:rPr>
          <w:rFonts w:hint="eastAsia" w:ascii="宋体" w:hAnsi="宋体" w:eastAsia="宋体" w:cs="宋体"/>
          <w:kern w:val="0"/>
          <w:sz w:val="21"/>
          <w:szCs w:val="21"/>
        </w:rPr>
        <w:t>音视频信息的内容管理，实现对录像、笔录、案件信息等庭审资源分类管理，可按多种条件查询庭审资源，并可对查询结果浏览、修改、归档、刻录等操作保证庭审过程有据可查，全程记录在案。</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本系统采用B/S网络架构，利用法院专网进行基于IE的庭审资源管理平台功能调用，证据信息包括电子证物、实物、视音频资料等，证物资料可由相应权限用户添加，由工作人员通过终端进行切换浏览。</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将法庭现有灯具更换为LED筒灯，进行灯光加强，达到庭审录制的要求。</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2.2 分布式存储系统建设要求</w:t>
      </w:r>
    </w:p>
    <w:p>
      <w:pPr>
        <w:spacing w:line="360" w:lineRule="auto"/>
        <w:ind w:firstLine="493" w:firstLineChars="235"/>
        <w:rPr>
          <w:rFonts w:hint="eastAsia" w:ascii="宋体" w:hAnsi="宋体" w:eastAsia="宋体" w:cs="宋体"/>
          <w:kern w:val="0"/>
          <w:sz w:val="21"/>
          <w:szCs w:val="21"/>
        </w:rPr>
      </w:pPr>
      <w:r>
        <w:rPr>
          <w:rFonts w:hint="eastAsia" w:ascii="宋体" w:hAnsi="宋体" w:eastAsia="宋体" w:cs="宋体"/>
          <w:kern w:val="0"/>
          <w:sz w:val="21"/>
          <w:szCs w:val="21"/>
        </w:rPr>
        <w:t>采用分布式存储技术，提供最大不少于498T的可用存储容量，含存储硬件和分布式存储文件系统软件。支持在线扩充节点，单桶支持的对象数量不低于10亿，支持配置存储容量的动态负载均衡功能等。</w:t>
      </w:r>
    </w:p>
    <w:p>
      <w:pPr>
        <w:pStyle w:val="418"/>
        <w:numPr>
          <w:ilvl w:val="0"/>
          <w:numId w:val="2"/>
        </w:numPr>
        <w:spacing w:line="360" w:lineRule="auto"/>
        <w:ind w:firstLineChars="0"/>
        <w:rPr>
          <w:rFonts w:hint="eastAsia" w:ascii="宋体" w:hAnsi="宋体" w:eastAsia="宋体" w:cs="宋体"/>
          <w:b/>
          <w:kern w:val="0"/>
          <w:sz w:val="21"/>
          <w:szCs w:val="21"/>
        </w:rPr>
      </w:pPr>
      <w:r>
        <w:rPr>
          <w:rFonts w:hint="eastAsia" w:ascii="宋体" w:hAnsi="宋体" w:eastAsia="宋体" w:cs="宋体"/>
          <w:b/>
          <w:kern w:val="0"/>
          <w:sz w:val="21"/>
          <w:szCs w:val="21"/>
        </w:rPr>
        <w:t>其他要求</w:t>
      </w:r>
    </w:p>
    <w:p>
      <w:pPr>
        <w:spacing w:line="360" w:lineRule="auto"/>
        <w:ind w:firstLine="495" w:firstLineChars="235"/>
        <w:rPr>
          <w:rFonts w:hint="eastAsia" w:ascii="宋体" w:hAnsi="宋体" w:eastAsia="宋体" w:cs="宋体"/>
          <w:kern w:val="0"/>
          <w:sz w:val="21"/>
          <w:szCs w:val="21"/>
        </w:rPr>
      </w:pPr>
      <w:r>
        <w:rPr>
          <w:rFonts w:hint="eastAsia" w:ascii="宋体" w:hAnsi="宋体" w:eastAsia="宋体" w:cs="宋体"/>
          <w:b/>
          <w:kern w:val="0"/>
          <w:sz w:val="21"/>
          <w:szCs w:val="21"/>
        </w:rPr>
        <w:t>★</w:t>
      </w:r>
      <w:r>
        <w:rPr>
          <w:rFonts w:hint="eastAsia" w:ascii="宋体" w:hAnsi="宋体" w:cs="宋体"/>
          <w:b/>
          <w:kern w:val="0"/>
          <w:sz w:val="21"/>
          <w:szCs w:val="21"/>
          <w:lang w:eastAsia="zh-CN"/>
        </w:rPr>
        <w:t>（</w:t>
      </w:r>
      <w:r>
        <w:rPr>
          <w:rFonts w:hint="eastAsia" w:ascii="宋体" w:hAnsi="宋体" w:eastAsia="宋体" w:cs="宋体"/>
          <w:b/>
          <w:kern w:val="0"/>
          <w:sz w:val="21"/>
          <w:szCs w:val="21"/>
        </w:rPr>
        <w:t>1</w:t>
      </w:r>
      <w:r>
        <w:rPr>
          <w:rFonts w:hint="eastAsia" w:ascii="宋体" w:hAnsi="宋体" w:cs="宋体"/>
          <w:b/>
          <w:kern w:val="0"/>
          <w:sz w:val="21"/>
          <w:szCs w:val="21"/>
          <w:lang w:eastAsia="zh-CN"/>
        </w:rPr>
        <w:t>）</w:t>
      </w:r>
      <w:r>
        <w:rPr>
          <w:rFonts w:hint="eastAsia" w:ascii="宋体" w:hAnsi="宋体" w:eastAsia="宋体" w:cs="宋体"/>
          <w:b/>
          <w:kern w:val="0"/>
          <w:sz w:val="21"/>
          <w:szCs w:val="21"/>
        </w:rPr>
        <w:t>投标供应商须承诺本项目所建设数字法庭系统与珠海市中级人民法院数字法庭系统实现全面无缝对接，接受珠海市中级人民法院数字法庭庭审资源管理系统统一管理，若无法对接导致的所有损失由</w:t>
      </w:r>
      <w:r>
        <w:rPr>
          <w:rFonts w:hint="eastAsia" w:ascii="宋体" w:hAnsi="宋体" w:eastAsia="宋体" w:cs="宋体"/>
          <w:b/>
          <w:kern w:val="0"/>
          <w:sz w:val="21"/>
          <w:szCs w:val="21"/>
          <w:lang w:eastAsia="zh-CN"/>
        </w:rPr>
        <w:t>供应商</w:t>
      </w:r>
      <w:r>
        <w:rPr>
          <w:rFonts w:hint="eastAsia" w:ascii="宋体" w:hAnsi="宋体" w:eastAsia="宋体" w:cs="宋体"/>
          <w:b/>
          <w:kern w:val="0"/>
          <w:sz w:val="21"/>
          <w:szCs w:val="21"/>
        </w:rPr>
        <w:t>负责。</w:t>
      </w:r>
    </w:p>
    <w:p>
      <w:pPr>
        <w:spacing w:line="360" w:lineRule="auto"/>
        <w:ind w:firstLine="495" w:firstLineChars="235"/>
        <w:rPr>
          <w:rFonts w:hint="eastAsia" w:ascii="宋体" w:hAnsi="宋体" w:eastAsia="宋体" w:cs="宋体"/>
          <w:b/>
          <w:kern w:val="0"/>
          <w:sz w:val="21"/>
          <w:szCs w:val="21"/>
        </w:rPr>
      </w:pPr>
      <w:r>
        <w:rPr>
          <w:rFonts w:hint="eastAsia" w:ascii="宋体" w:hAnsi="宋体" w:eastAsia="宋体" w:cs="宋体"/>
          <w:b/>
          <w:kern w:val="0"/>
          <w:sz w:val="21"/>
          <w:szCs w:val="21"/>
        </w:rPr>
        <w:t>★</w:t>
      </w:r>
      <w:r>
        <w:rPr>
          <w:rFonts w:hint="eastAsia" w:ascii="宋体" w:hAnsi="宋体" w:cs="宋体"/>
          <w:b/>
          <w:kern w:val="0"/>
          <w:sz w:val="21"/>
          <w:szCs w:val="21"/>
          <w:lang w:eastAsia="zh-CN"/>
        </w:rPr>
        <w:t>（</w:t>
      </w:r>
      <w:r>
        <w:rPr>
          <w:rFonts w:hint="eastAsia" w:ascii="宋体" w:hAnsi="宋体" w:eastAsia="宋体" w:cs="宋体"/>
          <w:b/>
          <w:kern w:val="0"/>
          <w:sz w:val="21"/>
          <w:szCs w:val="21"/>
        </w:rPr>
        <w:t>2</w:t>
      </w:r>
      <w:r>
        <w:rPr>
          <w:rFonts w:hint="eastAsia" w:ascii="宋体" w:hAnsi="宋体" w:cs="宋体"/>
          <w:b/>
          <w:kern w:val="0"/>
          <w:sz w:val="21"/>
          <w:szCs w:val="21"/>
          <w:lang w:eastAsia="zh-CN"/>
        </w:rPr>
        <w:t>）</w:t>
      </w:r>
      <w:r>
        <w:rPr>
          <w:rFonts w:hint="eastAsia" w:ascii="宋体" w:hAnsi="宋体" w:eastAsia="宋体" w:cs="宋体"/>
          <w:b/>
          <w:kern w:val="0"/>
          <w:sz w:val="21"/>
          <w:szCs w:val="21"/>
        </w:rPr>
        <w:t>珠海市中级人民法院已建设有看守所远程庭审设备，投标供应商须承诺本次投标的刑事法庭所用数字法庭产品及系统可与看守所、检察院设备实现远程庭审、远程宣判功能，若无法对接导致的所有损失由</w:t>
      </w:r>
      <w:r>
        <w:rPr>
          <w:rFonts w:hint="eastAsia" w:ascii="宋体" w:hAnsi="宋体" w:eastAsia="宋体" w:cs="宋体"/>
          <w:b/>
          <w:kern w:val="0"/>
          <w:sz w:val="21"/>
          <w:szCs w:val="21"/>
          <w:lang w:eastAsia="zh-CN"/>
        </w:rPr>
        <w:t>供应商</w:t>
      </w:r>
      <w:r>
        <w:rPr>
          <w:rFonts w:hint="eastAsia" w:ascii="宋体" w:hAnsi="宋体" w:eastAsia="宋体" w:cs="宋体"/>
          <w:b/>
          <w:kern w:val="0"/>
          <w:sz w:val="21"/>
          <w:szCs w:val="21"/>
        </w:rPr>
        <w:t>负责。</w:t>
      </w:r>
    </w:p>
    <w:p>
      <w:pPr>
        <w:spacing w:line="360" w:lineRule="auto"/>
        <w:ind w:firstLine="531" w:firstLineChars="253"/>
        <w:rPr>
          <w:rFonts w:hint="eastAsia" w:ascii="宋体" w:hAnsi="宋体" w:eastAsia="宋体" w:cs="宋体"/>
          <w:kern w:val="0"/>
          <w:sz w:val="21"/>
          <w:szCs w:val="21"/>
        </w:rPr>
      </w:pP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3</w:t>
      </w:r>
      <w:r>
        <w:rPr>
          <w:rFonts w:hint="eastAsia" w:ascii="宋体" w:hAnsi="宋体" w:cs="宋体"/>
          <w:kern w:val="0"/>
          <w:sz w:val="21"/>
          <w:szCs w:val="21"/>
          <w:lang w:val="en-US" w:eastAsia="zh-CN"/>
        </w:rPr>
        <w:t>）</w:t>
      </w:r>
      <w:r>
        <w:rPr>
          <w:rFonts w:hint="eastAsia" w:ascii="宋体" w:hAnsi="宋体" w:eastAsia="宋体" w:cs="宋体"/>
          <w:kern w:val="0"/>
          <w:sz w:val="21"/>
          <w:szCs w:val="21"/>
        </w:rPr>
        <w:t>项目部署服务</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部署工期在20个日历日内，除不可抗力外，不得因工程复杂性等因素顺延工期。若因采购人需求有变或合同约定外情况须延期的，经双方协商后可变动调整工期。</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应在上述期限内完成本项目的深化、设备材料采购、管线敷设、设备安装、调试、培训等工作，通过甲方验收合格。</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验收由甲方组建的项目验收小组负责。</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验收提供资料：验收前，</w:t>
      </w: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须提供产品有关产品说明书、技术文件、资料、设计及施工图及安装、验收报告等文档汇集成册交付使用单位。</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设备属于《中华人民共和国实施强制性产品认证的产品目录》、《节能产品政府采购品目清单》强制采购范围的，进场施工前需提供证书复印件。</w:t>
      </w:r>
    </w:p>
    <w:p>
      <w:pPr>
        <w:spacing w:line="360" w:lineRule="auto"/>
        <w:ind w:firstLine="531" w:firstLineChars="253"/>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eastAsia="宋体" w:cs="宋体"/>
          <w:kern w:val="0"/>
          <w:sz w:val="21"/>
          <w:szCs w:val="21"/>
          <w:lang w:val="en-US" w:eastAsia="zh-CN"/>
        </w:rPr>
        <w:t>4</w:t>
      </w:r>
      <w:r>
        <w:rPr>
          <w:rFonts w:hint="eastAsia" w:ascii="宋体" w:hAnsi="宋体" w:cs="宋体"/>
          <w:kern w:val="0"/>
          <w:sz w:val="21"/>
          <w:szCs w:val="21"/>
          <w:lang w:eastAsia="zh-CN"/>
        </w:rPr>
        <w:t>）</w:t>
      </w:r>
      <w:r>
        <w:rPr>
          <w:rFonts w:hint="eastAsia" w:ascii="宋体" w:hAnsi="宋体" w:eastAsia="宋体" w:cs="宋体"/>
          <w:kern w:val="0"/>
          <w:sz w:val="21"/>
          <w:szCs w:val="21"/>
        </w:rPr>
        <w:t>项目租赁期服务</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rPr>
        <w:t>自项目验收合格后，开始进入租赁服务期阶段，在服务期内</w:t>
      </w: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免费提供系统软硬件升级、巡检、技术咨询服务和技术保障运维服务。</w:t>
      </w:r>
    </w:p>
    <w:p>
      <w:pPr>
        <w:spacing w:line="360" w:lineRule="auto"/>
        <w:ind w:firstLine="531" w:firstLineChars="253"/>
        <w:rPr>
          <w:rFonts w:hint="eastAsia" w:ascii="宋体" w:hAnsi="宋体" w:eastAsia="宋体" w:cs="宋体"/>
          <w:kern w:val="0"/>
          <w:sz w:val="21"/>
          <w:szCs w:val="21"/>
        </w:rPr>
      </w:pP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应确保系统在租赁服务期间稳定运行。在服务期内，</w:t>
      </w: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须提供常设售后服务电话热线、远程及现场支持服务和免费维修支持。对甲方的服务通知，</w:t>
      </w: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在接报后即时响应，不能远程解决的，应在接到通知后4小时内到达现场，24小时内处理完毕。若在 24 小时内仍未能有效解决，</w:t>
      </w:r>
      <w:r>
        <w:rPr>
          <w:rFonts w:hint="eastAsia" w:ascii="宋体" w:hAnsi="宋体" w:eastAsia="宋体" w:cs="宋体"/>
          <w:kern w:val="0"/>
          <w:sz w:val="21"/>
          <w:szCs w:val="21"/>
          <w:lang w:eastAsia="zh-CN"/>
        </w:rPr>
        <w:t>成交人</w:t>
      </w:r>
      <w:r>
        <w:rPr>
          <w:rFonts w:hint="eastAsia" w:ascii="宋体" w:hAnsi="宋体" w:eastAsia="宋体" w:cs="宋体"/>
          <w:kern w:val="0"/>
          <w:sz w:val="21"/>
          <w:szCs w:val="21"/>
        </w:rPr>
        <w:t>须免费提供同档次的设备予甲方临时使用。</w:t>
      </w:r>
    </w:p>
    <w:p>
      <w:pPr>
        <w:pStyle w:val="2"/>
        <w:rPr>
          <w:rFonts w:hint="eastAsia"/>
        </w:rPr>
      </w:pPr>
    </w:p>
    <w:p>
      <w:pPr>
        <w:pStyle w:val="418"/>
        <w:numPr>
          <w:ilvl w:val="0"/>
          <w:numId w:val="2"/>
        </w:numPr>
        <w:spacing w:line="360" w:lineRule="auto"/>
        <w:ind w:firstLineChars="0"/>
        <w:rPr>
          <w:rFonts w:hint="eastAsia" w:ascii="宋体" w:hAnsi="宋体" w:eastAsia="宋体" w:cs="宋体"/>
          <w:b/>
          <w:kern w:val="0"/>
          <w:sz w:val="21"/>
          <w:szCs w:val="21"/>
        </w:rPr>
      </w:pPr>
      <w:r>
        <w:rPr>
          <w:rFonts w:hint="eastAsia" w:ascii="宋体" w:hAnsi="宋体" w:eastAsia="宋体" w:cs="宋体"/>
          <w:b/>
          <w:kern w:val="0"/>
          <w:sz w:val="21"/>
          <w:szCs w:val="21"/>
        </w:rPr>
        <w:t>租赁清单及技术参数要求</w:t>
      </w:r>
    </w:p>
    <w:tbl>
      <w:tblPr>
        <w:tblStyle w:val="70"/>
        <w:tblW w:w="8755" w:type="dxa"/>
        <w:jc w:val="center"/>
        <w:tblLayout w:type="fixed"/>
        <w:tblCellMar>
          <w:top w:w="0" w:type="dxa"/>
          <w:left w:w="108" w:type="dxa"/>
          <w:bottom w:w="0" w:type="dxa"/>
          <w:right w:w="108" w:type="dxa"/>
        </w:tblCellMar>
      </w:tblPr>
      <w:tblGrid>
        <w:gridCol w:w="508"/>
        <w:gridCol w:w="1100"/>
        <w:gridCol w:w="6160"/>
        <w:gridCol w:w="543"/>
        <w:gridCol w:w="444"/>
      </w:tblGrid>
      <w:tr>
        <w:tblPrEx>
          <w:tblCellMar>
            <w:top w:w="0" w:type="dxa"/>
            <w:left w:w="108" w:type="dxa"/>
            <w:bottom w:w="0" w:type="dxa"/>
            <w:right w:w="108" w:type="dxa"/>
          </w:tblCellMar>
        </w:tblPrEx>
        <w:trPr>
          <w:trHeight w:val="376"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设备名称</w:t>
            </w:r>
          </w:p>
        </w:tc>
        <w:tc>
          <w:tcPr>
            <w:tcW w:w="616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技术参数</w:t>
            </w:r>
          </w:p>
        </w:tc>
        <w:tc>
          <w:tcPr>
            <w:tcW w:w="543"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44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单位</w:t>
            </w:r>
          </w:p>
        </w:tc>
      </w:tr>
      <w:tr>
        <w:tblPrEx>
          <w:tblCellMar>
            <w:top w:w="0" w:type="dxa"/>
            <w:left w:w="108" w:type="dxa"/>
            <w:bottom w:w="0" w:type="dxa"/>
            <w:right w:w="108" w:type="dxa"/>
          </w:tblCellMar>
        </w:tblPrEx>
        <w:trPr>
          <w:trHeight w:val="40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一、分布式存储系统</w:t>
            </w:r>
          </w:p>
        </w:tc>
      </w:tr>
      <w:tr>
        <w:tblPrEx>
          <w:tblCellMar>
            <w:top w:w="0" w:type="dxa"/>
            <w:left w:w="108" w:type="dxa"/>
            <w:bottom w:w="0" w:type="dxa"/>
            <w:right w:w="108" w:type="dxa"/>
          </w:tblCellMar>
        </w:tblPrEx>
        <w:trPr>
          <w:trHeight w:val="162"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分布式存储系统</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1、分布式存储系统包含4台及以上存储节点，每台存储节点配置不低于：</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CPU：不低于2*4310，内存：不小于128G，系统盘：不小于2*480GB SSD，缓存盘：不小于2*1.92T SSD，数据盘：不小于12*18TB SATA，网络：不少于10Gb双口*2</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带万兆光模块</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，12 Gb阵列卡。</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2、分布式存储软件授权：不少于4个存储节点的容量许可授权。</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3、原厂服务：租赁期内，含原厂首次安装服务，原厂硬件7*24小时上门服务，原厂硬盘不回收服务，原厂软硬件7*24小时电话支持。</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4、产品具有国家级实验室可信云的分布式存储认证，提供相应认证证书复印件并加盖厂家公章或投标专用章。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5、▲系统总容量，不限存储容量授权许可，单节点扩容不需要增加软件许可。提供厂家承诺函并加盖厂家公章或投标专用章。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6、分布式存储支持在线扩充节点，无需停机操作，提供可证明此功能的国家级第三方检测机构CNAS认证检测报告复印件并加盖厂家公章或投标专用章。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7、提供中文界面的存储系统管理软件，能在单一管理界面实现各节点硬件资源监控，提供文件资源逻辑视图，帮助用户展示和理解底层硬件资源组与存储池、目录、桶之间的逻辑关系，采用异色显示相应告警信息，并提供悬停概览和快捷操作功能。提供软件文件资源逻辑视图界面截图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8、▲集群切换元数据服务的耗时不超过10秒，提供可证明此功能的国家级第三方检测机构CNAS认证检测报告复印件并加盖厂家公章或投标专用章。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9、单桶支持的对象数量不低于10亿、整个集群支持的对象数量不低于1000亿，提供可证明此功能的国家级第三方检测机构CNAS认证检测报告复印件并加盖厂家公章或投标专用章。</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支持配置存储容量的动态负载均衡功能，当新加磁盘或节点时，能够实现存储空间的动态负载均衡，节点间磁盘容量空间偏差不高于5%。同时提供可证明此功能的产品实际界面截图和国家级第三方检测机构CNAS认证检测报告复印件并加盖厂家公章或投标专用章。</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11、支持配置QoS功能，可以对目录设置吞吐量及IOPS上限。同时提供可证明此功能的产品实际界面截图和国家级第三方检测机构CNAS认证检测报告复印件并加盖厂家公章或投标专用章。</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CellMar>
            <w:top w:w="0" w:type="dxa"/>
            <w:left w:w="108" w:type="dxa"/>
            <w:bottom w:w="0" w:type="dxa"/>
            <w:right w:w="108" w:type="dxa"/>
          </w:tblCellMar>
        </w:tblPrEx>
        <w:trPr>
          <w:trHeight w:val="525"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万兆交换机</w:t>
            </w:r>
          </w:p>
        </w:tc>
        <w:tc>
          <w:tcPr>
            <w:tcW w:w="6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1G/10G SFP+光口≥24，交换容量≥2.56Tbps，包转发率≥540Mpps，万兆光纤模块及光纤跳线≥8，服务期内含原厂上门保修服务。</w:t>
            </w:r>
          </w:p>
        </w:tc>
        <w:tc>
          <w:tcPr>
            <w:tcW w:w="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422" w:hRule="atLeast"/>
          <w:jc w:val="center"/>
        </w:trPr>
        <w:tc>
          <w:tcPr>
            <w:tcW w:w="875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二、刑事法庭庭审设备</w:t>
            </w:r>
          </w:p>
        </w:tc>
      </w:tr>
      <w:tr>
        <w:tblPrEx>
          <w:tblCellMar>
            <w:top w:w="0" w:type="dxa"/>
            <w:left w:w="108" w:type="dxa"/>
            <w:bottom w:w="0" w:type="dxa"/>
            <w:right w:w="108" w:type="dxa"/>
          </w:tblCellMar>
        </w:tblPrEx>
        <w:trPr>
          <w:trHeight w:val="46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一</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数字庭审主机系统</w:t>
            </w:r>
          </w:p>
        </w:tc>
      </w:tr>
      <w:tr>
        <w:tblPrEx>
          <w:tblCellMar>
            <w:top w:w="0" w:type="dxa"/>
            <w:left w:w="108" w:type="dxa"/>
            <w:bottom w:w="0" w:type="dxa"/>
            <w:right w:w="108" w:type="dxa"/>
          </w:tblCellMar>
        </w:tblPrEx>
        <w:trPr>
          <w:trHeight w:val="924"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高清庭审主机</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本次投标产品采用产品设计厂商的原厂产品，不接受联合品牌产品或OEM产品。主机须采用一体化嵌入式硬件架构，确保系统稳定可靠；录制、直播、导播管理、存储、视音频叠加、无缝切换、编码等功能集成在一台主机内</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所有视频信号采用广电级别的同轴电缆采集方式直接录制进主机硬盘内。</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需提供主机内部构造实物图片并加盖厂家公章或投标专用章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1、不少于6路3G-SDI全高清输入，每一路3G-SDI接口支持1080p60的摄像机信号接入；</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2、不少于3路HDMI高清信号接入；不少于3路HDMI全高清1080p60信号输出，HDMI接口能够独立输出音频；</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转接或扩展接口视为负偏离</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3、不少于4路音频输入及2路音频输出，音频输入接口应采用数字音频接口或3.5mm立体声接口；音频输出接口应采用3.5mm立体声接口；</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4、▲具备语音激励功能，自动将对准发言人的摄像机画面切换到画面分割模式中的主画面窗口，需提供图像定位系统相关软件著作权，并加盖厂家公章或投标专用章；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5、直播、录制、环出画面的视频画面在切换过程中支持无缝切换，无蓝屏、停顿及无闪烁等现象。</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6、具备硬件高清视频图像合成器，可提供1/2/4/6等多种合成画面格式，合成画面分辨率达到1080P；</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7、组合画面可支持3G-SDI、HDMI等高清视频信号的混合叠加功能。</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8、具备本地存储和网络集中存储功能，庭审实况数据网络传输到法院后台服务器进行统一存储、直播。</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9、具备3路内网高清解码能力，3路高清编码能力，支持专网远程开庭；</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10、高清编解码支持：H.264、协议采用RTSP；</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11、具备3路1080P小程序视频解码能力，同时具备3路1080P小程序视频编码能力，支持同时接入3路公众网小程序，实现远程庭审、远程公诉、远程作证等</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12、具备RTSP、RTMP双协议实时运行；</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13、专网远程庭审支持RTSP流，小程序接入支持RTMP流，支持两种协议同步接入开庭；</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14、▲具有自主知识产权，提供视频信号处理相关知识产权证明文件，并加盖厂家公章或投标专用章。</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15、▲具备均衡调节功能，能够调试各种模式，调整的频率为150Hz/500Hz/800Hz/925Hz/1.5KHz/2Hz/3KHz/4KHz/5KHz/6KHz.同时支持一键清零，回复到初始状态</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需提供设备截图并加盖厂家公章或投标专用章</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16、设备最大功率应低于60W，以响应国务院关于印发节能减排“十二五”规划；</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17、▲为了防止工作人员触电事故的发生，设备应具备安全电压保护功能，设备工作输入电压应低于36V</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提供有效证明文件并加盖厂家公章或投标专用章</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18、不少于2路RS-232和RS-485控制</w:t>
            </w:r>
            <w:r>
              <w:rPr>
                <w:rFonts w:hint="eastAsia" w:ascii="宋体" w:hAnsi="宋体" w:cs="宋体"/>
                <w:color w:val="000000"/>
                <w:kern w:val="0"/>
                <w:sz w:val="21"/>
                <w:szCs w:val="21"/>
                <w:lang w:eastAsia="zh-CN"/>
              </w:rPr>
              <w:t>端口</w:t>
            </w:r>
            <w:r>
              <w:rPr>
                <w:rFonts w:hint="eastAsia" w:ascii="宋体" w:hAnsi="宋体" w:eastAsia="宋体" w:cs="宋体"/>
                <w:color w:val="000000"/>
                <w:kern w:val="0"/>
                <w:sz w:val="21"/>
                <w:szCs w:val="21"/>
              </w:rPr>
              <w:t>，不少于2路Console口；</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19、不少于1路10/100/1000M自适应网络接口，网络协议支持TCP/UDP/IP/HTTP/RTSP/RTMP；</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20、不少于2TB硬盘，同时支持同步存储到外置介质，U盘、光盘等；</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21、▲具有休眠和网络唤醒功能，支持网络唤醒，并与法庭电源系统联动</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需提供设备截图及证明文件，并加盖厂家公章或投标专用章</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22、内置庭审管理系统，可通过网络以WEB页面方式对主机进行远程控制，包括画面切换、证据展示及音量控制；</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23、▲B/S架构导播平台</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不允许采用windows远程控制方式</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，集视频监视，视频切换、云台控制，音频调整，直播/录制、暂停等控制，特技效果、特效字幕、LOGO、直播监视等功能，并在一个IE页面中显示；</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提供软件截图文件，并加盖厂家公章或投标专用章</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24、▲主机需适应不同气候环境及不同静音条件的要求，平台需实现对主机CPU温度的检测；</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提供软件截图文件，并加盖厂家公章或投标专用章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25、嵌入式一体化结构，主机高度不大于1U；</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需提供主机构造实物图片，并加盖厂家公章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26、▲为了避免由于停电导致录制的视频损坏，系统需具备视频数据文件恢复功能</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需提供截图文件，并加盖厂家公章或投标专用章</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27、▲庭审主机具有室内定位系统和自动跟踪拍摄功能；</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需提供国家知识产权局出具的有效证明文件并加盖厂家公章或投标专用章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28、▲为保证系统稳定性，设备平均无故障时间</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MTBF</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不低于120000小时。</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需提供MTBF符合性证书复印件并加盖厂家公章或投标专用章</w:t>
            </w:r>
            <w:r>
              <w:rPr>
                <w:rFonts w:hint="eastAsia" w:ascii="宋体" w:hAnsi="宋体" w:cs="宋体"/>
                <w:color w:val="000000"/>
                <w:kern w:val="0"/>
                <w:sz w:val="21"/>
                <w:szCs w:val="21"/>
                <w:lang w:eastAsia="zh-CN"/>
              </w:rPr>
              <w:t>）</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166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书记员庭审软件</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1、支持通过后台接口直接调用审判流程管理系统中的案件基本信息和庭审排期信息，避免书记员手工输入。</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2、▲具备临时开庭和联案开庭功能；为了节约时间，系统具备案号模糊查询功能，能快速的从大量的案件中搜索出需要庭审的案件信息。</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需提供软件截图并加盖厂家公章或投标专用章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3、系统应当具备庭审保护功能，不需要庭审直播的案件可以选择性不开庭庭审直播和点播信息。</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4、系统至少具备两种庭审模式，包括本地法庭以及远程提审等功能，方便后期系统扩展及远程庭审的需要。</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5、具备语音播放功能，可根据需要选择“男音”或“女音”播报，提醒当事人注意法庭纪律。</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6、要求具备单机版开庭功能，防止在庭审过程中网络掉线，保证庭审质量。</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7、▲要求能够通过后台接口调用审判流程案件信息，查看当天的案件信息</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需提供软件截图并加盖厂家公章或投标专用章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8、▲开庭模式选择：支持选择“本地法庭、远程提审、减刑假释、微信开庭”开庭模式，检察机关地点选择：支持选择“法院、检察院”</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需提供软件截图并加盖原厂投标专用章或公章或投标专用章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9、笔录界面同步显示视频窗口直播预览，庭审结束后回放视频时可以对视频进行多种控制。</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10、▲具备庭审设备控制功能，实现画面分割模式/证据切换/摄像机控制等法庭各种设备的全面控制，具备流式媒体在线</w:t>
            </w:r>
            <w:r>
              <w:rPr>
                <w:rFonts w:hint="eastAsia" w:ascii="宋体" w:hAnsi="宋体" w:cs="宋体"/>
                <w:color w:val="000000"/>
                <w:kern w:val="0"/>
                <w:sz w:val="21"/>
                <w:szCs w:val="21"/>
                <w:lang w:eastAsia="zh-CN"/>
              </w:rPr>
              <w:t>管理软件</w:t>
            </w:r>
            <w:r>
              <w:rPr>
                <w:rFonts w:hint="eastAsia" w:ascii="宋体" w:hAnsi="宋体" w:eastAsia="宋体" w:cs="宋体"/>
                <w:color w:val="000000"/>
                <w:kern w:val="0"/>
                <w:sz w:val="21"/>
                <w:szCs w:val="21"/>
              </w:rPr>
              <w:t>著作权。</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提供软件著作权复印件并加盖厂家公章或投标专用章</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11、具备一键开庭、一键闭庭的快捷功能按键。</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12、具备检测庭审主机状态功能，如果庭审主机未开机，可控制主机启动，进入庭审状态。</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13、具备控制发言定位功能根据需要启用或屏蔽的功能。</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14、笔录、视频界面、设备控制等功能基于同一界面，避免书记员切面切换影响工作效率。</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15、▲提供软件著作权同时提供本软件第三方权威测试报告并加盖厂家公章或投标专用章，与法庭庭审主机应为同一品牌。</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CellMar>
            <w:top w:w="0" w:type="dxa"/>
            <w:left w:w="108" w:type="dxa"/>
            <w:bottom w:w="0" w:type="dxa"/>
            <w:right w:w="108" w:type="dxa"/>
          </w:tblCellMar>
        </w:tblPrEx>
        <w:trPr>
          <w:trHeight w:val="50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二</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音视频采集设备</w:t>
            </w:r>
          </w:p>
        </w:tc>
      </w:tr>
      <w:tr>
        <w:tblPrEx>
          <w:tblCellMar>
            <w:top w:w="0" w:type="dxa"/>
            <w:left w:w="108" w:type="dxa"/>
            <w:bottom w:w="0" w:type="dxa"/>
            <w:right w:w="108" w:type="dxa"/>
          </w:tblCellMar>
        </w:tblPrEx>
        <w:trPr>
          <w:trHeight w:val="509"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高清云台摄像机</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1、具备SDI接口及HDMI接口。</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2、采用不低于1/2.5英寸CMOS传感器，不低于200万有效</w:t>
            </w:r>
            <w:r>
              <w:rPr>
                <w:rFonts w:hint="eastAsia" w:ascii="宋体" w:hAnsi="宋体" w:cs="宋体"/>
                <w:color w:val="000000"/>
                <w:kern w:val="0"/>
                <w:sz w:val="21"/>
                <w:szCs w:val="21"/>
                <w:lang w:eastAsia="zh-CN"/>
              </w:rPr>
              <w:t>像素</w:t>
            </w:r>
            <w:r>
              <w:rPr>
                <w:rFonts w:hint="eastAsia" w:ascii="宋体" w:hAnsi="宋体" w:eastAsia="宋体" w:cs="宋体"/>
                <w:color w:val="000000"/>
                <w:kern w:val="0"/>
                <w:sz w:val="21"/>
                <w:szCs w:val="21"/>
              </w:rPr>
              <w:t>，可实现不低于1920x1080分辨率；</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3、为保证高清晰度的同时满足了对画面流畅性的需求，摄像机视频标准不低于1080P，帧率最高可达30帧/秒；</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4、快速云台，多功能红外遥控，摄像机的转动、变焦、预置位以及多种摄像机的功能均可通过标配的红外遥控器控制。</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5、22倍变焦。</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6、为了便于实时了解庭审情况，要求摄像机至少具备1路音频输入接口，能够对视频实时进行编码存储。</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7、支持H264编码输出。</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8、支持SD卡录制功能。</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9、摄像机需支持网络编码输出，采用RTSP协议，支持VLC等通用工具直接播放，必须具备2路图像编码能力，主码流分辨率达1080P30、辅码流支持720x480，主码率支持32-8192K可调，帧率20-30FPS可调。码率可设置为固定或根据图像动态分析自行调节。</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10、摄像机可以实现音频格式、采样率、码率、输入类型、通道数设置。</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11、▲为保证系统稳定性及兼容性，摄像机与庭审主机应为同一品牌，且设备平均无故障时间</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MTBF</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不低于120000小时。</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需提供MTBF符合性证书复印件并加盖厂家公章或投标专用章</w:t>
            </w:r>
            <w:r>
              <w:rPr>
                <w:rFonts w:hint="eastAsia" w:ascii="宋体" w:hAnsi="宋体" w:cs="宋体"/>
                <w:color w:val="000000"/>
                <w:kern w:val="0"/>
                <w:sz w:val="21"/>
                <w:szCs w:val="21"/>
                <w:lang w:eastAsia="zh-CN"/>
              </w:rPr>
              <w:t>）</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108"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数字音频处理器</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1、采用专业级智能音频矩阵，非集成方式；</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2、矩阵功能</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输入多路信号并将其按用户设定比例进行混合，分配到多个输出通道中</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3、模拟音频输入/输出通道</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MIC/LINE</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：不少于10路输入/6路输出，支持选择多种电平的音源输入，为电容式话筒提供48V供电</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4、支持自动增益控制、回声消除、反馈啸叫消除、自动噪声消除。</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5、转换器类型24bit</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采样率48K</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频率响应20~20KHZ</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6、具备AFC自适应反馈消除功能，可以消除噪声环境下的附加噪声；</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7、内置摄像跟踪调用功能，支持语音画面跟踪功能；</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8、具备RS-232双向串行控制接口，用于控制外部其它设备</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9、具备GPIO可编程控制接口</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8组，可自定义输入输出</w:t>
            </w:r>
            <w:r>
              <w:rPr>
                <w:rFonts w:hint="eastAsia" w:ascii="宋体" w:hAnsi="宋体" w:cs="宋体"/>
                <w:color w:val="000000"/>
                <w:kern w:val="0"/>
                <w:sz w:val="21"/>
                <w:szCs w:val="21"/>
                <w:lang w:eastAsia="zh-CN"/>
              </w:rPr>
              <w:t>）</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10、支持最少8组场景预设功能；</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11、输入至输出动态范围96dB</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12、幻象电源</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每输入</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48V</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13、通道隔离度，1kHz 100dB</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14、1个千兆网口；</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15、▲为保证系统稳定性及兼容性，数字音频处理器与庭审主机应为同一品牌，且设备平均无故障时间</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MTBF</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不低于50000小时。</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需提供MTBF符合性证书复印件并加盖厂家公章或投标专用章</w:t>
            </w:r>
            <w:r>
              <w:rPr>
                <w:rFonts w:hint="eastAsia" w:ascii="宋体" w:hAnsi="宋体" w:cs="宋体"/>
                <w:color w:val="000000"/>
                <w:kern w:val="0"/>
                <w:sz w:val="21"/>
                <w:szCs w:val="21"/>
                <w:lang w:eastAsia="zh-CN"/>
              </w:rPr>
              <w:t>）</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3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三</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庭审集中控制系统</w:t>
            </w:r>
          </w:p>
        </w:tc>
      </w:tr>
      <w:tr>
        <w:tblPrEx>
          <w:tblCellMar>
            <w:top w:w="0" w:type="dxa"/>
            <w:left w:w="108" w:type="dxa"/>
            <w:bottom w:w="0" w:type="dxa"/>
            <w:right w:w="108" w:type="dxa"/>
          </w:tblCellMar>
        </w:tblPrEx>
        <w:trPr>
          <w:trHeight w:val="1440"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法庭控制器</w:t>
            </w:r>
          </w:p>
        </w:tc>
        <w:tc>
          <w:tcPr>
            <w:tcW w:w="6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1、专为庭审设计，配置不少于10个专用按键控制器，具备庭审控制所需的相关印刷标识；</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2、安装简单方便，画面切换迅速；</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3、按键功能可自定义，只需简单配置即可使用；</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4、按键功能丝印需采用活动面膜设计；</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5、应配置底座，可放于桌面使用，也可内嵌到桌面。</w:t>
            </w:r>
          </w:p>
        </w:tc>
        <w:tc>
          <w:tcPr>
            <w:tcW w:w="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640"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电源管理器</w:t>
            </w:r>
          </w:p>
        </w:tc>
        <w:tc>
          <w:tcPr>
            <w:tcW w:w="61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1、8路电源时序控制，每路延时1秒</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可编程控制；</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2、整机容量30A。进线采用安全方便的30A端子座；</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3、每路输出采用万能插座AC220V</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13A</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，适用各种类型插头；</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4、MCU控制的智能化设计，具有4路标准RS232/RS485串口控制功能，与法庭庭审主机联动控制，庭审主机可自动开/关系统电源，可中继法庭控制器指令；</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5、控制器工作电源与220V控制电源光栅隔离，具备浪涌、过压、过流等电源保护装置；</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6、具有外控和级联控口。</w:t>
            </w:r>
          </w:p>
        </w:tc>
        <w:tc>
          <w:tcPr>
            <w:tcW w:w="5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45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四</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视频显示及处理设备</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平板显示设备</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屏幕尺寸：55英寸；支持格式</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高清</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：2160p；屏幕比例：16:9；接口：HDMI，具有节能认证证书。</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平板显示设备支架</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落地移动支架</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审判区显示器</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21寸，支持1080P分辨率，带HDMI接口，具有节能认证证书。</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审判席显示器支架</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审判席显示器支架，配套使用，180°仰俯折叠</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HDMI网络传输器发送端</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HDMI网络传输器发送端，支持1080P，支持一对多传输</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HDMI网络传输器接收端</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HDMI网络传输器接收端，支持1080P，支持一对多传输</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HDMI分配器</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高清HDMI/VGA分配器支持480p、720p,1080i、和1080p，兼容1.3以下版本，1进4出</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HDMI高清矩阵</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高清HDMI/VGA矩阵，4K高清，四进四出，支持遥控和串口控制</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HDMI切换器</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高清HDMI/VGA分配器支持480p、720p,1080i、和1080p，二进一出</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58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五</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语音及扩声系统</w:t>
            </w:r>
          </w:p>
        </w:tc>
      </w:tr>
      <w:tr>
        <w:tblPrEx>
          <w:tblCellMar>
            <w:top w:w="0" w:type="dxa"/>
            <w:left w:w="108" w:type="dxa"/>
            <w:bottom w:w="0" w:type="dxa"/>
            <w:right w:w="108" w:type="dxa"/>
          </w:tblCellMar>
        </w:tblPrEx>
        <w:trPr>
          <w:trHeight w:val="1155"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鹅颈式会议话筒</w:t>
            </w:r>
          </w:p>
        </w:tc>
        <w:tc>
          <w:tcPr>
            <w:tcW w:w="6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收音头：静电型电容式；指向特性：心形指向性</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单指向性</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；频率响应：70-16,500 Hz；开通灵敏度：-37.5 dB</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13.8 mV</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以1V于1 Pa；输出阻抗：100欧姆；最高输入声压：135 dB SPL，以1V于1%T.H.D.；动态范围</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典型</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：107 dB，以1V于最大声压；信噪比</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66 dB以1V于1 Pa；幻象供电</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11-52V DC,2 mA典型</w:t>
            </w:r>
          </w:p>
        </w:tc>
        <w:tc>
          <w:tcPr>
            <w:tcW w:w="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4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r>
      <w:tr>
        <w:tblPrEx>
          <w:tblCellMar>
            <w:top w:w="0" w:type="dxa"/>
            <w:left w:w="108" w:type="dxa"/>
            <w:bottom w:w="0" w:type="dxa"/>
            <w:right w:w="108" w:type="dxa"/>
          </w:tblCellMar>
        </w:tblPrEx>
        <w:trPr>
          <w:trHeight w:val="190" w:hRule="atLeast"/>
          <w:jc w:val="center"/>
        </w:trPr>
        <w:tc>
          <w:tcPr>
            <w:tcW w:w="5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嫌疑人无线话筒</w:t>
            </w:r>
          </w:p>
        </w:tc>
        <w:tc>
          <w:tcPr>
            <w:tcW w:w="61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1.采用UHF超高频段双真分集接收，并采用DPLL数字锁相环多信道频率合成技术；2.提供各200个可调频率，真正分集式接收</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有效避免断频现象和延长接收距离，频率范围640-690MHz；3.具有红外对频功能，能方便、快捷的使发射机与接收机频率同步；4.超强的抗干扰能力，能有效抑制由外部带来的噪音干扰及同频干扰；5.接收机背面设置4条橡胶接收天线，增强接收的信号；6.具有2路XLR平衡输出，1路混合非平衡输出；7.1U标准机箱，金属面板，LCD液晶显示屏显示工作状态；8.使用距离：空旷环境：80-100米，复杂环境：50-80米；9.含1台接收主机和2个无线手持话筒。</w:t>
            </w:r>
          </w:p>
        </w:tc>
        <w:tc>
          <w:tcPr>
            <w:tcW w:w="5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支</w:t>
            </w:r>
          </w:p>
        </w:tc>
      </w:tr>
      <w:tr>
        <w:tblPrEx>
          <w:tblCellMar>
            <w:top w:w="0" w:type="dxa"/>
            <w:left w:w="108" w:type="dxa"/>
            <w:bottom w:w="0" w:type="dxa"/>
            <w:right w:w="108" w:type="dxa"/>
          </w:tblCellMar>
        </w:tblPrEx>
        <w:trPr>
          <w:trHeight w:val="442" w:hRule="atLeast"/>
          <w:jc w:val="center"/>
        </w:trPr>
        <w:tc>
          <w:tcPr>
            <w:tcW w:w="8755"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六</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外围设备、线缆及附件</w:t>
            </w:r>
          </w:p>
        </w:tc>
      </w:tr>
      <w:tr>
        <w:tblPrEx>
          <w:tblCellMar>
            <w:top w:w="0" w:type="dxa"/>
            <w:left w:w="108" w:type="dxa"/>
            <w:bottom w:w="0" w:type="dxa"/>
            <w:right w:w="108" w:type="dxa"/>
          </w:tblCellMar>
        </w:tblPrEx>
        <w:trPr>
          <w:trHeight w:val="7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书记员庭审终端</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kern w:val="0"/>
                <w:sz w:val="21"/>
                <w:szCs w:val="21"/>
              </w:rPr>
              <w:t>处理器≥6核12线程2.60GHz主频，内存容量≥8G，硬盘≥256G SSD</w:t>
            </w:r>
            <w:r>
              <w:rPr>
                <w:rFonts w:hint="eastAsia" w:ascii="宋体" w:hAnsi="宋体" w:cs="宋体"/>
                <w:kern w:val="0"/>
                <w:sz w:val="21"/>
                <w:szCs w:val="21"/>
                <w:lang w:eastAsia="zh-CN"/>
              </w:rPr>
              <w:t>，</w:t>
            </w:r>
            <w:r>
              <w:rPr>
                <w:rFonts w:hint="eastAsia" w:ascii="宋体" w:hAnsi="宋体" w:eastAsia="宋体" w:cs="宋体"/>
                <w:kern w:val="0"/>
                <w:sz w:val="21"/>
                <w:szCs w:val="21"/>
              </w:rPr>
              <w:t>主机和显示器带HDMI接口，带光驱，具有节能认证证书。</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96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交换机</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端口：24个10/100/1000M自适应RJ45端口：网络标准：IEEE 802.3、IEEE 802.3u IEEE 802.3ab、IEEE 802.3x；MAC地址表：8k；交换容量336Gbps；包转发率42Mpps；所有端口均具备线速转发能力；支持端口自动翻转</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Auto MDI/MDIX</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功能，带网管功能。</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CellMar>
            <w:top w:w="0" w:type="dxa"/>
            <w:left w:w="108" w:type="dxa"/>
            <w:bottom w:w="0" w:type="dxa"/>
            <w:right w:w="108" w:type="dxa"/>
          </w:tblCellMar>
        </w:tblPrEx>
        <w:trPr>
          <w:trHeight w:val="4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24口网络配线架</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24口6类非屏蔽网络配线架</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CellMar>
            <w:top w:w="0" w:type="dxa"/>
            <w:left w:w="108" w:type="dxa"/>
            <w:bottom w:w="0" w:type="dxa"/>
            <w:right w:w="108" w:type="dxa"/>
          </w:tblCellMar>
        </w:tblPrEx>
        <w:trPr>
          <w:trHeight w:val="4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理线器</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1U数据理线架</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CellMar>
            <w:top w:w="0" w:type="dxa"/>
            <w:left w:w="108" w:type="dxa"/>
            <w:bottom w:w="0" w:type="dxa"/>
            <w:right w:w="108" w:type="dxa"/>
          </w:tblCellMar>
        </w:tblPrEx>
        <w:trPr>
          <w:trHeight w:val="4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六类非屏蔽网线</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十字龙骨芯，23AWG无氧铜，提供至少250MHz的信道带宽</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米</w:t>
            </w:r>
          </w:p>
        </w:tc>
      </w:tr>
      <w:tr>
        <w:tblPrEx>
          <w:tblCellMar>
            <w:top w:w="0" w:type="dxa"/>
            <w:left w:w="108" w:type="dxa"/>
            <w:bottom w:w="0" w:type="dxa"/>
            <w:right w:w="108" w:type="dxa"/>
          </w:tblCellMar>
        </w:tblPrEx>
        <w:trPr>
          <w:trHeight w:val="4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六类网络跳线</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六类非屏蔽RJ45跳线</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3米</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，十字龙骨芯结构，性能符合ANSI/TIA-568-C.2标准，</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条</w:t>
            </w:r>
          </w:p>
        </w:tc>
      </w:tr>
      <w:tr>
        <w:tblPrEx>
          <w:tblCellMar>
            <w:top w:w="0" w:type="dxa"/>
            <w:left w:w="108" w:type="dxa"/>
            <w:bottom w:w="0" w:type="dxa"/>
            <w:right w:w="108" w:type="dxa"/>
          </w:tblCellMar>
        </w:tblPrEx>
        <w:trPr>
          <w:trHeight w:val="42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镀锌线管</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SC20，暗敷</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米</w:t>
            </w:r>
          </w:p>
        </w:tc>
      </w:tr>
      <w:tr>
        <w:tblPrEx>
          <w:tblCellMar>
            <w:top w:w="0" w:type="dxa"/>
            <w:left w:w="108" w:type="dxa"/>
            <w:bottom w:w="0" w:type="dxa"/>
            <w:right w:w="108" w:type="dxa"/>
          </w:tblCellMar>
        </w:tblPrEx>
        <w:trPr>
          <w:trHeight w:val="525"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法庭灯光改造</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led灯光源改造，采用LED筒灯，现场定制，达到开庭直播流明要求</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CellMar>
            <w:top w:w="0" w:type="dxa"/>
            <w:left w:w="108" w:type="dxa"/>
            <w:bottom w:w="0" w:type="dxa"/>
            <w:right w:w="108" w:type="dxa"/>
          </w:tblCellMar>
        </w:tblPrEx>
        <w:trPr>
          <w:trHeight w:val="650" w:hRule="atLeast"/>
          <w:jc w:val="center"/>
        </w:trPr>
        <w:tc>
          <w:tcPr>
            <w:tcW w:w="5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多媒体线缆及辅材</w:t>
            </w:r>
          </w:p>
        </w:tc>
        <w:tc>
          <w:tcPr>
            <w:tcW w:w="61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1.音视频线缆、高清线缆、RGB线缆、RS232控制线缆等提供优质线材，含5条SDI成品线；</w:t>
            </w:r>
          </w:p>
          <w:p>
            <w:pPr>
              <w:widowControl/>
              <w:spacing w:line="360" w:lineRule="auto"/>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2.根据实际安装需要，提供足够材料，保证设备正常使用；</w:t>
            </w:r>
          </w:p>
          <w:p>
            <w:pPr>
              <w:widowControl/>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3.安装必备附件接线端子，SDI端子等</w:t>
            </w:r>
          </w:p>
        </w:tc>
        <w:tc>
          <w:tcPr>
            <w:tcW w:w="54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44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w:t>
            </w:r>
          </w:p>
        </w:tc>
      </w:tr>
      <w:bookmarkEnd w:id="724"/>
      <w:bookmarkEnd w:id="725"/>
      <w:bookmarkEnd w:id="726"/>
    </w:tbl>
    <w:p>
      <w:pPr>
        <w:tabs>
          <w:tab w:val="left" w:pos="840"/>
        </w:tabs>
        <w:spacing w:line="400" w:lineRule="exact"/>
        <w:rPr>
          <w:rFonts w:hint="eastAsia" w:ascii="宋体" w:hAnsi="宋体" w:eastAsia="宋体" w:cs="宋体"/>
          <w:sz w:val="24"/>
          <w:highlight w:val="none"/>
        </w:rPr>
      </w:pPr>
      <w:r>
        <w:rPr>
          <w:rFonts w:hint="eastAsia" w:ascii="宋体" w:hAnsi="宋体" w:cs="宋体"/>
          <w:szCs w:val="21"/>
        </w:rPr>
        <w:t>注：磋商文件第四部分标注有“★”的要求，供应商对其中响应不可以为负偏离</w:t>
      </w:r>
      <w:r>
        <w:rPr>
          <w:rFonts w:hint="eastAsia" w:ascii="宋体" w:hAnsi="宋体" w:cs="宋体"/>
          <w:szCs w:val="21"/>
          <w:lang w:eastAsia="zh-CN"/>
        </w:rPr>
        <w:t>（</w:t>
      </w:r>
      <w:r>
        <w:rPr>
          <w:rFonts w:hint="eastAsia" w:ascii="宋体" w:hAnsi="宋体" w:cs="宋体"/>
          <w:szCs w:val="21"/>
        </w:rPr>
        <w:t>不符合/不满足</w:t>
      </w:r>
      <w:r>
        <w:rPr>
          <w:rFonts w:hint="eastAsia" w:ascii="宋体" w:hAnsi="宋体" w:cs="宋体"/>
          <w:szCs w:val="21"/>
          <w:lang w:eastAsia="zh-CN"/>
        </w:rPr>
        <w:t>）</w:t>
      </w:r>
      <w:r>
        <w:rPr>
          <w:rFonts w:hint="eastAsia" w:ascii="宋体" w:hAnsi="宋体" w:cs="宋体"/>
          <w:szCs w:val="21"/>
        </w:rPr>
        <w:t>，否则其响应文件将被视作未实质响应磋商文件要求，作无效响应文件处理；标注有“▲”的要求为技术评审主要参数/要求，具体见磋商文件第二部分“技术部分评分”。</w:t>
      </w:r>
    </w:p>
    <w:bookmarkEnd w:id="715"/>
    <w:p>
      <w:pPr>
        <w:pStyle w:val="3"/>
        <w:spacing w:before="120" w:beforeLines="50" w:after="120" w:afterLines="50" w:line="240" w:lineRule="auto"/>
        <w:rPr>
          <w:rFonts w:hint="eastAsia" w:ascii="宋体" w:hAnsi="宋体" w:eastAsia="宋体" w:cs="宋体"/>
          <w:sz w:val="44"/>
          <w:szCs w:val="36"/>
          <w:highlight w:val="none"/>
        </w:rPr>
      </w:pPr>
      <w:bookmarkStart w:id="727" w:name="_Toc497076562"/>
      <w:bookmarkStart w:id="728" w:name="_Toc37919881"/>
      <w:bookmarkStart w:id="729" w:name="_Toc3387030"/>
      <w:bookmarkStart w:id="730" w:name="_Toc49930347"/>
      <w:bookmarkStart w:id="731" w:name="_Toc531617906"/>
      <w:bookmarkStart w:id="732" w:name="_Toc29405"/>
      <w:bookmarkStart w:id="733" w:name="_Toc14711"/>
      <w:bookmarkStart w:id="734" w:name="_Toc10465"/>
      <w:r>
        <w:rPr>
          <w:rFonts w:hint="eastAsia" w:ascii="宋体" w:hAnsi="宋体" w:eastAsia="宋体" w:cs="宋体"/>
          <w:highlight w:val="none"/>
        </w:rPr>
        <w:br w:type="page"/>
      </w:r>
      <w:bookmarkStart w:id="735" w:name="_Toc23061"/>
      <w:bookmarkStart w:id="736" w:name="_Toc14032"/>
      <w:bookmarkStart w:id="737" w:name="_Toc11222"/>
      <w:bookmarkStart w:id="738" w:name="_Toc28714"/>
      <w:bookmarkStart w:id="739" w:name="_Toc27665"/>
      <w:bookmarkStart w:id="740" w:name="_Toc24063"/>
      <w:bookmarkStart w:id="741" w:name="_Toc30880"/>
      <w:r>
        <w:rPr>
          <w:rFonts w:hint="eastAsia" w:ascii="宋体" w:hAnsi="宋体" w:eastAsia="宋体" w:cs="宋体"/>
          <w:sz w:val="44"/>
          <w:szCs w:val="36"/>
          <w:highlight w:val="none"/>
        </w:rPr>
        <w:t>第五部分 格式文件</w:t>
      </w:r>
      <w:bookmarkEnd w:id="71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bookmarkEnd w:id="717"/>
    <w:bookmarkEnd w:id="718"/>
    <w:p>
      <w:pPr>
        <w:pStyle w:val="4"/>
        <w:rPr>
          <w:rFonts w:hint="eastAsia" w:ascii="宋体" w:hAnsi="宋体" w:eastAsia="宋体" w:cs="宋体"/>
          <w:highlight w:val="none"/>
        </w:rPr>
      </w:pPr>
      <w:bookmarkStart w:id="742" w:name="_Toc276645577"/>
      <w:bookmarkStart w:id="743" w:name="_Toc10186"/>
      <w:bookmarkStart w:id="744" w:name="_Toc11548"/>
      <w:bookmarkStart w:id="745" w:name="_Toc13133"/>
      <w:bookmarkStart w:id="746" w:name="_Toc37919882"/>
      <w:bookmarkStart w:id="747" w:name="_Toc531617907"/>
      <w:bookmarkStart w:id="748" w:name="_Toc394"/>
      <w:bookmarkStart w:id="749" w:name="_Toc49930348"/>
      <w:bookmarkStart w:id="750" w:name="_Toc7023"/>
      <w:bookmarkStart w:id="751" w:name="_Toc26625"/>
      <w:bookmarkStart w:id="752" w:name="_Toc15531"/>
      <w:bookmarkStart w:id="753" w:name="_Toc4877"/>
      <w:bookmarkStart w:id="754" w:name="_Toc23474"/>
      <w:bookmarkStart w:id="755" w:name="_Toc3387031"/>
      <w:bookmarkStart w:id="756" w:name="_Toc497076563"/>
      <w:bookmarkStart w:id="757" w:name="_Toc21599"/>
      <w:r>
        <w:rPr>
          <w:rFonts w:hint="eastAsia" w:ascii="宋体" w:hAnsi="宋体" w:eastAsia="宋体" w:cs="宋体"/>
          <w:highlight w:val="none"/>
        </w:rPr>
        <w:t>第一节</w:t>
      </w:r>
      <w:bookmarkEnd w:id="742"/>
      <w:r>
        <w:rPr>
          <w:rFonts w:hint="eastAsia" w:ascii="宋体" w:hAnsi="宋体" w:eastAsia="宋体" w:cs="宋体"/>
          <w:highlight w:val="none"/>
        </w:rPr>
        <w:t xml:space="preserve"> 合同格式</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adjustRightInd w:val="0"/>
        <w:snapToGrid w:val="0"/>
        <w:spacing w:line="700" w:lineRule="exact"/>
        <w:jc w:val="center"/>
        <w:rPr>
          <w:rFonts w:hint="eastAsia" w:ascii="宋体" w:hAnsi="宋体" w:eastAsia="宋体" w:cs="宋体"/>
          <w:szCs w:val="21"/>
        </w:rPr>
      </w:pPr>
      <w:bookmarkStart w:id="758" w:name="_Toc742"/>
      <w:bookmarkStart w:id="759" w:name="_Toc49930358"/>
      <w:bookmarkStart w:id="760" w:name="_Toc497076564"/>
      <w:bookmarkStart w:id="761" w:name="_Toc3387046"/>
      <w:bookmarkStart w:id="762" w:name="_Toc15173"/>
      <w:bookmarkStart w:id="763" w:name="_Toc276645578"/>
      <w:bookmarkStart w:id="764" w:name="_Toc11141"/>
      <w:bookmarkStart w:id="765" w:name="_Toc531617922"/>
      <w:bookmarkStart w:id="766" w:name="_Toc32140"/>
      <w:bookmarkStart w:id="767" w:name="_Toc31184"/>
      <w:bookmarkStart w:id="768" w:name="_Toc37919897"/>
      <w:bookmarkStart w:id="769" w:name="_Toc20658"/>
      <w:bookmarkStart w:id="770" w:name="_Toc10687"/>
      <w:bookmarkStart w:id="771" w:name="_Toc16251"/>
      <w:bookmarkStart w:id="772" w:name="_Toc28601"/>
      <w:bookmarkStart w:id="773" w:name="_Toc199652098"/>
      <w:bookmarkStart w:id="774" w:name="_Toc201977165"/>
      <w:r>
        <w:rPr>
          <w:rFonts w:hint="eastAsia" w:ascii="宋体" w:hAnsi="宋体" w:eastAsia="宋体" w:cs="宋体"/>
          <w:b/>
          <w:szCs w:val="21"/>
        </w:rPr>
        <w:t>注：本合同样本仅供参考，具体内容由采购人和成交单位协商确定。</w:t>
      </w:r>
    </w:p>
    <w:p>
      <w:pPr>
        <w:pStyle w:val="28"/>
        <w:tabs>
          <w:tab w:val="left" w:pos="2273"/>
        </w:tabs>
        <w:kinsoku w:val="0"/>
        <w:overflowPunct w:val="0"/>
        <w:spacing w:before="192"/>
        <w:ind w:left="104"/>
        <w:jc w:val="center"/>
        <w:rPr>
          <w:rFonts w:hint="eastAsia" w:cs="宋体"/>
          <w:b/>
          <w:bCs/>
          <w:color w:val="212121"/>
          <w:spacing w:val="9"/>
          <w:sz w:val="38"/>
        </w:rPr>
      </w:pPr>
    </w:p>
    <w:p>
      <w:pPr>
        <w:pStyle w:val="28"/>
        <w:tabs>
          <w:tab w:val="left" w:pos="2273"/>
        </w:tabs>
        <w:kinsoku w:val="0"/>
        <w:overflowPunct w:val="0"/>
        <w:spacing w:before="192"/>
        <w:ind w:left="104"/>
        <w:jc w:val="center"/>
        <w:rPr>
          <w:rFonts w:hint="eastAsia" w:cs="宋体"/>
          <w:b/>
          <w:bCs/>
          <w:color w:val="212121"/>
          <w:spacing w:val="9"/>
          <w:sz w:val="38"/>
        </w:rPr>
      </w:pPr>
    </w:p>
    <w:p>
      <w:pPr>
        <w:pStyle w:val="28"/>
        <w:tabs>
          <w:tab w:val="left" w:pos="2273"/>
        </w:tabs>
        <w:kinsoku w:val="0"/>
        <w:overflowPunct w:val="0"/>
        <w:spacing w:before="192"/>
        <w:ind w:left="104"/>
        <w:jc w:val="center"/>
        <w:rPr>
          <w:rFonts w:hint="eastAsia" w:cs="宋体"/>
          <w:b/>
          <w:bCs/>
          <w:color w:val="212121"/>
          <w:spacing w:val="9"/>
          <w:sz w:val="38"/>
        </w:rPr>
      </w:pPr>
    </w:p>
    <w:p>
      <w:pPr>
        <w:pStyle w:val="28"/>
        <w:tabs>
          <w:tab w:val="left" w:pos="2273"/>
        </w:tabs>
        <w:kinsoku w:val="0"/>
        <w:overflowPunct w:val="0"/>
        <w:spacing w:before="192"/>
        <w:ind w:left="104"/>
        <w:jc w:val="center"/>
        <w:rPr>
          <w:rFonts w:hint="eastAsia" w:cs="宋体"/>
          <w:color w:val="212121"/>
          <w:spacing w:val="9"/>
          <w:sz w:val="38"/>
        </w:rPr>
      </w:pPr>
      <w:r>
        <w:rPr>
          <w:rFonts w:hint="eastAsia" w:cs="宋体"/>
          <w:b/>
          <w:bCs/>
          <w:color w:val="212121"/>
          <w:sz w:val="38"/>
        </w:rPr>
        <w:t>合</w:t>
      </w:r>
      <w:r>
        <w:rPr>
          <w:rFonts w:hint="eastAsia" w:cs="宋体"/>
          <w:b/>
          <w:bCs/>
          <w:color w:val="212121"/>
          <w:sz w:val="38"/>
          <w:lang w:val="en-US" w:eastAsia="zh-CN"/>
        </w:rPr>
        <w:t xml:space="preserve">  </w:t>
      </w:r>
      <w:r>
        <w:rPr>
          <w:rFonts w:hint="eastAsia" w:cs="宋体"/>
          <w:b/>
          <w:bCs/>
          <w:color w:val="212121"/>
          <w:sz w:val="38"/>
        </w:rPr>
        <w:t>同</w:t>
      </w:r>
      <w:r>
        <w:rPr>
          <w:rFonts w:hint="eastAsia" w:cs="宋体"/>
          <w:b/>
          <w:bCs/>
          <w:color w:val="212121"/>
          <w:sz w:val="38"/>
          <w:lang w:val="en-US" w:eastAsia="zh-CN"/>
        </w:rPr>
        <w:t xml:space="preserve">  </w:t>
      </w:r>
      <w:r>
        <w:rPr>
          <w:rFonts w:hint="eastAsia" w:cs="宋体"/>
          <w:b/>
          <w:bCs/>
          <w:color w:val="212121"/>
          <w:sz w:val="38"/>
        </w:rPr>
        <w:t>书</w:t>
      </w:r>
    </w:p>
    <w:p>
      <w:pPr>
        <w:rPr>
          <w:rFonts w:hint="eastAsia" w:ascii="宋体" w:hAnsi="宋体" w:cs="宋体"/>
          <w:color w:val="212121"/>
          <w:spacing w:val="11"/>
        </w:rPr>
      </w:pPr>
    </w:p>
    <w:p>
      <w:pPr>
        <w:pStyle w:val="28"/>
        <w:rPr>
          <w:rFonts w:hint="eastAsia" w:cs="宋体"/>
          <w:color w:val="212121"/>
          <w:spacing w:val="11"/>
          <w:sz w:val="21"/>
        </w:rPr>
      </w:pPr>
    </w:p>
    <w:p>
      <w:pPr>
        <w:pStyle w:val="28"/>
        <w:rPr>
          <w:rFonts w:hint="eastAsia" w:cs="宋体"/>
          <w:color w:val="212121"/>
          <w:spacing w:val="11"/>
          <w:sz w:val="21"/>
        </w:rPr>
      </w:pPr>
    </w:p>
    <w:p>
      <w:pPr>
        <w:pStyle w:val="28"/>
        <w:rPr>
          <w:rFonts w:hint="eastAsia" w:cs="宋体"/>
          <w:color w:val="212121"/>
          <w:spacing w:val="11"/>
          <w:sz w:val="21"/>
        </w:rPr>
      </w:pPr>
    </w:p>
    <w:p>
      <w:pPr>
        <w:rPr>
          <w:rFonts w:hint="eastAsia" w:cs="宋体"/>
          <w:color w:val="212121"/>
          <w:spacing w:val="11"/>
          <w:sz w:val="21"/>
        </w:rPr>
      </w:pPr>
    </w:p>
    <w:p>
      <w:pPr>
        <w:pStyle w:val="68"/>
        <w:rPr>
          <w:rFonts w:hint="eastAsia"/>
        </w:rPr>
      </w:pPr>
    </w:p>
    <w:p>
      <w:pPr>
        <w:pStyle w:val="28"/>
        <w:rPr>
          <w:rFonts w:hint="eastAsia" w:cs="宋体"/>
          <w:color w:val="212121"/>
          <w:spacing w:val="11"/>
          <w:sz w:val="21"/>
        </w:rPr>
      </w:pPr>
    </w:p>
    <w:p>
      <w:pPr>
        <w:pStyle w:val="28"/>
        <w:rPr>
          <w:rFonts w:hint="eastAsia" w:cs="宋体"/>
          <w:color w:val="212121"/>
          <w:spacing w:val="11"/>
          <w:sz w:val="21"/>
        </w:rPr>
      </w:pPr>
    </w:p>
    <w:p>
      <w:pPr>
        <w:pStyle w:val="28"/>
        <w:jc w:val="center"/>
        <w:rPr>
          <w:rFonts w:hint="eastAsia" w:cs="宋体"/>
          <w:color w:val="212121"/>
          <w:spacing w:val="11"/>
          <w:sz w:val="21"/>
        </w:rPr>
      </w:pPr>
    </w:p>
    <w:p>
      <w:pPr>
        <w:ind w:left="0" w:leftChars="0" w:firstLine="1897" w:firstLineChars="818"/>
        <w:jc w:val="center"/>
        <w:rPr>
          <w:rFonts w:hint="eastAsia" w:ascii="宋体" w:hAnsi="宋体" w:cs="宋体"/>
          <w:color w:val="212121"/>
          <w:spacing w:val="11"/>
        </w:rPr>
      </w:pPr>
    </w:p>
    <w:p>
      <w:pPr>
        <w:ind w:left="0" w:leftChars="0" w:firstLine="1897" w:firstLineChars="818"/>
        <w:rPr>
          <w:rFonts w:hint="eastAsia" w:ascii="宋体" w:hAnsi="宋体" w:cs="宋体"/>
          <w:color w:val="212121"/>
          <w:spacing w:val="11"/>
        </w:rPr>
      </w:pPr>
      <w:r>
        <w:rPr>
          <w:rFonts w:hint="eastAsia" w:ascii="宋体" w:hAnsi="宋体" w:cs="宋体"/>
          <w:color w:val="212121"/>
          <w:spacing w:val="11"/>
        </w:rPr>
        <w:t>项目编号：</w:t>
      </w:r>
      <w:r>
        <w:rPr>
          <w:rFonts w:hint="eastAsia" w:ascii="宋体" w:hAnsi="宋体" w:cs="宋体"/>
          <w:color w:val="212121"/>
          <w:spacing w:val="11"/>
          <w:u w:val="single"/>
        </w:rPr>
        <w:t xml:space="preserve">                           </w:t>
      </w:r>
      <w:r>
        <w:rPr>
          <w:rFonts w:hint="eastAsia" w:ascii="宋体" w:hAnsi="宋体" w:cs="宋体"/>
          <w:color w:val="212121"/>
          <w:spacing w:val="11"/>
        </w:rPr>
        <w:t xml:space="preserve"> </w:t>
      </w:r>
    </w:p>
    <w:p>
      <w:pPr>
        <w:ind w:left="0" w:leftChars="0" w:firstLine="1897" w:firstLineChars="818"/>
        <w:jc w:val="center"/>
        <w:rPr>
          <w:rFonts w:hint="eastAsia" w:ascii="宋体" w:hAnsi="宋体" w:cs="宋体"/>
          <w:color w:val="212121"/>
          <w:spacing w:val="11"/>
        </w:rPr>
      </w:pPr>
    </w:p>
    <w:p>
      <w:pPr>
        <w:ind w:left="0" w:leftChars="0" w:firstLine="1897" w:firstLineChars="818"/>
        <w:rPr>
          <w:rFonts w:hint="eastAsia" w:ascii="宋体" w:hAnsi="宋体" w:cs="宋体"/>
          <w:color w:val="212121"/>
          <w:spacing w:val="11"/>
        </w:rPr>
      </w:pPr>
      <w:r>
        <w:rPr>
          <w:rFonts w:hint="eastAsia" w:ascii="宋体" w:hAnsi="宋体" w:cs="宋体"/>
          <w:color w:val="212121"/>
          <w:spacing w:val="11"/>
        </w:rPr>
        <w:t>项目名称</w:t>
      </w:r>
      <w:r>
        <w:rPr>
          <w:rFonts w:hint="eastAsia" w:ascii="宋体" w:hAnsi="宋体" w:cs="宋体"/>
          <w:color w:val="212121"/>
          <w:spacing w:val="11"/>
          <w:lang w:eastAsia="zh-CN"/>
        </w:rPr>
        <w:t>：</w:t>
      </w:r>
      <w:r>
        <w:rPr>
          <w:rFonts w:hint="eastAsia" w:ascii="宋体" w:hAnsi="宋体" w:cs="宋体"/>
          <w:color w:val="212121"/>
          <w:spacing w:val="11"/>
          <w:u w:val="single"/>
        </w:rPr>
        <w:t xml:space="preserve">                            </w:t>
      </w:r>
    </w:p>
    <w:p>
      <w:pPr>
        <w:jc w:val="center"/>
        <w:rPr>
          <w:rFonts w:hint="eastAsia" w:ascii="宋体" w:hAnsi="宋体" w:cs="宋体"/>
          <w:color w:val="212121"/>
          <w:spacing w:val="11"/>
        </w:rPr>
      </w:pPr>
      <w:r>
        <w:rPr>
          <w:rFonts w:hint="eastAsia" w:ascii="宋体" w:hAnsi="宋体" w:cs="宋体"/>
          <w:color w:val="212121"/>
          <w:spacing w:val="11"/>
        </w:rPr>
        <w:br w:type="page"/>
      </w:r>
    </w:p>
    <w:p>
      <w:pPr>
        <w:ind w:left="2205" w:hanging="2205" w:hangingChars="1050"/>
        <w:rPr>
          <w:rFonts w:asciiTheme="minorEastAsia" w:hAnsiTheme="minorEastAsia" w:eastAsiaTheme="minorEastAsia"/>
          <w:szCs w:val="21"/>
        </w:rPr>
      </w:pPr>
      <w:r>
        <w:rPr>
          <w:rFonts w:hint="eastAsia" w:asciiTheme="minorEastAsia" w:hAnsiTheme="minorEastAsia" w:eastAsiaTheme="minorEastAsia"/>
          <w:szCs w:val="21"/>
        </w:rPr>
        <w:t>甲方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或称“买方”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广东省珠海市中级人民法院</w:t>
      </w:r>
      <w:r>
        <w:rPr>
          <w:rFonts w:hint="eastAsia" w:asciiTheme="minorEastAsia" w:hAnsiTheme="minorEastAsia" w:eastAsiaTheme="minorEastAsia"/>
          <w:szCs w:val="21"/>
        </w:rPr>
        <w:tab/>
      </w:r>
    </w:p>
    <w:p>
      <w:pPr>
        <w:ind w:left="2205" w:hanging="2205" w:hangingChars="1050"/>
        <w:rPr>
          <w:rFonts w:asciiTheme="minorEastAsia" w:hAnsiTheme="minorEastAsia" w:eastAsiaTheme="minorEastAsia"/>
          <w:szCs w:val="21"/>
        </w:rPr>
      </w:pPr>
      <w:r>
        <w:rPr>
          <w:rFonts w:hint="eastAsia" w:asciiTheme="minorEastAsia" w:hAnsiTheme="minorEastAsia" w:eastAsiaTheme="minorEastAsia"/>
          <w:szCs w:val="21"/>
        </w:rPr>
        <w:t>甲方合同编号：</w:t>
      </w:r>
    </w:p>
    <w:p>
      <w:pPr>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乙方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或称“卖方”</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u w:val="single"/>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乙方合同编号：</w:t>
      </w:r>
    </w:p>
    <w:p>
      <w:pPr>
        <w:rPr>
          <w:rFonts w:asciiTheme="minorEastAsia" w:hAnsiTheme="minorEastAsia" w:eastAsiaTheme="minorEastAsia"/>
          <w:szCs w:val="21"/>
        </w:rPr>
      </w:pPr>
    </w:p>
    <w:p>
      <w:pPr>
        <w:jc w:val="center"/>
        <w:rPr>
          <w:rFonts w:asciiTheme="minorEastAsia" w:hAnsiTheme="minorEastAsia" w:eastAsiaTheme="minorEastAsia"/>
          <w:szCs w:val="21"/>
        </w:rPr>
      </w:pPr>
    </w:p>
    <w:p>
      <w:pPr>
        <w:pStyle w:val="373"/>
        <w:ind w:left="0" w:leftChars="0" w:firstLine="420" w:firstLineChars="200"/>
        <w:rPr>
          <w:sz w:val="21"/>
        </w:rPr>
      </w:pPr>
      <w:r>
        <w:rPr>
          <w:rFonts w:hint="eastAsia"/>
          <w:sz w:val="21"/>
        </w:rPr>
        <w:t>根据</w:t>
      </w:r>
      <w:r>
        <w:rPr>
          <w:rFonts w:hint="eastAsia" w:ascii="宋体" w:hAnsi="宋体" w:cs="宋体"/>
          <w:sz w:val="21"/>
          <w:szCs w:val="21"/>
          <w:highlight w:val="none"/>
          <w:u w:val="single"/>
          <w:lang w:eastAsia="zh-CN"/>
        </w:rPr>
        <w:t>珠海市中级人民法院2023年科技法庭租赁服务项目</w:t>
      </w:r>
      <w:r>
        <w:rPr>
          <w:rFonts w:hint="eastAsia" w:ascii="宋体" w:hAnsi="宋体" w:cs="宋体"/>
          <w:sz w:val="21"/>
          <w:szCs w:val="21"/>
          <w:highlight w:val="none"/>
          <w:u w:val="single"/>
          <w:lang w:val="en-US" w:eastAsia="zh-CN"/>
        </w:rPr>
        <w:t>[</w:t>
      </w:r>
      <w:r>
        <w:rPr>
          <w:rFonts w:hint="eastAsia" w:ascii="宋体" w:hAnsi="宋体" w:eastAsia="宋体" w:cs="宋体"/>
          <w:sz w:val="21"/>
          <w:szCs w:val="21"/>
          <w:highlight w:val="none"/>
          <w:u w:val="single"/>
        </w:rPr>
        <w:t>项目编号：</w:t>
      </w:r>
      <w:r>
        <w:rPr>
          <w:rFonts w:hint="eastAsia" w:ascii="宋体" w:hAnsi="宋体" w:cs="宋体"/>
          <w:sz w:val="21"/>
          <w:szCs w:val="21"/>
          <w:highlight w:val="none"/>
          <w:u w:val="single"/>
          <w:lang w:eastAsia="zh-CN"/>
        </w:rPr>
        <w:t>ZHZN2023-135</w:t>
      </w:r>
      <w:r>
        <w:rPr>
          <w:rFonts w:hint="eastAsia" w:ascii="宋体" w:hAnsi="宋体" w:cs="宋体"/>
          <w:sz w:val="21"/>
          <w:szCs w:val="21"/>
          <w:highlight w:val="none"/>
          <w:u w:val="single"/>
          <w:lang w:val="en-US" w:eastAsia="zh-CN"/>
        </w:rPr>
        <w:t>]</w:t>
      </w:r>
      <w:r>
        <w:rPr>
          <w:sz w:val="21"/>
        </w:rPr>
        <w:t>的采购结果，按照《中华人民共和国政府采购法》</w:t>
      </w:r>
      <w:r>
        <w:rPr>
          <w:rFonts w:hint="eastAsia"/>
          <w:sz w:val="21"/>
        </w:rPr>
        <w:t>，</w:t>
      </w:r>
      <w:r>
        <w:rPr>
          <w:sz w:val="21"/>
        </w:rPr>
        <w:t>《中华人民共和国民法典</w:t>
      </w:r>
      <w:r>
        <w:rPr>
          <w:rFonts w:hint="eastAsia"/>
          <w:sz w:val="21"/>
          <w:lang w:eastAsia="zh-CN"/>
        </w:rPr>
        <w:t>（</w:t>
      </w:r>
      <w:r>
        <w:rPr>
          <w:sz w:val="21"/>
        </w:rPr>
        <w:t>合同编</w:t>
      </w:r>
      <w:r>
        <w:rPr>
          <w:rFonts w:hint="eastAsia"/>
          <w:sz w:val="21"/>
          <w:lang w:eastAsia="zh-CN"/>
        </w:rPr>
        <w:t>）</w:t>
      </w:r>
      <w:r>
        <w:rPr>
          <w:sz w:val="21"/>
        </w:rPr>
        <w:t>》的规定，经双方协商，本着平等互</w:t>
      </w:r>
      <w:r>
        <w:rPr>
          <w:rFonts w:hint="eastAsia"/>
          <w:sz w:val="21"/>
        </w:rPr>
        <w:t>利和诚实信用的原则，一致同意遵守本合同如下。</w:t>
      </w:r>
    </w:p>
    <w:p>
      <w:pPr>
        <w:pStyle w:val="373"/>
        <w:ind w:left="0" w:leftChars="0" w:firstLine="420" w:firstLineChars="200"/>
        <w:rPr>
          <w:sz w:val="21"/>
        </w:rPr>
      </w:pPr>
    </w:p>
    <w:p>
      <w:pPr>
        <w:pStyle w:val="373"/>
        <w:ind w:left="0" w:leftChars="0" w:firstLine="422" w:firstLineChars="200"/>
        <w:rPr>
          <w:b/>
          <w:sz w:val="21"/>
        </w:rPr>
      </w:pPr>
      <w:r>
        <w:rPr>
          <w:rFonts w:hint="eastAsia" w:asciiTheme="minorEastAsia" w:hAnsiTheme="minorEastAsia" w:eastAsiaTheme="minorEastAsia"/>
          <w:b/>
          <w:bCs/>
          <w:sz w:val="21"/>
          <w:szCs w:val="21"/>
        </w:rPr>
        <w:t>第一条</w:t>
      </w:r>
      <w:r>
        <w:rPr>
          <w:rFonts w:hint="eastAsia"/>
          <w:b/>
          <w:sz w:val="21"/>
          <w:szCs w:val="21"/>
        </w:rPr>
        <w:t>、</w:t>
      </w:r>
      <w:r>
        <w:rPr>
          <w:rFonts w:hint="eastAsia"/>
          <w:b/>
          <w:sz w:val="21"/>
        </w:rPr>
        <w:t>合同金额</w:t>
      </w:r>
    </w:p>
    <w:p>
      <w:pPr>
        <w:pStyle w:val="373"/>
        <w:ind w:left="0" w:leftChars="0" w:firstLine="420" w:firstLineChars="200"/>
        <w:rPr>
          <w:sz w:val="21"/>
        </w:rPr>
      </w:pPr>
      <w:r>
        <w:rPr>
          <w:rFonts w:hint="eastAsia"/>
          <w:sz w:val="21"/>
        </w:rPr>
        <w:t>合同金额为</w:t>
      </w:r>
      <w:r>
        <w:rPr>
          <w:rFonts w:hint="eastAsia"/>
          <w:sz w:val="21"/>
          <w:lang w:eastAsia="zh-CN"/>
        </w:rPr>
        <w:t>（</w:t>
      </w:r>
      <w:r>
        <w:rPr>
          <w:rFonts w:hint="eastAsia"/>
          <w:sz w:val="21"/>
        </w:rPr>
        <w:t>大写</w:t>
      </w:r>
      <w:r>
        <w:rPr>
          <w:rFonts w:hint="eastAsia"/>
          <w:sz w:val="21"/>
          <w:lang w:eastAsia="zh-CN"/>
        </w:rPr>
        <w:t>）</w:t>
      </w:r>
      <w:r>
        <w:rPr>
          <w:rFonts w:hint="eastAsia"/>
          <w:sz w:val="21"/>
        </w:rPr>
        <w:t>：</w:t>
      </w:r>
      <w:r>
        <w:rPr>
          <w:rFonts w:hint="eastAsia"/>
          <w:sz w:val="21"/>
          <w:u w:val="single"/>
        </w:rPr>
        <w:t xml:space="preserve"> </w:t>
      </w:r>
      <w:r>
        <w:rPr>
          <w:sz w:val="21"/>
          <w:u w:val="single"/>
        </w:rPr>
        <w:t xml:space="preserve">   </w:t>
      </w:r>
      <w:r>
        <w:rPr>
          <w:rFonts w:hint="eastAsia"/>
          <w:sz w:val="21"/>
          <w:u w:val="single"/>
        </w:rPr>
        <w:t xml:space="preserve"> </w:t>
      </w:r>
      <w:r>
        <w:rPr>
          <w:sz w:val="21"/>
          <w:u w:val="single"/>
        </w:rPr>
        <w:t xml:space="preserve">   </w:t>
      </w:r>
      <w:r>
        <w:rPr>
          <w:rFonts w:hint="eastAsia"/>
          <w:sz w:val="21"/>
          <w:u w:val="single"/>
        </w:rPr>
        <w:t xml:space="preserve"> </w:t>
      </w:r>
      <w:r>
        <w:rPr>
          <w:sz w:val="21"/>
          <w:u w:val="single"/>
        </w:rPr>
        <w:t xml:space="preserve">   </w:t>
      </w:r>
      <w:r>
        <w:rPr>
          <w:sz w:val="21"/>
        </w:rPr>
        <w:t>元</w:t>
      </w:r>
      <w:r>
        <w:rPr>
          <w:rFonts w:hint="eastAsia"/>
          <w:sz w:val="21"/>
          <w:lang w:eastAsia="zh-CN"/>
        </w:rPr>
        <w:t>（</w:t>
      </w:r>
      <w:r>
        <w:rPr>
          <w:sz w:val="21"/>
        </w:rPr>
        <w:t>￥</w:t>
      </w:r>
      <w:r>
        <w:rPr>
          <w:rFonts w:hint="eastAsia"/>
          <w:sz w:val="21"/>
          <w:u w:val="single"/>
        </w:rPr>
        <w:t xml:space="preserve"> </w:t>
      </w:r>
      <w:r>
        <w:rPr>
          <w:sz w:val="21"/>
          <w:u w:val="single"/>
        </w:rPr>
        <w:t xml:space="preserve">   </w:t>
      </w:r>
      <w:r>
        <w:rPr>
          <w:rFonts w:hint="eastAsia"/>
          <w:sz w:val="21"/>
          <w:u w:val="single"/>
        </w:rPr>
        <w:t xml:space="preserve"> </w:t>
      </w:r>
      <w:r>
        <w:rPr>
          <w:sz w:val="21"/>
          <w:u w:val="single"/>
        </w:rPr>
        <w:t xml:space="preserve">   </w:t>
      </w:r>
      <w:r>
        <w:rPr>
          <w:sz w:val="21"/>
        </w:rPr>
        <w:t>元</w:t>
      </w:r>
      <w:r>
        <w:rPr>
          <w:rFonts w:hint="eastAsia"/>
          <w:sz w:val="21"/>
          <w:lang w:eastAsia="zh-CN"/>
        </w:rPr>
        <w:t>）</w:t>
      </w:r>
      <w:r>
        <w:rPr>
          <w:sz w:val="21"/>
        </w:rPr>
        <w:t>人民币。</w:t>
      </w:r>
    </w:p>
    <w:p>
      <w:pPr>
        <w:pStyle w:val="373"/>
        <w:ind w:left="0" w:leftChars="0" w:firstLine="422" w:firstLineChars="200"/>
        <w:rPr>
          <w:b/>
          <w:sz w:val="21"/>
        </w:rPr>
      </w:pPr>
      <w:r>
        <w:rPr>
          <w:rFonts w:hint="eastAsia"/>
          <w:b/>
          <w:sz w:val="21"/>
        </w:rPr>
        <w:t>第二条、服务内容及具体要求</w:t>
      </w:r>
    </w:p>
    <w:p>
      <w:pPr>
        <w:pStyle w:val="373"/>
        <w:ind w:left="0" w:leftChars="0" w:firstLine="420" w:firstLineChars="200"/>
        <w:rPr>
          <w:sz w:val="21"/>
        </w:rPr>
      </w:pPr>
      <w:r>
        <w:rPr>
          <w:rFonts w:hint="eastAsia"/>
          <w:sz w:val="21"/>
        </w:rPr>
        <w:t>服务内容：提供1间刑事法庭的庭审设备软硬件设备及基础配套、1套分布式存储系统及支撑网络设备，详见《附件：合同清单》。</w:t>
      </w:r>
    </w:p>
    <w:p>
      <w:pPr>
        <w:pStyle w:val="373"/>
        <w:ind w:left="0" w:leftChars="0" w:firstLine="420" w:firstLineChars="200"/>
        <w:rPr>
          <w:sz w:val="21"/>
        </w:rPr>
      </w:pPr>
      <w:r>
        <w:rPr>
          <w:rFonts w:hint="eastAsia"/>
          <w:sz w:val="21"/>
        </w:rPr>
        <w:t>服务内容要求：在服务期限内，乙方应按照双方约定的服务标准，提供本合同项下的相关科技法庭相关服务，及时解决本项目所涉及的软硬件设备运行中发生的问题，保障科技法庭的可用性和稳定性。</w:t>
      </w:r>
    </w:p>
    <w:p>
      <w:pPr>
        <w:pStyle w:val="373"/>
        <w:ind w:left="0" w:leftChars="0" w:firstLine="422" w:firstLineChars="200"/>
        <w:rPr>
          <w:b/>
          <w:sz w:val="21"/>
        </w:rPr>
      </w:pPr>
      <w:r>
        <w:rPr>
          <w:rFonts w:hint="eastAsia"/>
          <w:b/>
          <w:sz w:val="21"/>
        </w:rPr>
        <w:t>第三条、服务范围</w:t>
      </w:r>
    </w:p>
    <w:p>
      <w:pPr>
        <w:pStyle w:val="373"/>
        <w:ind w:left="0" w:leftChars="0" w:firstLine="422" w:firstLineChars="200"/>
        <w:rPr>
          <w:b/>
          <w:sz w:val="21"/>
        </w:rPr>
      </w:pPr>
      <w:r>
        <w:rPr>
          <w:b/>
          <w:sz w:val="21"/>
        </w:rPr>
        <w:t>1．项目部署服务</w:t>
      </w:r>
    </w:p>
    <w:p>
      <w:pPr>
        <w:pStyle w:val="373"/>
        <w:ind w:left="0" w:leftChars="0" w:firstLine="420" w:firstLineChars="200"/>
        <w:rPr>
          <w:sz w:val="21"/>
        </w:rPr>
      </w:pPr>
      <w:r>
        <w:rPr>
          <w:rFonts w:hint="eastAsia"/>
          <w:sz w:val="21"/>
        </w:rPr>
        <w:t>部署工期在2</w:t>
      </w:r>
      <w:r>
        <w:rPr>
          <w:sz w:val="21"/>
        </w:rPr>
        <w:t>0个</w:t>
      </w:r>
      <w:r>
        <w:rPr>
          <w:rFonts w:hint="eastAsia"/>
          <w:sz w:val="21"/>
        </w:rPr>
        <w:t>日历</w:t>
      </w:r>
      <w:r>
        <w:rPr>
          <w:sz w:val="21"/>
        </w:rPr>
        <w:t>日内，除不可抗力外，不得因工程复杂性等因素顺延工期。若因采购人需求有变或合同约定外情况须延期的，经双方</w:t>
      </w:r>
      <w:r>
        <w:rPr>
          <w:rFonts w:hint="eastAsia"/>
          <w:sz w:val="21"/>
        </w:rPr>
        <w:t>协商后可变动调整工期。</w:t>
      </w:r>
    </w:p>
    <w:p>
      <w:pPr>
        <w:pStyle w:val="373"/>
        <w:ind w:left="0" w:leftChars="0" w:firstLine="420" w:firstLineChars="200"/>
        <w:rPr>
          <w:sz w:val="21"/>
        </w:rPr>
      </w:pPr>
      <w:r>
        <w:rPr>
          <w:rFonts w:hint="eastAsia"/>
          <w:sz w:val="21"/>
        </w:rPr>
        <w:t>乙方应在上述期限内完成本项目的深化、设备材料采购、管线敷设、设备安装、调试、培训等工作，通过甲方验收合格。</w:t>
      </w:r>
    </w:p>
    <w:p>
      <w:pPr>
        <w:pStyle w:val="373"/>
        <w:ind w:left="0" w:leftChars="0" w:firstLine="420" w:firstLineChars="200"/>
        <w:rPr>
          <w:sz w:val="21"/>
        </w:rPr>
      </w:pPr>
      <w:r>
        <w:rPr>
          <w:rFonts w:hint="eastAsia"/>
          <w:sz w:val="21"/>
        </w:rPr>
        <w:t>验收由甲方组建的项目验收小组负责。</w:t>
      </w:r>
    </w:p>
    <w:p>
      <w:pPr>
        <w:pStyle w:val="373"/>
        <w:ind w:left="0" w:leftChars="0" w:firstLine="420" w:firstLineChars="200"/>
        <w:rPr>
          <w:sz w:val="21"/>
        </w:rPr>
      </w:pPr>
      <w:r>
        <w:rPr>
          <w:rFonts w:hint="eastAsia"/>
          <w:sz w:val="21"/>
        </w:rPr>
        <w:t>验收提供资料：验收前，乙方须提供产品有关产品说明书、技术文件、资料、设计及施工图及安装、验收报告等文档汇集成册交付使用单位。</w:t>
      </w:r>
    </w:p>
    <w:p>
      <w:pPr>
        <w:pStyle w:val="373"/>
        <w:ind w:left="0" w:leftChars="0" w:firstLine="420" w:firstLineChars="200"/>
        <w:rPr>
          <w:sz w:val="21"/>
        </w:rPr>
      </w:pPr>
      <w:r>
        <w:rPr>
          <w:rFonts w:hint="eastAsia"/>
          <w:sz w:val="21"/>
        </w:rPr>
        <w:t>设备属于《中华人民共和国实施强制性产品认证的产品目录》、《节能产品政府采购品目清单》强制采购范围的，进场施工前需提供证书复印件。</w:t>
      </w:r>
    </w:p>
    <w:p>
      <w:pPr>
        <w:pStyle w:val="373"/>
        <w:ind w:left="0" w:leftChars="0" w:firstLine="422" w:firstLineChars="200"/>
        <w:rPr>
          <w:b/>
          <w:sz w:val="21"/>
        </w:rPr>
      </w:pPr>
      <w:r>
        <w:rPr>
          <w:b/>
          <w:sz w:val="21"/>
        </w:rPr>
        <w:t>2.项目</w:t>
      </w:r>
      <w:r>
        <w:rPr>
          <w:rFonts w:hint="eastAsia"/>
          <w:b/>
          <w:sz w:val="21"/>
        </w:rPr>
        <w:t>租赁期</w:t>
      </w:r>
      <w:r>
        <w:rPr>
          <w:b/>
          <w:sz w:val="21"/>
        </w:rPr>
        <w:t>服务</w:t>
      </w:r>
    </w:p>
    <w:p>
      <w:pPr>
        <w:pStyle w:val="373"/>
        <w:ind w:left="0" w:leftChars="0" w:firstLine="420" w:firstLineChars="200"/>
        <w:rPr>
          <w:sz w:val="21"/>
        </w:rPr>
      </w:pPr>
      <w:r>
        <w:rPr>
          <w:rFonts w:hint="eastAsia"/>
          <w:sz w:val="21"/>
        </w:rPr>
        <w:t>自项目验收合格后，开始进入租赁服务期阶段，在服务期内乙方免费提供系统软硬件升级、巡检、技术咨询服务和技术保障运维服务。</w:t>
      </w:r>
    </w:p>
    <w:p>
      <w:pPr>
        <w:pStyle w:val="373"/>
        <w:ind w:left="0" w:leftChars="0" w:firstLine="420" w:firstLineChars="200"/>
        <w:rPr>
          <w:sz w:val="21"/>
        </w:rPr>
      </w:pPr>
      <w:r>
        <w:rPr>
          <w:sz w:val="21"/>
        </w:rPr>
        <w:t>乙方应</w:t>
      </w:r>
      <w:r>
        <w:rPr>
          <w:rFonts w:hint="eastAsia"/>
          <w:sz w:val="21"/>
        </w:rPr>
        <w:t>确保系统在租赁服务期间稳定运行。在服务期内，乙方须提供常设售后服务电话热线、远程及现场支持服务和免费维修支持。对甲方的服务通知，乙方在接报后即时响应，不能远程解决的，应在接到通知后</w:t>
      </w:r>
      <w:r>
        <w:rPr>
          <w:sz w:val="21"/>
        </w:rPr>
        <w:t>4小时内到达现场，24小时内处理完毕。</w:t>
      </w:r>
      <w:r>
        <w:rPr>
          <w:rFonts w:hint="eastAsia"/>
          <w:sz w:val="21"/>
        </w:rPr>
        <w:t>若在</w:t>
      </w:r>
      <w:r>
        <w:rPr>
          <w:sz w:val="21"/>
        </w:rPr>
        <w:t xml:space="preserve"> 24 小时内仍未能有效解决，乙方须免费提供同档次的设备予甲方临时使用。</w:t>
      </w:r>
    </w:p>
    <w:p>
      <w:pPr>
        <w:pStyle w:val="373"/>
        <w:ind w:left="0" w:leftChars="0" w:firstLine="422" w:firstLineChars="200"/>
        <w:rPr>
          <w:b/>
          <w:sz w:val="21"/>
        </w:rPr>
      </w:pPr>
      <w:r>
        <w:rPr>
          <w:rFonts w:hint="eastAsia"/>
          <w:b/>
          <w:sz w:val="21"/>
        </w:rPr>
        <w:t>第四条、甲方乙方的权利和义务</w:t>
      </w:r>
    </w:p>
    <w:p>
      <w:pPr>
        <w:pStyle w:val="373"/>
        <w:ind w:left="0" w:leftChars="0" w:firstLine="422" w:firstLineChars="200"/>
        <w:rPr>
          <w:b/>
          <w:sz w:val="21"/>
        </w:rPr>
      </w:pPr>
      <w:r>
        <w:rPr>
          <w:b/>
          <w:sz w:val="21"/>
        </w:rPr>
        <w:t>1.甲方的权利和义务</w:t>
      </w:r>
    </w:p>
    <w:p>
      <w:pPr>
        <w:pStyle w:val="373"/>
        <w:ind w:left="0" w:leftChars="0" w:firstLine="420" w:firstLineChars="200"/>
        <w:rPr>
          <w:sz w:val="21"/>
        </w:rPr>
      </w:pPr>
      <w:r>
        <w:rPr>
          <w:rFonts w:hint="eastAsia"/>
          <w:sz w:val="21"/>
          <w:lang w:eastAsia="zh-CN"/>
        </w:rPr>
        <w:t>（</w:t>
      </w:r>
      <w:r>
        <w:rPr>
          <w:sz w:val="21"/>
        </w:rPr>
        <w:t>1</w:t>
      </w:r>
      <w:r>
        <w:rPr>
          <w:rFonts w:hint="eastAsia"/>
          <w:sz w:val="21"/>
          <w:lang w:eastAsia="zh-CN"/>
        </w:rPr>
        <w:t>）</w:t>
      </w:r>
      <w:r>
        <w:rPr>
          <w:sz w:val="21"/>
        </w:rPr>
        <w:t>负责提供服务场地，并提供服务所需要的资料和数据；</w:t>
      </w:r>
    </w:p>
    <w:p>
      <w:pPr>
        <w:pStyle w:val="373"/>
        <w:ind w:left="0" w:leftChars="0" w:firstLine="420" w:firstLineChars="200"/>
        <w:rPr>
          <w:sz w:val="21"/>
        </w:rPr>
      </w:pPr>
      <w:r>
        <w:rPr>
          <w:rFonts w:hint="eastAsia"/>
          <w:sz w:val="21"/>
          <w:lang w:eastAsia="zh-CN"/>
        </w:rPr>
        <w:t>（</w:t>
      </w:r>
      <w:r>
        <w:rPr>
          <w:sz w:val="21"/>
        </w:rPr>
        <w:t>2</w:t>
      </w:r>
      <w:r>
        <w:rPr>
          <w:rFonts w:hint="eastAsia"/>
          <w:sz w:val="21"/>
          <w:lang w:eastAsia="zh-CN"/>
        </w:rPr>
        <w:t>）</w:t>
      </w:r>
      <w:r>
        <w:rPr>
          <w:sz w:val="21"/>
        </w:rPr>
        <w:t>负责协调各相关部门配合开展工作，提供</w:t>
      </w:r>
      <w:r>
        <w:rPr>
          <w:rFonts w:hint="eastAsia"/>
          <w:sz w:val="21"/>
        </w:rPr>
        <w:t>项目需求</w:t>
      </w:r>
      <w:r>
        <w:rPr>
          <w:sz w:val="21"/>
        </w:rPr>
        <w:t>咨询支持；</w:t>
      </w:r>
    </w:p>
    <w:p>
      <w:pPr>
        <w:pStyle w:val="373"/>
        <w:ind w:left="0" w:leftChars="0" w:firstLine="420" w:firstLineChars="200"/>
        <w:rPr>
          <w:sz w:val="21"/>
        </w:rPr>
      </w:pPr>
      <w:r>
        <w:rPr>
          <w:rFonts w:hint="eastAsia"/>
          <w:sz w:val="21"/>
          <w:lang w:eastAsia="zh-CN"/>
        </w:rPr>
        <w:t>（</w:t>
      </w:r>
      <w:r>
        <w:rPr>
          <w:sz w:val="21"/>
        </w:rPr>
        <w:t>3</w:t>
      </w:r>
      <w:r>
        <w:rPr>
          <w:rFonts w:hint="eastAsia"/>
          <w:sz w:val="21"/>
          <w:lang w:eastAsia="zh-CN"/>
        </w:rPr>
        <w:t>）</w:t>
      </w:r>
      <w:r>
        <w:rPr>
          <w:sz w:val="21"/>
        </w:rPr>
        <w:t>负责对乙方人员的</w:t>
      </w:r>
      <w:r>
        <w:rPr>
          <w:rFonts w:hint="eastAsia"/>
          <w:sz w:val="21"/>
        </w:rPr>
        <w:t>实施</w:t>
      </w:r>
      <w:r>
        <w:rPr>
          <w:sz w:val="21"/>
        </w:rPr>
        <w:t>工作</w:t>
      </w:r>
      <w:r>
        <w:rPr>
          <w:rFonts w:hint="eastAsia"/>
          <w:sz w:val="21"/>
        </w:rPr>
        <w:t>提供进场手续安装和施工配合</w:t>
      </w:r>
      <w:r>
        <w:rPr>
          <w:sz w:val="21"/>
        </w:rPr>
        <w:t>；</w:t>
      </w:r>
    </w:p>
    <w:p>
      <w:pPr>
        <w:pStyle w:val="373"/>
        <w:ind w:left="0" w:leftChars="0" w:firstLine="420" w:firstLineChars="200"/>
        <w:rPr>
          <w:sz w:val="21"/>
        </w:rPr>
      </w:pPr>
      <w:r>
        <w:rPr>
          <w:rFonts w:hint="eastAsia"/>
          <w:sz w:val="21"/>
          <w:lang w:eastAsia="zh-CN"/>
        </w:rPr>
        <w:t>（</w:t>
      </w:r>
      <w:r>
        <w:rPr>
          <w:sz w:val="21"/>
        </w:rPr>
        <w:t>4</w:t>
      </w:r>
      <w:r>
        <w:rPr>
          <w:rFonts w:hint="eastAsia"/>
          <w:sz w:val="21"/>
          <w:lang w:eastAsia="zh-CN"/>
        </w:rPr>
        <w:t>）</w:t>
      </w:r>
      <w:r>
        <w:rPr>
          <w:sz w:val="21"/>
        </w:rPr>
        <w:t>配合乙方开展系统培训、业务培训等事项；</w:t>
      </w:r>
    </w:p>
    <w:p>
      <w:pPr>
        <w:pStyle w:val="373"/>
        <w:ind w:left="0" w:leftChars="0" w:firstLine="420" w:firstLineChars="200"/>
        <w:rPr>
          <w:sz w:val="21"/>
        </w:rPr>
      </w:pPr>
      <w:r>
        <w:rPr>
          <w:rFonts w:hint="eastAsia"/>
          <w:sz w:val="21"/>
          <w:lang w:eastAsia="zh-CN"/>
        </w:rPr>
        <w:t>（</w:t>
      </w:r>
      <w:r>
        <w:rPr>
          <w:sz w:val="21"/>
        </w:rPr>
        <w:t>5</w:t>
      </w:r>
      <w:r>
        <w:rPr>
          <w:rFonts w:hint="eastAsia"/>
          <w:sz w:val="21"/>
          <w:lang w:eastAsia="zh-CN"/>
        </w:rPr>
        <w:t>）</w:t>
      </w:r>
      <w:r>
        <w:rPr>
          <w:sz w:val="21"/>
        </w:rPr>
        <w:t>按约定时间向乙方支付服务费用；</w:t>
      </w:r>
    </w:p>
    <w:p>
      <w:pPr>
        <w:pStyle w:val="373"/>
        <w:ind w:left="0" w:leftChars="0" w:firstLine="420" w:firstLineChars="200"/>
        <w:rPr>
          <w:sz w:val="21"/>
        </w:rPr>
      </w:pPr>
      <w:r>
        <w:rPr>
          <w:rFonts w:hint="eastAsia"/>
          <w:sz w:val="21"/>
          <w:lang w:eastAsia="zh-CN"/>
        </w:rPr>
        <w:t>（</w:t>
      </w:r>
      <w:r>
        <w:rPr>
          <w:sz w:val="21"/>
        </w:rPr>
        <w:t>6</w:t>
      </w:r>
      <w:r>
        <w:rPr>
          <w:rFonts w:hint="eastAsia"/>
          <w:sz w:val="21"/>
          <w:lang w:eastAsia="zh-CN"/>
        </w:rPr>
        <w:t>）</w:t>
      </w:r>
      <w:r>
        <w:rPr>
          <w:sz w:val="21"/>
        </w:rPr>
        <w:t>对乙方工作进行监督管理。</w:t>
      </w:r>
    </w:p>
    <w:p>
      <w:pPr>
        <w:pStyle w:val="373"/>
        <w:ind w:left="0" w:leftChars="0" w:firstLine="422" w:firstLineChars="200"/>
        <w:rPr>
          <w:b/>
          <w:sz w:val="21"/>
        </w:rPr>
      </w:pPr>
      <w:r>
        <w:rPr>
          <w:b/>
          <w:sz w:val="21"/>
        </w:rPr>
        <w:t>2.乙方的权利和义务</w:t>
      </w:r>
    </w:p>
    <w:p>
      <w:pPr>
        <w:pStyle w:val="373"/>
        <w:ind w:left="0" w:leftChars="0" w:firstLine="420" w:firstLineChars="200"/>
        <w:rPr>
          <w:sz w:val="21"/>
        </w:rPr>
      </w:pPr>
      <w:r>
        <w:rPr>
          <w:rFonts w:hint="eastAsia"/>
          <w:sz w:val="21"/>
          <w:lang w:eastAsia="zh-CN"/>
        </w:rPr>
        <w:t>（</w:t>
      </w:r>
      <w:r>
        <w:rPr>
          <w:sz w:val="21"/>
        </w:rPr>
        <w:t>1</w:t>
      </w:r>
      <w:r>
        <w:rPr>
          <w:rFonts w:hint="eastAsia"/>
          <w:sz w:val="21"/>
          <w:lang w:eastAsia="zh-CN"/>
        </w:rPr>
        <w:t>）</w:t>
      </w:r>
      <w:r>
        <w:rPr>
          <w:sz w:val="21"/>
        </w:rPr>
        <w:t>乙方提供部署服务，在甲方指定的地点或场所部署本项目所需的主要设备，保证法庭庭审期间正常使用；</w:t>
      </w:r>
    </w:p>
    <w:p>
      <w:pPr>
        <w:pStyle w:val="373"/>
        <w:ind w:left="0" w:leftChars="0" w:firstLine="420" w:firstLineChars="200"/>
        <w:rPr>
          <w:sz w:val="21"/>
        </w:rPr>
      </w:pPr>
      <w:r>
        <w:rPr>
          <w:rFonts w:hint="eastAsia"/>
          <w:sz w:val="21"/>
          <w:lang w:eastAsia="zh-CN"/>
        </w:rPr>
        <w:t>（</w:t>
      </w:r>
      <w:r>
        <w:rPr>
          <w:sz w:val="21"/>
        </w:rPr>
        <w:t>2</w:t>
      </w:r>
      <w:r>
        <w:rPr>
          <w:rFonts w:hint="eastAsia"/>
          <w:sz w:val="21"/>
          <w:lang w:eastAsia="zh-CN"/>
        </w:rPr>
        <w:t>）</w:t>
      </w:r>
      <w:r>
        <w:rPr>
          <w:sz w:val="21"/>
        </w:rPr>
        <w:t>乙方派遣相应的专业技术人员在厂家指导下进行安装、调试，对乙方工作人员在安装、调试、交付过程中发生的生产安全事故，甲</w:t>
      </w:r>
      <w:r>
        <w:rPr>
          <w:rFonts w:hint="eastAsia"/>
          <w:sz w:val="21"/>
        </w:rPr>
        <w:t>方不承担任何法律责任；</w:t>
      </w:r>
    </w:p>
    <w:p>
      <w:pPr>
        <w:pStyle w:val="373"/>
        <w:ind w:left="0" w:leftChars="0" w:firstLine="420" w:firstLineChars="200"/>
        <w:rPr>
          <w:sz w:val="21"/>
        </w:rPr>
      </w:pPr>
      <w:r>
        <w:rPr>
          <w:rFonts w:hint="eastAsia"/>
          <w:sz w:val="21"/>
          <w:lang w:eastAsia="zh-CN"/>
        </w:rPr>
        <w:t>（</w:t>
      </w:r>
      <w:r>
        <w:rPr>
          <w:sz w:val="21"/>
        </w:rPr>
        <w:t>3</w:t>
      </w:r>
      <w:r>
        <w:rPr>
          <w:rFonts w:hint="eastAsia"/>
          <w:sz w:val="21"/>
          <w:lang w:eastAsia="zh-CN"/>
        </w:rPr>
        <w:t>）</w:t>
      </w:r>
      <w:r>
        <w:rPr>
          <w:sz w:val="21"/>
        </w:rPr>
        <w:t>乙方须在30个</w:t>
      </w:r>
      <w:r>
        <w:rPr>
          <w:rFonts w:hint="eastAsia"/>
          <w:sz w:val="21"/>
        </w:rPr>
        <w:t>日历</w:t>
      </w:r>
      <w:r>
        <w:rPr>
          <w:sz w:val="21"/>
        </w:rPr>
        <w:t>日内完成部署服务工作并通过甲方验收，双方验收标准按照采购文件的服务要求、技术参数要求及最高人民法院</w:t>
      </w:r>
      <w:r>
        <w:rPr>
          <w:rFonts w:hint="eastAsia"/>
          <w:sz w:val="21"/>
        </w:rPr>
        <w:t>发布的《科技法庭信息化建设规范》</w:t>
      </w:r>
      <w:r>
        <w:rPr>
          <w:rFonts w:hint="eastAsia"/>
          <w:sz w:val="21"/>
          <w:lang w:eastAsia="zh-CN"/>
        </w:rPr>
        <w:t>（</w:t>
      </w:r>
      <w:r>
        <w:rPr>
          <w:sz w:val="21"/>
        </w:rPr>
        <w:t>FYB/T54001-2021</w:t>
      </w:r>
      <w:r>
        <w:rPr>
          <w:rFonts w:hint="eastAsia"/>
          <w:sz w:val="21"/>
          <w:lang w:eastAsia="zh-CN"/>
        </w:rPr>
        <w:t>）</w:t>
      </w:r>
      <w:r>
        <w:rPr>
          <w:sz w:val="21"/>
        </w:rPr>
        <w:t>、《智能庭审应用技术要求》</w:t>
      </w:r>
      <w:r>
        <w:rPr>
          <w:rFonts w:hint="eastAsia"/>
          <w:sz w:val="21"/>
          <w:lang w:eastAsia="zh-CN"/>
        </w:rPr>
        <w:t>（</w:t>
      </w:r>
      <w:r>
        <w:rPr>
          <w:sz w:val="21"/>
        </w:rPr>
        <w:t>FYB/T52038-2020</w:t>
      </w:r>
      <w:r>
        <w:rPr>
          <w:rFonts w:hint="eastAsia"/>
          <w:sz w:val="21"/>
          <w:lang w:eastAsia="zh-CN"/>
        </w:rPr>
        <w:t>）</w:t>
      </w:r>
      <w:r>
        <w:rPr>
          <w:sz w:val="21"/>
        </w:rPr>
        <w:t>等标准进行验收；</w:t>
      </w:r>
    </w:p>
    <w:p>
      <w:pPr>
        <w:pStyle w:val="373"/>
        <w:ind w:left="0" w:leftChars="0" w:firstLine="420" w:firstLineChars="200"/>
        <w:rPr>
          <w:sz w:val="21"/>
        </w:rPr>
      </w:pPr>
      <w:r>
        <w:rPr>
          <w:rFonts w:hint="eastAsia"/>
          <w:sz w:val="21"/>
          <w:lang w:eastAsia="zh-CN"/>
        </w:rPr>
        <w:t>（</w:t>
      </w:r>
      <w:r>
        <w:rPr>
          <w:sz w:val="21"/>
        </w:rPr>
        <w:t>4</w:t>
      </w:r>
      <w:r>
        <w:rPr>
          <w:rFonts w:hint="eastAsia"/>
          <w:sz w:val="21"/>
          <w:lang w:eastAsia="zh-CN"/>
        </w:rPr>
        <w:t>）</w:t>
      </w:r>
      <w:r>
        <w:rPr>
          <w:sz w:val="21"/>
        </w:rPr>
        <w:t>乙方提供的软件硬基础设施租赁及运维服务期限为3年，服务期内乙方提供系统所需一切的软硬件升级、巡检、技术咨询服务和技术</w:t>
      </w:r>
      <w:r>
        <w:rPr>
          <w:rFonts w:hint="eastAsia"/>
          <w:sz w:val="21"/>
        </w:rPr>
        <w:t>保障运维服务，若因甲方原因拒绝配合或延误接受服务的，视为乙方已服务到位。</w:t>
      </w:r>
    </w:p>
    <w:p>
      <w:pPr>
        <w:pStyle w:val="373"/>
        <w:ind w:left="0" w:leftChars="0" w:firstLine="422" w:firstLineChars="200"/>
        <w:rPr>
          <w:rFonts w:hint="eastAsia" w:eastAsia="宋体"/>
          <w:b/>
          <w:sz w:val="21"/>
          <w:lang w:eastAsia="zh-CN"/>
        </w:rPr>
      </w:pPr>
      <w:r>
        <w:rPr>
          <w:rFonts w:hint="eastAsia"/>
          <w:b/>
          <w:sz w:val="21"/>
        </w:rPr>
        <w:t>第五条、服务期间</w:t>
      </w:r>
      <w:r>
        <w:rPr>
          <w:rFonts w:hint="eastAsia"/>
          <w:b/>
          <w:sz w:val="21"/>
          <w:lang w:eastAsia="zh-CN"/>
        </w:rPr>
        <w:t>（</w:t>
      </w:r>
      <w:r>
        <w:rPr>
          <w:rFonts w:hint="eastAsia"/>
          <w:b/>
          <w:sz w:val="21"/>
        </w:rPr>
        <w:t>项目完成期限</w:t>
      </w:r>
      <w:r>
        <w:rPr>
          <w:rFonts w:hint="eastAsia"/>
          <w:b/>
          <w:sz w:val="21"/>
          <w:lang w:eastAsia="zh-CN"/>
        </w:rPr>
        <w:t>）</w:t>
      </w:r>
    </w:p>
    <w:p>
      <w:pPr>
        <w:pStyle w:val="373"/>
        <w:ind w:left="0" w:leftChars="0" w:firstLine="420" w:firstLineChars="200"/>
        <w:rPr>
          <w:sz w:val="21"/>
        </w:rPr>
      </w:pPr>
      <w:r>
        <w:rPr>
          <w:rFonts w:hint="eastAsia"/>
          <w:sz w:val="21"/>
          <w:lang w:eastAsia="zh-CN"/>
        </w:rPr>
        <w:t>（</w:t>
      </w:r>
      <w:r>
        <w:rPr>
          <w:sz w:val="21"/>
        </w:rPr>
        <w:t>1</w:t>
      </w:r>
      <w:r>
        <w:rPr>
          <w:rFonts w:hint="eastAsia"/>
          <w:sz w:val="21"/>
          <w:lang w:eastAsia="zh-CN"/>
        </w:rPr>
        <w:t>）</w:t>
      </w:r>
      <w:r>
        <w:rPr>
          <w:sz w:val="21"/>
        </w:rPr>
        <w:t>委托服务期间自</w:t>
      </w:r>
      <w:r>
        <w:rPr>
          <w:rFonts w:hint="eastAsia"/>
          <w:sz w:val="21"/>
          <w:u w:val="single"/>
        </w:rPr>
        <w:t xml:space="preserve"> </w:t>
      </w:r>
      <w:r>
        <w:rPr>
          <w:sz w:val="21"/>
          <w:u w:val="single"/>
        </w:rPr>
        <w:t xml:space="preserve">   </w:t>
      </w:r>
      <w:r>
        <w:rPr>
          <w:sz w:val="21"/>
        </w:rPr>
        <w:t>年</w:t>
      </w:r>
      <w:r>
        <w:rPr>
          <w:rFonts w:hint="eastAsia"/>
          <w:sz w:val="21"/>
          <w:u w:val="single"/>
        </w:rPr>
        <w:t xml:space="preserve"> </w:t>
      </w:r>
      <w:r>
        <w:rPr>
          <w:sz w:val="21"/>
          <w:u w:val="single"/>
        </w:rPr>
        <w:t xml:space="preserve">   </w:t>
      </w:r>
      <w:r>
        <w:rPr>
          <w:sz w:val="21"/>
        </w:rPr>
        <w:t>月</w:t>
      </w:r>
      <w:r>
        <w:rPr>
          <w:rFonts w:hint="eastAsia"/>
          <w:sz w:val="21"/>
          <w:u w:val="single"/>
        </w:rPr>
        <w:t xml:space="preserve"> </w:t>
      </w:r>
      <w:r>
        <w:rPr>
          <w:sz w:val="21"/>
          <w:u w:val="single"/>
        </w:rPr>
        <w:t xml:space="preserve">    </w:t>
      </w:r>
      <w:r>
        <w:rPr>
          <w:rFonts w:hint="eastAsia"/>
          <w:sz w:val="21"/>
        </w:rPr>
        <w:t>日</w:t>
      </w:r>
      <w:r>
        <w:rPr>
          <w:sz w:val="21"/>
        </w:rPr>
        <w:t>至</w:t>
      </w:r>
      <w:r>
        <w:rPr>
          <w:rFonts w:hint="eastAsia"/>
          <w:sz w:val="21"/>
          <w:u w:val="single"/>
        </w:rPr>
        <w:t xml:space="preserve"> </w:t>
      </w:r>
      <w:r>
        <w:rPr>
          <w:sz w:val="21"/>
          <w:u w:val="single"/>
        </w:rPr>
        <w:t xml:space="preserve">   </w:t>
      </w:r>
      <w:r>
        <w:rPr>
          <w:sz w:val="21"/>
        </w:rPr>
        <w:t>年</w:t>
      </w:r>
      <w:r>
        <w:rPr>
          <w:rFonts w:hint="eastAsia"/>
          <w:sz w:val="21"/>
          <w:u w:val="single"/>
        </w:rPr>
        <w:t xml:space="preserve"> </w:t>
      </w:r>
      <w:r>
        <w:rPr>
          <w:sz w:val="21"/>
          <w:u w:val="single"/>
        </w:rPr>
        <w:t xml:space="preserve">   </w:t>
      </w:r>
      <w:r>
        <w:rPr>
          <w:sz w:val="21"/>
        </w:rPr>
        <w:t>月</w:t>
      </w:r>
      <w:r>
        <w:rPr>
          <w:rFonts w:hint="eastAsia"/>
          <w:sz w:val="21"/>
          <w:u w:val="single"/>
        </w:rPr>
        <w:t xml:space="preserve"> </w:t>
      </w:r>
      <w:r>
        <w:rPr>
          <w:sz w:val="21"/>
          <w:u w:val="single"/>
        </w:rPr>
        <w:t xml:space="preserve">   </w:t>
      </w:r>
      <w:r>
        <w:rPr>
          <w:rFonts w:hint="eastAsia"/>
          <w:sz w:val="21"/>
        </w:rPr>
        <w:t>日</w:t>
      </w:r>
      <w:r>
        <w:rPr>
          <w:sz w:val="21"/>
        </w:rPr>
        <w:t>止。</w:t>
      </w:r>
    </w:p>
    <w:p>
      <w:pPr>
        <w:pStyle w:val="373"/>
        <w:ind w:left="0" w:leftChars="0" w:firstLine="422" w:firstLineChars="200"/>
        <w:rPr>
          <w:b/>
          <w:sz w:val="21"/>
        </w:rPr>
      </w:pPr>
      <w:r>
        <w:rPr>
          <w:rFonts w:hint="eastAsia"/>
          <w:b/>
          <w:sz w:val="21"/>
        </w:rPr>
        <w:t>第六条、付款方式</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lang w:eastAsia="zh-CN"/>
        </w:rPr>
        <w:t>（</w:t>
      </w:r>
      <w:r>
        <w:t>1</w:t>
      </w:r>
      <w:r>
        <w:rPr>
          <w:rFonts w:hint="eastAsia"/>
          <w:lang w:eastAsia="zh-CN"/>
        </w:rPr>
        <w:t>）</w:t>
      </w:r>
      <w:r>
        <w:rPr>
          <w:rFonts w:hint="eastAsia" w:asciiTheme="minorEastAsia" w:hAnsiTheme="minorEastAsia" w:eastAsiaTheme="minorEastAsia"/>
          <w:szCs w:val="21"/>
        </w:rPr>
        <w:t>合同签订之日起</w:t>
      </w:r>
      <w:r>
        <w:rPr>
          <w:rFonts w:asciiTheme="minorEastAsia" w:hAnsiTheme="minorEastAsia" w:eastAsiaTheme="minorEastAsia"/>
          <w:szCs w:val="21"/>
        </w:rPr>
        <w:t>10日内，甲方向乙方支付合同总价的30%；</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lang w:eastAsia="zh-CN"/>
        </w:rPr>
        <w:t>（</w:t>
      </w:r>
      <w:r>
        <w:t>2</w:t>
      </w:r>
      <w:r>
        <w:rPr>
          <w:rFonts w:hint="eastAsia"/>
          <w:lang w:eastAsia="zh-CN"/>
        </w:rPr>
        <w:t>）</w:t>
      </w:r>
      <w:r>
        <w:rPr>
          <w:rFonts w:asciiTheme="minorEastAsia" w:hAnsiTheme="minorEastAsia" w:eastAsiaTheme="minorEastAsia"/>
          <w:szCs w:val="21"/>
        </w:rPr>
        <w:t>主要设备货到现场后10日内，</w:t>
      </w:r>
      <w:r>
        <w:rPr>
          <w:rFonts w:hint="eastAsia" w:asciiTheme="minorEastAsia" w:hAnsiTheme="minorEastAsia" w:eastAsiaTheme="minorEastAsia"/>
          <w:szCs w:val="21"/>
        </w:rPr>
        <w:t>甲方向乙方支付到合同总价的</w:t>
      </w:r>
      <w:r>
        <w:rPr>
          <w:rFonts w:asciiTheme="minorEastAsia" w:hAnsiTheme="minorEastAsia" w:eastAsiaTheme="minorEastAsia"/>
          <w:szCs w:val="21"/>
        </w:rPr>
        <w:t>90%；</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lang w:eastAsia="zh-CN"/>
        </w:rPr>
        <w:t>（</w:t>
      </w:r>
      <w:r>
        <w:t>3</w:t>
      </w:r>
      <w:r>
        <w:rPr>
          <w:rFonts w:hint="eastAsia"/>
          <w:lang w:eastAsia="zh-CN"/>
        </w:rPr>
        <w:t>）</w:t>
      </w:r>
      <w:r>
        <w:rPr>
          <w:rFonts w:hint="eastAsia" w:asciiTheme="minorEastAsia" w:hAnsiTheme="minorEastAsia" w:eastAsiaTheme="minorEastAsia"/>
          <w:szCs w:val="21"/>
        </w:rPr>
        <w:t>项目设备安装调试完成并验收合格后，甲方向乙方支付到合同总价的</w:t>
      </w:r>
      <w:r>
        <w:rPr>
          <w:rFonts w:asciiTheme="minorEastAsia" w:hAnsiTheme="minorEastAsia" w:eastAsiaTheme="minorEastAsia"/>
          <w:szCs w:val="21"/>
        </w:rPr>
        <w:t>100%</w:t>
      </w:r>
      <w:r>
        <w:rPr>
          <w:rFonts w:hint="eastAsia" w:asciiTheme="minorEastAsia" w:hAnsiTheme="minorEastAsia" w:eastAsiaTheme="minorEastAsia"/>
          <w:szCs w:val="21"/>
        </w:rPr>
        <w:t>。</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lang w:eastAsia="zh-CN"/>
        </w:rPr>
        <w:t>（</w:t>
      </w:r>
      <w:r>
        <w:t>4</w:t>
      </w:r>
      <w:r>
        <w:rPr>
          <w:rFonts w:hint="eastAsia"/>
          <w:lang w:eastAsia="zh-CN"/>
        </w:rPr>
        <w:t>）</w:t>
      </w:r>
      <w:r>
        <w:rPr>
          <w:rFonts w:hint="eastAsia" w:asciiTheme="minorEastAsia" w:hAnsiTheme="minorEastAsia" w:eastAsiaTheme="minorEastAsia"/>
          <w:szCs w:val="21"/>
        </w:rPr>
        <w:t>每笔款项支付时，乙方同时向甲方提供相应金额的正式发票。</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lang w:eastAsia="zh-CN"/>
        </w:rPr>
        <w:t>（</w:t>
      </w:r>
      <w:r>
        <w:t>5</w:t>
      </w:r>
      <w:r>
        <w:rPr>
          <w:rFonts w:hint="eastAsia"/>
          <w:lang w:eastAsia="zh-CN"/>
        </w:rPr>
        <w:t>）</w:t>
      </w:r>
      <w:r>
        <w:rPr>
          <w:rFonts w:hint="eastAsia" w:asciiTheme="minorEastAsia" w:hAnsiTheme="minorEastAsia" w:eastAsiaTheme="minorEastAsia"/>
          <w:szCs w:val="21"/>
        </w:rPr>
        <w:t>乙方发生违约的，支付金额为扣除违约金后的金额。</w:t>
      </w:r>
    </w:p>
    <w:p>
      <w:pPr>
        <w:pStyle w:val="373"/>
        <w:ind w:left="0" w:leftChars="0" w:firstLine="422" w:firstLineChars="200"/>
        <w:rPr>
          <w:b/>
          <w:sz w:val="21"/>
        </w:rPr>
      </w:pPr>
      <w:r>
        <w:rPr>
          <w:rFonts w:hint="eastAsia"/>
          <w:b/>
          <w:sz w:val="21"/>
        </w:rPr>
        <w:t>第七条、保密</w:t>
      </w:r>
    </w:p>
    <w:p>
      <w:pPr>
        <w:pStyle w:val="373"/>
        <w:ind w:left="0" w:leftChars="0" w:firstLine="420" w:firstLineChars="200"/>
        <w:rPr>
          <w:sz w:val="21"/>
        </w:rPr>
      </w:pPr>
      <w:r>
        <w:rPr>
          <w:rFonts w:hint="eastAsia"/>
          <w:sz w:val="21"/>
        </w:rPr>
        <w:t>乙方需对经手的所有甲方和本项目的资料与信息均应当保密，不得泄露给本项目参与单位之外的单位或人员。</w:t>
      </w:r>
    </w:p>
    <w:p>
      <w:pPr>
        <w:pStyle w:val="373"/>
        <w:ind w:left="0" w:leftChars="0" w:firstLine="422" w:firstLineChars="200"/>
        <w:rPr>
          <w:b/>
          <w:sz w:val="21"/>
        </w:rPr>
      </w:pPr>
      <w:r>
        <w:rPr>
          <w:rFonts w:hint="eastAsia"/>
          <w:b/>
          <w:sz w:val="21"/>
        </w:rPr>
        <w:t>第八条</w:t>
      </w:r>
      <w:r>
        <w:rPr>
          <w:b/>
          <w:sz w:val="21"/>
        </w:rPr>
        <w:t xml:space="preserve">  违约责任与赔偿损失</w:t>
      </w:r>
    </w:p>
    <w:p>
      <w:pPr>
        <w:pStyle w:val="373"/>
        <w:ind w:left="0" w:leftChars="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1.乙方提供服务不符合本合同约定的，甲方有权要求乙方进行整改完善，直至甲方满意为止。</w:t>
      </w:r>
    </w:p>
    <w:p>
      <w:pPr>
        <w:pStyle w:val="373"/>
        <w:ind w:left="0" w:leftChars="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2.乙方未能按本合同规定的交货时间提供服务，无特殊原因的，从逾期之日起每日按本合同总价3‰的数额向甲方支付违约金；逾期六个</w:t>
      </w:r>
      <w:r>
        <w:rPr>
          <w:rFonts w:hint="eastAsia" w:asciiTheme="minorEastAsia" w:hAnsiTheme="minorEastAsia" w:eastAsiaTheme="minorEastAsia"/>
          <w:sz w:val="21"/>
          <w:szCs w:val="21"/>
        </w:rPr>
        <w:t>月以上的，甲方有权终止合同，由此造成的甲方经济损失由乙方承担，如因不可抗力或特殊原因无法如期完成培训的，需向甲方提出延期申请，经审批同意后可延期。</w:t>
      </w:r>
    </w:p>
    <w:p>
      <w:pPr>
        <w:pStyle w:val="373"/>
        <w:ind w:left="0" w:leftChars="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3.甲方无正当理由拒绝接受服务，到期拒付服务款项的，甲方向乙方偿付本合同总价的5%违约金。甲方仍逾期付款，则每日按本合同总价的3‰向乙方偿付违约金。</w:t>
      </w:r>
    </w:p>
    <w:p>
      <w:pPr>
        <w:pStyle w:val="373"/>
        <w:ind w:left="0" w:leftChars="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4.对于因甲方原因导致变更、中止或终止合同的，甲方应当依照第3点对乙方受到的损失予以赔偿或补偿。</w:t>
      </w:r>
    </w:p>
    <w:p>
      <w:pPr>
        <w:pStyle w:val="373"/>
        <w:ind w:left="0" w:leftChars="0"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5.其它违约责任按《中华人民共和国民法典</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rPr>
        <w:t>合同编</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rPr>
        <w:t>》处理。</w:t>
      </w:r>
    </w:p>
    <w:p>
      <w:pPr>
        <w:tabs>
          <w:tab w:val="left" w:pos="1276"/>
        </w:tabs>
        <w:spacing w:line="360" w:lineRule="auto"/>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第十条、对产品异议的时间和办法</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甲方在验收中，如果发现货物的品种、型号、数量、规格和质量或有关软件或有关工程不合规定，应妥为保管，并在30日内向乙方提出书面异议；甲方怠于通知或者自货物收到之日起三个月内未通知乙方的，视为货物合乎规定。</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2、乙方在接到甲方书面异议后，应在10天内负责处理，否则，即视为默认甲方提出的异议和处理意见。</w:t>
      </w:r>
    </w:p>
    <w:p>
      <w:pPr>
        <w:pStyle w:val="373"/>
        <w:ind w:left="0" w:leftChars="0" w:firstLine="422" w:firstLineChars="200"/>
        <w:rPr>
          <w:b/>
          <w:sz w:val="21"/>
        </w:rPr>
      </w:pPr>
      <w:r>
        <w:rPr>
          <w:rFonts w:hint="eastAsia"/>
          <w:b/>
          <w:sz w:val="21"/>
        </w:rPr>
        <w:t>第十一条、争议的解决</w:t>
      </w:r>
    </w:p>
    <w:p>
      <w:pPr>
        <w:pStyle w:val="373"/>
        <w:ind w:left="0" w:leftChars="0" w:firstLine="420" w:firstLineChars="200"/>
        <w:rPr>
          <w:sz w:val="21"/>
        </w:rPr>
      </w:pPr>
      <w:r>
        <w:rPr>
          <w:sz w:val="21"/>
        </w:rPr>
        <w:t>1、因货物的质量问题发生争议，由法律及有关规章规定的技术单位进行质量鉴定，双方无条件服从该鉴定的结论。</w:t>
      </w:r>
    </w:p>
    <w:p>
      <w:pPr>
        <w:pStyle w:val="373"/>
        <w:ind w:left="0" w:leftChars="0" w:firstLine="420" w:firstLineChars="200"/>
        <w:rPr>
          <w:sz w:val="21"/>
        </w:rPr>
      </w:pPr>
      <w:r>
        <w:rPr>
          <w:sz w:val="21"/>
        </w:rPr>
        <w:t>2、合同实施或与合同有关的一切争议应通过双方友好协商解决。如果友好协商开始后30天还不能解决的按下列第</w:t>
      </w:r>
      <w:r>
        <w:rPr>
          <w:sz w:val="21"/>
          <w:u w:val="single"/>
        </w:rPr>
        <w:t xml:space="preserve">    </w:t>
      </w:r>
      <w:r>
        <w:rPr>
          <w:sz w:val="21"/>
        </w:rPr>
        <w:t>种方式解决。</w:t>
      </w:r>
    </w:p>
    <w:p>
      <w:pPr>
        <w:pStyle w:val="373"/>
        <w:ind w:left="0" w:leftChars="0" w:firstLine="420" w:firstLineChars="200"/>
        <w:rPr>
          <w:sz w:val="21"/>
        </w:rPr>
      </w:pPr>
      <w:r>
        <w:rPr>
          <w:sz w:val="21"/>
        </w:rPr>
        <w:t>A</w:t>
      </w:r>
      <w:r>
        <w:rPr>
          <w:rFonts w:hint="eastAsia"/>
          <w:sz w:val="21"/>
          <w:lang w:eastAsia="zh-CN"/>
        </w:rPr>
        <w:t>.</w:t>
      </w:r>
      <w:r>
        <w:rPr>
          <w:sz w:val="21"/>
        </w:rPr>
        <w:t>提交珠海</w:t>
      </w:r>
      <w:r>
        <w:rPr>
          <w:rFonts w:hint="eastAsia"/>
          <w:sz w:val="21"/>
          <w:lang w:val="en-US" w:eastAsia="zh-CN"/>
        </w:rPr>
        <w:t>国际仲裁院</w:t>
      </w:r>
      <w:r>
        <w:rPr>
          <w:sz w:val="21"/>
        </w:rPr>
        <w:t>仲裁；</w:t>
      </w:r>
    </w:p>
    <w:p>
      <w:pPr>
        <w:pStyle w:val="373"/>
        <w:ind w:left="0" w:leftChars="0" w:firstLine="420" w:firstLineChars="200"/>
        <w:rPr>
          <w:sz w:val="21"/>
        </w:rPr>
      </w:pPr>
      <w:r>
        <w:rPr>
          <w:sz w:val="21"/>
        </w:rPr>
        <w:t>B</w:t>
      </w:r>
      <w:r>
        <w:rPr>
          <w:rFonts w:hint="eastAsia"/>
          <w:sz w:val="21"/>
          <w:lang w:eastAsia="zh-CN"/>
        </w:rPr>
        <w:t>.</w:t>
      </w:r>
      <w:r>
        <w:rPr>
          <w:sz w:val="21"/>
        </w:rPr>
        <w:t>依法向人民法院提起诉讼。</w:t>
      </w:r>
    </w:p>
    <w:p>
      <w:pPr>
        <w:pStyle w:val="373"/>
        <w:ind w:left="0" w:leftChars="0" w:firstLine="422" w:firstLineChars="200"/>
        <w:rPr>
          <w:b/>
          <w:sz w:val="21"/>
        </w:rPr>
      </w:pPr>
      <w:r>
        <w:rPr>
          <w:rFonts w:hint="eastAsia"/>
          <w:b/>
          <w:sz w:val="21"/>
        </w:rPr>
        <w:t>第十二条、不可抗力</w:t>
      </w:r>
    </w:p>
    <w:p>
      <w:pPr>
        <w:pStyle w:val="373"/>
        <w:ind w:left="0" w:leftChars="0" w:firstLine="420" w:firstLineChars="200"/>
        <w:rPr>
          <w:rFonts w:asciiTheme="minorEastAsia" w:hAnsiTheme="minorEastAsia" w:eastAsiaTheme="minorEastAsia"/>
          <w:szCs w:val="21"/>
        </w:rPr>
      </w:pPr>
      <w:r>
        <w:rPr>
          <w:rFonts w:hint="eastAsia"/>
          <w:sz w:val="21"/>
        </w:rPr>
        <w:t>任何一方由于不可抗力原因不能履行合同时，应在不可抗力事件结束后</w:t>
      </w:r>
      <w:r>
        <w:rPr>
          <w:sz w:val="21"/>
        </w:rPr>
        <w:t>1日内向对方通报，以减轻可能给对方造成的损失，在取得有关机构的不可抗力证明或双方谅解确认后，允许延期履行或修订合同，并根据情况可部分或全部免于承担违约责任。</w:t>
      </w:r>
    </w:p>
    <w:p>
      <w:pPr>
        <w:pStyle w:val="373"/>
        <w:ind w:left="0" w:leftChars="0" w:firstLine="422" w:firstLineChars="200"/>
        <w:rPr>
          <w:b/>
          <w:sz w:val="21"/>
        </w:rPr>
      </w:pPr>
      <w:r>
        <w:rPr>
          <w:rFonts w:hint="eastAsia"/>
          <w:b/>
          <w:sz w:val="21"/>
        </w:rPr>
        <w:t>第十三条  合同生效：</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1、本合同在甲乙双方法人代表或其授权代表签字盖章后生效。</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2、合同一式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份。甲乙双方各持2份，一份送采购代理机构</w:t>
      </w:r>
      <w:r>
        <w:rPr>
          <w:rFonts w:hint="eastAsia" w:ascii="宋体" w:hAnsi="宋体" w:eastAsia="宋体" w:cs="宋体"/>
          <w:kern w:val="0"/>
          <w:sz w:val="21"/>
          <w:szCs w:val="21"/>
          <w:highlight w:val="none"/>
          <w:lang w:eastAsia="zh-CN"/>
        </w:rPr>
        <w:t>珠海正诺工程咨询有限公司</w:t>
      </w:r>
      <w:r>
        <w:rPr>
          <w:rFonts w:hint="eastAsia" w:asciiTheme="minorEastAsia" w:hAnsiTheme="minorEastAsia" w:eastAsiaTheme="minorEastAsia"/>
          <w:szCs w:val="21"/>
        </w:rPr>
        <w:t>归档。</w:t>
      </w:r>
    </w:p>
    <w:p>
      <w:pPr>
        <w:pStyle w:val="373"/>
        <w:ind w:left="0" w:leftChars="0" w:firstLine="422" w:firstLineChars="200"/>
        <w:rPr>
          <w:b/>
          <w:sz w:val="21"/>
        </w:rPr>
      </w:pPr>
      <w:r>
        <w:rPr>
          <w:rFonts w:hint="eastAsia"/>
          <w:b/>
          <w:sz w:val="21"/>
        </w:rPr>
        <w:t>第十四条  其它</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1、本合同所有附件、采购文件、乙方</w:t>
      </w:r>
      <w:r>
        <w:rPr>
          <w:rFonts w:hint="eastAsia" w:asciiTheme="minorEastAsia" w:hAnsiTheme="minorEastAsia" w:eastAsiaTheme="minorEastAsia"/>
          <w:szCs w:val="21"/>
          <w:lang w:eastAsia="zh-CN"/>
        </w:rPr>
        <w:t>响应文件</w:t>
      </w:r>
      <w:r>
        <w:rPr>
          <w:rFonts w:hint="eastAsia" w:asciiTheme="minorEastAsia" w:hAnsiTheme="minorEastAsia" w:eastAsiaTheme="minorEastAsia"/>
          <w:szCs w:val="21"/>
        </w:rPr>
        <w:t>、成交通知书均为合同的有效组成部分，与本合同具有同等法律效力。</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2、在执行本合同的过程中，所有经双方签署确认的文件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包括会议纪要、补充协议、往来信函</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即成为本合同的有效组成部分。</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3、如一方地址、电话、传真号码有变更，应在变更当日内书面通知对方，否则，应承担相应责任。 </w:t>
      </w:r>
    </w:p>
    <w:p>
      <w:pPr>
        <w:tabs>
          <w:tab w:val="left" w:pos="1276"/>
        </w:tabs>
        <w:spacing w:line="360" w:lineRule="auto"/>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4、除甲方事先书面同意外，乙方不得部分或全部转让其应履行的合同项下的义务。</w:t>
      </w:r>
    </w:p>
    <w:p>
      <w:pPr>
        <w:spacing w:line="360" w:lineRule="auto"/>
        <w:ind w:left="0" w:leftChars="0"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甲方</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rPr>
        <w:t>盖章</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rPr>
        <w:t>：</w:t>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lang w:val="en-US" w:eastAsia="zh-CN"/>
        </w:rPr>
        <w:tab/>
      </w:r>
      <w:r>
        <w:rPr>
          <w:rFonts w:hint="eastAsia" w:asciiTheme="minorEastAsia" w:hAnsiTheme="minorEastAsia" w:eastAsiaTheme="minorEastAsia"/>
          <w:b/>
          <w:szCs w:val="21"/>
        </w:rPr>
        <w:t>乙方</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rPr>
        <w:t>盖章</w:t>
      </w:r>
      <w:r>
        <w:rPr>
          <w:rFonts w:hint="eastAsia" w:asciiTheme="minorEastAsia" w:hAnsiTheme="minorEastAsia" w:eastAsiaTheme="minorEastAsia"/>
          <w:b/>
          <w:szCs w:val="21"/>
          <w:lang w:eastAsia="zh-CN"/>
        </w:rPr>
        <w:t>）</w:t>
      </w:r>
      <w:r>
        <w:rPr>
          <w:rFonts w:hint="eastAsia" w:asciiTheme="minorEastAsia" w:hAnsiTheme="minorEastAsia" w:eastAsiaTheme="minorEastAsia"/>
          <w:b/>
          <w:szCs w:val="21"/>
        </w:rPr>
        <w:t>：</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代表：</w:t>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ab/>
      </w:r>
      <w:r>
        <w:rPr>
          <w:rFonts w:hint="eastAsia" w:asciiTheme="minorEastAsia" w:hAnsiTheme="minorEastAsia" w:eastAsiaTheme="minorEastAsia"/>
          <w:b/>
          <w:szCs w:val="21"/>
        </w:rPr>
        <w:t xml:space="preserve">代表： </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lang w:eastAsia="zh-CN"/>
        </w:rPr>
        <w:t>签订</w:t>
      </w:r>
      <w:r>
        <w:rPr>
          <w:rFonts w:hint="eastAsia" w:asciiTheme="minorEastAsia" w:hAnsiTheme="minorEastAsia" w:eastAsiaTheme="minorEastAsia"/>
          <w:szCs w:val="21"/>
        </w:rPr>
        <w:t>地点：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lang w:eastAsia="zh-CN"/>
        </w:rPr>
        <w:t>签订</w:t>
      </w:r>
      <w:r>
        <w:rPr>
          <w:rFonts w:hint="eastAsia" w:asciiTheme="minorEastAsia" w:hAnsiTheme="minorEastAsia" w:eastAsiaTheme="minorEastAsia"/>
          <w:szCs w:val="21"/>
        </w:rPr>
        <w:t>日期：    年   月   日</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lang w:eastAsia="zh-CN"/>
        </w:rPr>
        <w:t>签订</w:t>
      </w:r>
      <w:r>
        <w:rPr>
          <w:rFonts w:hint="eastAsia" w:asciiTheme="minorEastAsia" w:hAnsiTheme="minorEastAsia" w:eastAsiaTheme="minorEastAsia"/>
          <w:szCs w:val="21"/>
        </w:rPr>
        <w:t>日期：    年   月   日</w:t>
      </w:r>
    </w:p>
    <w:p>
      <w:pPr>
        <w:spacing w:line="360" w:lineRule="auto"/>
        <w:ind w:left="360" w:firstLine="3420"/>
        <w:rPr>
          <w:rFonts w:asciiTheme="minorEastAsia" w:hAnsiTheme="minorEastAsia" w:eastAsiaTheme="minorEastAsia"/>
          <w:szCs w:val="21"/>
        </w:rPr>
      </w:pPr>
      <w:r>
        <w:rPr>
          <w:rFonts w:hint="eastAsia" w:asciiTheme="minorEastAsia" w:hAnsiTheme="minorEastAsia" w:eastAsiaTheme="minorEastAsia"/>
          <w:szCs w:val="21"/>
        </w:rPr>
        <w:t>开户名称：</w:t>
      </w:r>
    </w:p>
    <w:p>
      <w:pPr>
        <w:spacing w:line="360" w:lineRule="auto"/>
        <w:ind w:left="360" w:firstLine="3420"/>
        <w:rPr>
          <w:rFonts w:asciiTheme="minorEastAsia" w:hAnsiTheme="minorEastAsia" w:eastAsiaTheme="minorEastAsia"/>
          <w:szCs w:val="21"/>
        </w:rPr>
      </w:pPr>
      <w:r>
        <w:rPr>
          <w:rFonts w:hint="eastAsia" w:asciiTheme="minorEastAsia" w:hAnsiTheme="minorEastAsia" w:eastAsiaTheme="minorEastAsia"/>
          <w:szCs w:val="21"/>
        </w:rPr>
        <w:t>银行账号：</w:t>
      </w:r>
    </w:p>
    <w:p>
      <w:pPr>
        <w:spacing w:line="360" w:lineRule="auto"/>
        <w:ind w:left="360" w:firstLine="3420"/>
        <w:rPr>
          <w:rFonts w:asciiTheme="minorEastAsia" w:hAnsiTheme="minorEastAsia" w:eastAsiaTheme="minorEastAsia"/>
          <w:kern w:val="0"/>
          <w:szCs w:val="21"/>
        </w:rPr>
      </w:pPr>
      <w:r>
        <w:rPr>
          <w:rFonts w:hint="eastAsia" w:asciiTheme="minorEastAsia" w:hAnsiTheme="minorEastAsia" w:eastAsiaTheme="minorEastAsia"/>
          <w:szCs w:val="21"/>
        </w:rPr>
        <w:t>开 户 行：</w:t>
      </w:r>
    </w:p>
    <w:p>
      <w:pPr>
        <w:spacing w:line="360" w:lineRule="auto"/>
        <w:ind w:left="360" w:firstLine="3420"/>
        <w:rPr>
          <w:rFonts w:asciiTheme="minorEastAsia" w:hAnsiTheme="minorEastAsia" w:eastAsiaTheme="minorEastAsia"/>
          <w:kern w:val="0"/>
          <w:szCs w:val="21"/>
        </w:rPr>
      </w:pPr>
    </w:p>
    <w:p>
      <w:pPr>
        <w:tabs>
          <w:tab w:val="left" w:pos="1004"/>
          <w:tab w:val="left" w:pos="4267"/>
        </w:tabs>
        <w:spacing w:line="390" w:lineRule="exact"/>
        <w:rPr>
          <w:rFonts w:asciiTheme="minorEastAsia" w:hAnsiTheme="minorEastAsia" w:eastAsiaTheme="minorEastAsia"/>
          <w:bCs/>
          <w:szCs w:val="21"/>
        </w:rPr>
      </w:pPr>
      <w:r>
        <w:rPr>
          <w:rFonts w:hint="eastAsia" w:asciiTheme="minorEastAsia" w:hAnsiTheme="minorEastAsia" w:eastAsiaTheme="minorEastAsia"/>
          <w:bCs/>
          <w:szCs w:val="21"/>
        </w:rPr>
        <w:t>见证意见：合同内容与</w:t>
      </w:r>
      <w:r>
        <w:rPr>
          <w:rFonts w:hint="eastAsia" w:asciiTheme="minorEastAsia" w:hAnsiTheme="minorEastAsia" w:eastAsiaTheme="minorEastAsia"/>
          <w:bCs/>
          <w:szCs w:val="21"/>
          <w:lang w:eastAsia="zh-CN"/>
        </w:rPr>
        <w:t>磋商文件</w:t>
      </w:r>
      <w:r>
        <w:rPr>
          <w:rFonts w:hint="eastAsia" w:asciiTheme="minorEastAsia" w:hAnsiTheme="minorEastAsia" w:eastAsiaTheme="minorEastAsia"/>
          <w:bCs/>
          <w:szCs w:val="21"/>
        </w:rPr>
        <w:t>、</w:t>
      </w:r>
      <w:r>
        <w:rPr>
          <w:rFonts w:hint="eastAsia" w:asciiTheme="minorEastAsia" w:hAnsiTheme="minorEastAsia" w:eastAsiaTheme="minorEastAsia"/>
          <w:bCs/>
          <w:szCs w:val="21"/>
          <w:lang w:eastAsia="zh-CN"/>
        </w:rPr>
        <w:t>响应文件</w:t>
      </w:r>
      <w:r>
        <w:rPr>
          <w:rFonts w:hint="eastAsia" w:asciiTheme="minorEastAsia" w:hAnsiTheme="minorEastAsia" w:eastAsiaTheme="minorEastAsia"/>
          <w:bCs/>
          <w:szCs w:val="21"/>
        </w:rPr>
        <w:t>一致。</w:t>
      </w:r>
    </w:p>
    <w:p>
      <w:pPr>
        <w:tabs>
          <w:tab w:val="left" w:pos="1004"/>
          <w:tab w:val="left" w:pos="4267"/>
        </w:tabs>
        <w:spacing w:line="390" w:lineRule="exact"/>
        <w:rPr>
          <w:rFonts w:asciiTheme="minorEastAsia" w:hAnsiTheme="minorEastAsia" w:eastAsiaTheme="minorEastAsia"/>
          <w:bCs/>
          <w:szCs w:val="21"/>
        </w:rPr>
      </w:pPr>
      <w:r>
        <w:rPr>
          <w:rFonts w:hint="eastAsia" w:asciiTheme="minorEastAsia" w:hAnsiTheme="minorEastAsia" w:eastAsiaTheme="minorEastAsia"/>
          <w:bCs/>
          <w:szCs w:val="21"/>
        </w:rPr>
        <w:t>见证单位：</w:t>
      </w:r>
      <w:r>
        <w:rPr>
          <w:rFonts w:asciiTheme="minorEastAsia" w:hAnsiTheme="minorEastAsia" w:eastAsiaTheme="minorEastAsia"/>
          <w:bCs/>
          <w:szCs w:val="21"/>
        </w:rPr>
        <w:t xml:space="preserve"> </w:t>
      </w:r>
    </w:p>
    <w:p>
      <w:pPr>
        <w:spacing w:line="360" w:lineRule="auto"/>
        <w:rPr>
          <w:rFonts w:asciiTheme="minorEastAsia" w:hAnsiTheme="minorEastAsia" w:eastAsiaTheme="minorEastAsia"/>
          <w:kern w:val="0"/>
          <w:szCs w:val="21"/>
        </w:rPr>
      </w:pPr>
      <w:r>
        <w:rPr>
          <w:rFonts w:hint="eastAsia" w:asciiTheme="minorEastAsia" w:hAnsiTheme="minorEastAsia" w:eastAsiaTheme="minorEastAsia"/>
          <w:bCs/>
          <w:szCs w:val="21"/>
        </w:rPr>
        <w:t>委托代理人：</w:t>
      </w:r>
    </w:p>
    <w:p>
      <w:pPr>
        <w:spacing w:line="360" w:lineRule="auto"/>
        <w:rPr>
          <w:rFonts w:asciiTheme="minorEastAsia" w:hAnsiTheme="minorEastAsia" w:eastAsiaTheme="minorEastAsia"/>
          <w:szCs w:val="21"/>
        </w:rPr>
      </w:pPr>
    </w:p>
    <w:p>
      <w:pPr>
        <w:spacing w:line="360" w:lineRule="auto"/>
        <w:rPr>
          <w:rFonts w:hint="eastAsia" w:ascii="宋体" w:hAnsi="宋体" w:cs="宋体"/>
          <w:szCs w:val="21"/>
          <w:u w:val="single"/>
        </w:rPr>
      </w:pPr>
    </w:p>
    <w:p>
      <w:pPr>
        <w:spacing w:line="360" w:lineRule="auto"/>
        <w:ind w:left="0" w:leftChars="0" w:firstLine="0" w:firstLineChars="0"/>
        <w:rPr>
          <w:rFonts w:hint="eastAsia" w:ascii="宋体" w:hAnsi="宋体" w:cs="宋体"/>
          <w:szCs w:val="21"/>
        </w:rPr>
      </w:pPr>
      <w:r>
        <w:rPr>
          <w:rFonts w:hint="eastAsia" w:ascii="宋体" w:hAnsi="宋体" w:eastAsia="宋体" w:cs="宋体"/>
          <w:b/>
          <w:i/>
          <w:iCs/>
          <w:sz w:val="21"/>
          <w:szCs w:val="21"/>
        </w:rPr>
        <w:t>注：本合同样本仅供参考，具体条款内容由采购人和成交单位协商确定，但不得对采购文件、</w:t>
      </w:r>
      <w:r>
        <w:rPr>
          <w:rFonts w:hint="eastAsia" w:hAnsi="宋体" w:cs="宋体"/>
          <w:b/>
          <w:i/>
          <w:iCs/>
          <w:sz w:val="21"/>
          <w:szCs w:val="21"/>
          <w:lang w:eastAsia="zh-CN"/>
        </w:rPr>
        <w:t>响应文件</w:t>
      </w:r>
      <w:r>
        <w:rPr>
          <w:rFonts w:hint="eastAsia" w:ascii="宋体" w:hAnsi="宋体" w:eastAsia="宋体" w:cs="宋体"/>
          <w:b/>
          <w:i/>
          <w:iCs/>
          <w:sz w:val="21"/>
          <w:szCs w:val="21"/>
        </w:rPr>
        <w:t>的实质性条款作出变更。</w:t>
      </w:r>
    </w:p>
    <w:p>
      <w:pPr>
        <w:pStyle w:val="4"/>
        <w:spacing w:before="240" w:after="120" w:line="360" w:lineRule="auto"/>
        <w:rPr>
          <w:rFonts w:hint="eastAsia" w:ascii="宋体" w:hAnsi="宋体" w:eastAsia="宋体" w:cs="宋体"/>
          <w:highlight w:val="none"/>
        </w:rPr>
      </w:pPr>
      <w:r>
        <w:rPr>
          <w:rFonts w:hint="eastAsia" w:ascii="宋体" w:hAnsi="宋体" w:eastAsia="宋体" w:cs="宋体"/>
          <w:b/>
          <w:sz w:val="44"/>
        </w:rPr>
        <w:br w:type="page"/>
      </w:r>
      <w:bookmarkStart w:id="775" w:name="_Toc6246"/>
      <w:r>
        <w:rPr>
          <w:rFonts w:hint="eastAsia" w:ascii="宋体" w:hAnsi="宋体" w:eastAsia="宋体" w:cs="宋体"/>
          <w:highlight w:val="none"/>
        </w:rPr>
        <w:t>第二节 响应文件格式</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5"/>
    </w:p>
    <w:p>
      <w:pPr>
        <w:autoSpaceDE w:val="0"/>
        <w:autoSpaceDN w:val="0"/>
        <w:adjustRightInd w:val="0"/>
        <w:spacing w:line="360" w:lineRule="auto"/>
        <w:jc w:val="left"/>
        <w:rPr>
          <w:rFonts w:hint="eastAsia" w:ascii="宋体" w:hAnsi="宋体" w:eastAsia="宋体" w:cs="宋体"/>
          <w:kern w:val="0"/>
          <w:szCs w:val="21"/>
          <w:highlight w:val="none"/>
        </w:rPr>
      </w:pPr>
      <w:bookmarkStart w:id="776" w:name="_Toc497076565"/>
      <w:bookmarkStart w:id="777" w:name="_Toc6397152"/>
      <w:bookmarkStart w:id="778" w:name="_Toc202820351"/>
      <w:bookmarkStart w:id="779" w:name="_Toc3387047"/>
      <w:bookmarkStart w:id="780" w:name="_Toc259090982"/>
      <w:bookmarkStart w:id="781" w:name="_Toc32977098"/>
      <w:bookmarkStart w:id="782" w:name="_Toc202252034"/>
      <w:bookmarkStart w:id="783" w:name="_Toc202819878"/>
      <w:bookmarkStart w:id="784" w:name="_Toc202251075"/>
      <w:bookmarkStart w:id="785" w:name="_Toc29868"/>
      <w:bookmarkStart w:id="786" w:name="_Toc202251700"/>
      <w:bookmarkStart w:id="787" w:name="_Toc18424"/>
      <w:bookmarkStart w:id="788" w:name="_Toc6727973"/>
      <w:bookmarkStart w:id="789" w:name="_Toc202254105"/>
      <w:bookmarkStart w:id="790" w:name="_Toc276645579"/>
      <w:bookmarkStart w:id="791" w:name="_Toc202816996"/>
      <w:bookmarkStart w:id="792" w:name="_Toc531617923"/>
      <w:r>
        <w:rPr>
          <w:rFonts w:hint="eastAsia" w:ascii="宋体" w:hAnsi="宋体" w:eastAsia="宋体" w:cs="宋体"/>
          <w:kern w:val="0"/>
          <w:szCs w:val="21"/>
          <w:highlight w:val="none"/>
        </w:rPr>
        <w:t>注：请供应商按照以下要求的格式、内容、顺序制作竞争性磋商响应文件，并请编制目录及页码。</w:t>
      </w:r>
    </w:p>
    <w:p>
      <w:pPr>
        <w:jc w:val="center"/>
        <w:rPr>
          <w:rFonts w:hint="eastAsia" w:ascii="宋体" w:hAnsi="宋体" w:eastAsia="宋体" w:cs="宋体"/>
          <w:b/>
          <w:bCs/>
          <w:sz w:val="30"/>
          <w:szCs w:val="30"/>
          <w:highlight w:val="none"/>
          <w:lang w:eastAsia="zh-CN"/>
        </w:rPr>
      </w:pPr>
      <w:bookmarkStart w:id="793" w:name="_Toc2134"/>
      <w:bookmarkStart w:id="794" w:name="_Toc9171958"/>
      <w:bookmarkStart w:id="795" w:name="_Toc10446"/>
      <w:bookmarkStart w:id="796" w:name="_Toc534749452"/>
      <w:bookmarkStart w:id="797" w:name="_Toc5735317"/>
      <w:bookmarkStart w:id="798" w:name="_Toc9273"/>
      <w:bookmarkStart w:id="799" w:name="_Toc17064271"/>
      <w:bookmarkStart w:id="800" w:name="_Toc535850370"/>
      <w:bookmarkStart w:id="801" w:name="_Toc11381"/>
      <w:bookmarkStart w:id="802" w:name="_Toc1634336"/>
      <w:r>
        <w:rPr>
          <w:rFonts w:hint="eastAsia" w:ascii="宋体" w:hAnsi="宋体" w:eastAsia="宋体" w:cs="宋体"/>
          <w:b/>
          <w:bCs/>
          <w:sz w:val="30"/>
          <w:szCs w:val="30"/>
          <w:highlight w:val="none"/>
        </w:rPr>
        <w:t>响应文件包装封面</w:t>
      </w:r>
      <w:r>
        <w:rPr>
          <w:rFonts w:hint="eastAsia" w:ascii="宋体" w:hAnsi="宋体" w:cs="宋体"/>
          <w:b/>
          <w:bCs/>
          <w:sz w:val="30"/>
          <w:szCs w:val="30"/>
          <w:highlight w:val="none"/>
          <w:lang w:eastAsia="zh-CN"/>
        </w:rPr>
        <w:t>（</w:t>
      </w:r>
      <w:r>
        <w:rPr>
          <w:rFonts w:hint="eastAsia" w:ascii="宋体" w:hAnsi="宋体" w:eastAsia="宋体" w:cs="宋体"/>
          <w:b/>
          <w:bCs/>
          <w:sz w:val="30"/>
          <w:szCs w:val="30"/>
          <w:highlight w:val="none"/>
        </w:rPr>
        <w:t>参考</w:t>
      </w:r>
      <w:bookmarkEnd w:id="793"/>
      <w:bookmarkEnd w:id="794"/>
      <w:bookmarkEnd w:id="795"/>
      <w:bookmarkEnd w:id="796"/>
      <w:bookmarkEnd w:id="797"/>
      <w:bookmarkEnd w:id="798"/>
      <w:bookmarkEnd w:id="799"/>
      <w:bookmarkEnd w:id="800"/>
      <w:bookmarkEnd w:id="801"/>
      <w:bookmarkEnd w:id="802"/>
      <w:r>
        <w:rPr>
          <w:rFonts w:hint="eastAsia" w:ascii="宋体" w:hAnsi="宋体" w:cs="宋体"/>
          <w:b/>
          <w:bCs/>
          <w:sz w:val="30"/>
          <w:szCs w:val="30"/>
          <w:highlight w:val="none"/>
          <w:lang w:eastAsia="zh-CN"/>
        </w:rPr>
        <w:t>）</w:t>
      </w:r>
    </w:p>
    <w:tbl>
      <w:tblPr>
        <w:tblStyle w:val="70"/>
        <w:tblW w:w="8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2" w:hRule="atLeast"/>
        </w:trPr>
        <w:tc>
          <w:tcPr>
            <w:tcW w:w="8480" w:type="dxa"/>
            <w:tcBorders>
              <w:top w:val="double" w:color="auto" w:sz="12" w:space="0"/>
              <w:left w:val="double" w:color="auto" w:sz="12" w:space="0"/>
              <w:bottom w:val="double" w:color="auto" w:sz="12" w:space="0"/>
              <w:right w:val="double" w:color="auto" w:sz="12" w:space="0"/>
            </w:tcBorders>
            <w:noWrap w:val="0"/>
            <w:vAlign w:val="top"/>
          </w:tcPr>
          <w:p>
            <w:pPr>
              <w:pageBreakBefore w:val="0"/>
              <w:kinsoku/>
              <w:wordWrap/>
              <w:overflowPunct/>
              <w:topLinePunct w:val="0"/>
              <w:bidi w:val="0"/>
              <w:spacing w:line="360" w:lineRule="auto"/>
              <w:jc w:val="center"/>
              <w:rPr>
                <w:rFonts w:hint="eastAsia" w:ascii="宋体" w:hAnsi="宋体" w:eastAsia="宋体" w:cs="宋体"/>
              </w:rPr>
            </w:pPr>
          </w:p>
          <w:p>
            <w:pPr>
              <w:pageBreakBefore w:val="0"/>
              <w:kinsoku/>
              <w:wordWrap/>
              <w:overflowPunct/>
              <w:topLinePunct w:val="0"/>
              <w:bidi w:val="0"/>
              <w:spacing w:line="360" w:lineRule="auto"/>
              <w:rPr>
                <w:rFonts w:hint="eastAsia" w:ascii="宋体" w:hAnsi="宋体" w:eastAsia="宋体" w:cs="宋体"/>
              </w:rPr>
            </w:pPr>
          </w:p>
          <w:p>
            <w:pPr>
              <w:pageBreakBefore w:val="0"/>
              <w:kinsoku/>
              <w:wordWrap/>
              <w:overflowPunct/>
              <w:topLinePunct w:val="0"/>
              <w:bidi w:val="0"/>
              <w:spacing w:line="360" w:lineRule="auto"/>
              <w:jc w:val="center"/>
              <w:rPr>
                <w:rFonts w:hint="eastAsia" w:ascii="宋体" w:hAnsi="宋体" w:eastAsia="宋体" w:cs="宋体"/>
                <w:b/>
                <w:sz w:val="56"/>
                <w:lang w:eastAsia="zh-CN"/>
              </w:rPr>
            </w:pPr>
            <w:r>
              <w:rPr>
                <w:rFonts w:hint="eastAsia" w:ascii="宋体" w:hAnsi="宋体" w:eastAsia="宋体" w:cs="宋体"/>
                <w:b/>
                <w:sz w:val="56"/>
                <w:lang w:eastAsia="zh-CN"/>
              </w:rPr>
              <w:t>响应文件</w:t>
            </w:r>
          </w:p>
          <w:p>
            <w:pPr>
              <w:pageBreakBefore w:val="0"/>
              <w:widowControl w:val="0"/>
              <w:numPr>
                <w:ilvl w:val="0"/>
                <w:numId w:val="3"/>
              </w:numPr>
              <w:kinsoku/>
              <w:wordWrap/>
              <w:overflowPunct/>
              <w:topLinePunct w:val="0"/>
              <w:bidi w:val="0"/>
              <w:spacing w:line="360" w:lineRule="auto"/>
              <w:jc w:val="center"/>
              <w:rPr>
                <w:rFonts w:hint="eastAsia" w:ascii="宋体" w:hAnsi="宋体" w:eastAsia="宋体" w:cs="宋体"/>
                <w:b/>
                <w:sz w:val="48"/>
              </w:rPr>
            </w:pPr>
            <w:r>
              <w:rPr>
                <w:rFonts w:hint="eastAsia" w:ascii="宋体" w:hAnsi="宋体" w:eastAsia="宋体" w:cs="宋体"/>
                <w:b/>
                <w:sz w:val="48"/>
              </w:rPr>
              <w:t>正本</w:t>
            </w:r>
          </w:p>
          <w:p>
            <w:pPr>
              <w:pageBreakBefore w:val="0"/>
              <w:widowControl w:val="0"/>
              <w:numPr>
                <w:ilvl w:val="0"/>
                <w:numId w:val="3"/>
              </w:numPr>
              <w:kinsoku/>
              <w:wordWrap/>
              <w:overflowPunct/>
              <w:topLinePunct w:val="0"/>
              <w:bidi w:val="0"/>
              <w:spacing w:line="360" w:lineRule="auto"/>
              <w:jc w:val="center"/>
              <w:rPr>
                <w:rFonts w:hint="eastAsia" w:ascii="宋体" w:hAnsi="宋体" w:eastAsia="宋体" w:cs="宋体"/>
                <w:b/>
                <w:sz w:val="48"/>
              </w:rPr>
            </w:pPr>
            <w:r>
              <w:rPr>
                <w:rFonts w:hint="eastAsia" w:ascii="宋体" w:hAnsi="宋体" w:eastAsia="宋体" w:cs="宋体"/>
                <w:b/>
                <w:sz w:val="48"/>
              </w:rPr>
              <w:t>副本</w:t>
            </w:r>
          </w:p>
          <w:p>
            <w:pPr>
              <w:pageBreakBefore w:val="0"/>
              <w:kinsoku/>
              <w:wordWrap/>
              <w:overflowPunct/>
              <w:topLinePunct w:val="0"/>
              <w:bidi w:val="0"/>
              <w:spacing w:line="360" w:lineRule="auto"/>
              <w:rPr>
                <w:rFonts w:hint="eastAsia" w:ascii="宋体" w:hAnsi="宋体" w:eastAsia="宋体" w:cs="宋体"/>
                <w:b/>
              </w:rPr>
            </w:pPr>
          </w:p>
          <w:p>
            <w:pPr>
              <w:pageBreakBefore w:val="0"/>
              <w:kinsoku/>
              <w:wordWrap/>
              <w:overflowPunct/>
              <w:topLinePunct w:val="0"/>
              <w:bidi w:val="0"/>
              <w:spacing w:line="360" w:lineRule="auto"/>
              <w:rPr>
                <w:rFonts w:hint="eastAsia" w:ascii="宋体" w:hAnsi="宋体" w:eastAsia="宋体" w:cs="宋体"/>
                <w:b/>
              </w:rPr>
            </w:pPr>
          </w:p>
          <w:p>
            <w:pPr>
              <w:pageBreakBefore w:val="0"/>
              <w:kinsoku/>
              <w:wordWrap/>
              <w:overflowPunct/>
              <w:topLinePunct w:val="0"/>
              <w:bidi w:val="0"/>
              <w:spacing w:line="360" w:lineRule="auto"/>
              <w:rPr>
                <w:rFonts w:hint="eastAsia" w:ascii="宋体" w:hAnsi="宋体" w:eastAsia="宋体" w:cs="宋体"/>
                <w:b/>
              </w:rPr>
            </w:pP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rPr>
              <w:t>项目编号：</w:t>
            </w: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rPr>
              <w:t>项目名称：</w:t>
            </w: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lang w:val="en-US" w:eastAsia="zh-CN"/>
              </w:rPr>
              <w:t>供应商</w:t>
            </w:r>
            <w:r>
              <w:rPr>
                <w:rFonts w:hint="eastAsia" w:ascii="宋体" w:hAnsi="宋体" w:eastAsia="宋体" w:cs="宋体"/>
                <w:b/>
                <w:sz w:val="32"/>
                <w:highlight w:val="none"/>
              </w:rPr>
              <w:t>名称：</w:t>
            </w: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lang w:val="en-US" w:eastAsia="zh-CN"/>
              </w:rPr>
              <w:t>供应商</w:t>
            </w:r>
            <w:r>
              <w:rPr>
                <w:rFonts w:hint="eastAsia" w:ascii="宋体" w:hAnsi="宋体" w:eastAsia="宋体" w:cs="宋体"/>
                <w:b/>
                <w:sz w:val="32"/>
                <w:highlight w:val="none"/>
              </w:rPr>
              <w:t>地址：</w:t>
            </w: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rPr>
              <w:t>联系人：</w:t>
            </w:r>
          </w:p>
          <w:p>
            <w:pPr>
              <w:pageBreakBefore w:val="0"/>
              <w:kinsoku/>
              <w:wordWrap/>
              <w:overflowPunct/>
              <w:topLinePunct w:val="0"/>
              <w:autoSpaceDE/>
              <w:autoSpaceDN/>
              <w:bidi w:val="0"/>
              <w:spacing w:line="360" w:lineRule="auto"/>
              <w:ind w:firstLine="643" w:firstLineChars="200"/>
              <w:jc w:val="left"/>
              <w:rPr>
                <w:rFonts w:hint="eastAsia" w:ascii="宋体" w:hAnsi="宋体" w:eastAsia="宋体" w:cs="宋体"/>
                <w:b/>
                <w:sz w:val="32"/>
                <w:highlight w:val="none"/>
              </w:rPr>
            </w:pPr>
            <w:r>
              <w:rPr>
                <w:rFonts w:hint="eastAsia" w:ascii="宋体" w:hAnsi="宋体" w:eastAsia="宋体" w:cs="宋体"/>
                <w:b/>
                <w:sz w:val="32"/>
                <w:highlight w:val="none"/>
              </w:rPr>
              <w:t>联系电话：</w:t>
            </w:r>
          </w:p>
          <w:p>
            <w:pPr>
              <w:pageBreakBefore w:val="0"/>
              <w:kinsoku/>
              <w:wordWrap/>
              <w:overflowPunct/>
              <w:topLinePunct w:val="0"/>
              <w:bidi w:val="0"/>
              <w:spacing w:line="360" w:lineRule="auto"/>
              <w:ind w:firstLine="643" w:firstLineChars="200"/>
              <w:rPr>
                <w:rFonts w:hint="eastAsia" w:ascii="宋体" w:hAnsi="宋体" w:eastAsia="宋体" w:cs="宋体"/>
                <w:b/>
                <w:sz w:val="24"/>
                <w:szCs w:val="21"/>
                <w:highlight w:val="none"/>
                <w:u w:val="single"/>
                <w:lang w:eastAsia="zh-CN"/>
              </w:rPr>
            </w:pPr>
            <w:r>
              <w:rPr>
                <w:rFonts w:hint="eastAsia" w:ascii="宋体" w:hAnsi="宋体" w:eastAsia="宋体" w:cs="宋体"/>
                <w:b/>
                <w:sz w:val="32"/>
                <w:highlight w:val="none"/>
              </w:rPr>
              <w:t>递交：</w:t>
            </w:r>
            <w:r>
              <w:rPr>
                <w:rFonts w:hint="eastAsia" w:ascii="宋体" w:hAnsi="宋体" w:cs="宋体"/>
                <w:b/>
                <w:sz w:val="24"/>
                <w:szCs w:val="21"/>
                <w:highlight w:val="none"/>
                <w:u w:val="single"/>
                <w:lang w:eastAsia="zh-CN"/>
              </w:rPr>
              <w:t>（</w:t>
            </w:r>
            <w:r>
              <w:rPr>
                <w:rFonts w:hint="eastAsia" w:ascii="宋体" w:hAnsi="宋体" w:eastAsia="宋体" w:cs="宋体"/>
                <w:b/>
                <w:sz w:val="24"/>
                <w:szCs w:val="21"/>
                <w:highlight w:val="none"/>
                <w:u w:val="single"/>
                <w:lang w:eastAsia="zh-CN"/>
              </w:rPr>
              <w:t>珠海市香洲区中立信大厦902珠海正诺工程咨询有限公司</w:t>
            </w:r>
            <w:r>
              <w:rPr>
                <w:rFonts w:hint="eastAsia" w:ascii="宋体" w:hAnsi="宋体" w:cs="宋体"/>
                <w:b/>
                <w:sz w:val="24"/>
                <w:szCs w:val="21"/>
                <w:highlight w:val="none"/>
                <w:u w:val="single"/>
                <w:lang w:eastAsia="zh-CN"/>
              </w:rPr>
              <w:t>）</w:t>
            </w:r>
          </w:p>
          <w:p>
            <w:pPr>
              <w:pStyle w:val="90"/>
              <w:rPr>
                <w:rFonts w:hint="eastAsia"/>
              </w:rPr>
            </w:pPr>
          </w:p>
          <w:p>
            <w:pPr>
              <w:pageBreakBefore w:val="0"/>
              <w:kinsoku/>
              <w:wordWrap/>
              <w:overflowPunct/>
              <w:topLinePunct w:val="0"/>
              <w:bidi w:val="0"/>
              <w:spacing w:line="360" w:lineRule="auto"/>
              <w:jc w:val="center"/>
              <w:rPr>
                <w:rFonts w:hint="eastAsia" w:ascii="宋体" w:hAnsi="宋体" w:eastAsia="宋体" w:cs="宋体"/>
                <w:b/>
                <w:u w:val="single"/>
              </w:rPr>
            </w:pPr>
            <w:r>
              <w:rPr>
                <w:rFonts w:hint="eastAsia" w:ascii="宋体" w:hAnsi="宋体" w:eastAsia="宋体" w:cs="宋体"/>
                <w:b/>
                <w:sz w:val="32"/>
                <w:u w:val="single"/>
                <w:lang w:val="en-US" w:eastAsia="zh-CN"/>
              </w:rPr>
              <w:t xml:space="preserve">  </w:t>
            </w:r>
            <w:r>
              <w:rPr>
                <w:rFonts w:hint="eastAsia" w:ascii="宋体" w:hAnsi="宋体" w:cs="宋体"/>
                <w:b/>
                <w:sz w:val="32"/>
                <w:u w:val="single"/>
                <w:lang w:val="en-US" w:eastAsia="zh-CN"/>
              </w:rPr>
              <w:t xml:space="preserve"> </w:t>
            </w:r>
            <w:r>
              <w:rPr>
                <w:rFonts w:hint="eastAsia" w:ascii="宋体" w:hAnsi="宋体" w:eastAsia="宋体" w:cs="宋体"/>
                <w:b/>
                <w:sz w:val="32"/>
                <w:u w:val="single"/>
                <w:lang w:val="en-US" w:eastAsia="zh-CN"/>
              </w:rPr>
              <w:t xml:space="preserve"> </w:t>
            </w:r>
            <w:r>
              <w:rPr>
                <w:rFonts w:hint="eastAsia" w:ascii="宋体" w:hAnsi="宋体" w:eastAsia="宋体" w:cs="宋体"/>
                <w:b/>
                <w:sz w:val="32"/>
              </w:rPr>
              <w:t>年</w:t>
            </w:r>
            <w:r>
              <w:rPr>
                <w:rFonts w:hint="eastAsia" w:ascii="宋体" w:hAnsi="宋体" w:eastAsia="宋体" w:cs="宋体"/>
                <w:b/>
                <w:sz w:val="32"/>
                <w:u w:val="single"/>
              </w:rPr>
              <w:t xml:space="preserve">   </w:t>
            </w:r>
            <w:r>
              <w:rPr>
                <w:rFonts w:hint="eastAsia" w:ascii="宋体" w:hAnsi="宋体" w:eastAsia="宋体" w:cs="宋体"/>
                <w:b/>
                <w:sz w:val="32"/>
              </w:rPr>
              <w:t>月</w:t>
            </w:r>
            <w:r>
              <w:rPr>
                <w:rFonts w:hint="eastAsia" w:ascii="宋体" w:hAnsi="宋体" w:eastAsia="宋体" w:cs="宋体"/>
                <w:b/>
                <w:sz w:val="32"/>
                <w:u w:val="single"/>
              </w:rPr>
              <w:t xml:space="preserve">   </w:t>
            </w:r>
            <w:r>
              <w:rPr>
                <w:rFonts w:hint="eastAsia" w:ascii="宋体" w:hAnsi="宋体" w:eastAsia="宋体" w:cs="宋体"/>
                <w:b/>
                <w:sz w:val="32"/>
              </w:rPr>
              <w:t>日</w:t>
            </w:r>
            <w:r>
              <w:rPr>
                <w:rFonts w:hint="eastAsia" w:ascii="宋体" w:hAnsi="宋体" w:eastAsia="宋体" w:cs="宋体"/>
                <w:b/>
                <w:sz w:val="32"/>
                <w:u w:val="single"/>
              </w:rPr>
              <w:t xml:space="preserve">  </w:t>
            </w:r>
            <w:r>
              <w:rPr>
                <w:rFonts w:hint="eastAsia" w:ascii="宋体" w:hAnsi="宋体" w:eastAsia="宋体" w:cs="宋体"/>
                <w:b/>
                <w:sz w:val="32"/>
              </w:rPr>
              <w:t>时</w:t>
            </w:r>
            <w:r>
              <w:rPr>
                <w:rFonts w:hint="eastAsia" w:ascii="宋体" w:hAnsi="宋体" w:eastAsia="宋体" w:cs="宋体"/>
                <w:b/>
                <w:sz w:val="32"/>
                <w:u w:val="single"/>
              </w:rPr>
              <w:t xml:space="preserve">  </w:t>
            </w:r>
            <w:r>
              <w:rPr>
                <w:rFonts w:hint="eastAsia" w:ascii="宋体" w:hAnsi="宋体" w:eastAsia="宋体" w:cs="宋体"/>
                <w:b/>
                <w:sz w:val="32"/>
              </w:rPr>
              <w:t>分之前不得开启</w:t>
            </w:r>
          </w:p>
        </w:tc>
      </w:tr>
    </w:tbl>
    <w:p>
      <w:pPr>
        <w:pStyle w:val="37"/>
        <w:spacing w:line="360" w:lineRule="auto"/>
        <w:jc w:val="center"/>
        <w:rPr>
          <w:rFonts w:hint="eastAsia" w:ascii="宋体" w:hAnsi="宋体" w:eastAsia="宋体" w:cs="宋体"/>
          <w:b/>
          <w:sz w:val="32"/>
          <w:szCs w:val="32"/>
        </w:rPr>
      </w:pPr>
      <w:r>
        <w:rPr>
          <w:rFonts w:hint="eastAsia" w:ascii="宋体" w:hAnsi="宋体" w:eastAsia="宋体" w:cs="宋体"/>
          <w:bCs/>
          <w:sz w:val="28"/>
          <w:szCs w:val="28"/>
          <w:highlight w:val="none"/>
        </w:rPr>
        <w:br w:type="page"/>
      </w:r>
      <w:bookmarkEnd w:id="773"/>
      <w:bookmarkEnd w:id="774"/>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Fonts w:hint="eastAsia" w:ascii="宋体" w:hAnsi="宋体" w:eastAsia="宋体" w:cs="宋体"/>
          <w:b/>
          <w:sz w:val="32"/>
          <w:szCs w:val="32"/>
        </w:rPr>
        <w:t>响应文件目录表</w:t>
      </w:r>
    </w:p>
    <w:p>
      <w:pPr>
        <w:spacing w:line="360" w:lineRule="auto"/>
        <w:rPr>
          <w:rFonts w:hint="eastAsia" w:ascii="宋体" w:hAnsi="宋体" w:eastAsia="宋体" w:cs="宋体"/>
          <w:lang w:eastAsia="zh-CN"/>
        </w:rPr>
      </w:pPr>
      <w:r>
        <w:rPr>
          <w:rFonts w:hint="eastAsia" w:ascii="宋体" w:hAnsi="宋体" w:eastAsia="宋体" w:cs="宋体"/>
        </w:rPr>
        <w:t>项目名称：</w:t>
      </w:r>
      <w:r>
        <w:rPr>
          <w:rFonts w:hint="eastAsia" w:ascii="宋体" w:hAnsi="宋体" w:cs="宋体"/>
          <w:lang w:eastAsia="zh-CN"/>
        </w:rPr>
        <w:t>珠海市中级人民法院2023年科技法庭租赁服务项目</w:t>
      </w:r>
    </w:p>
    <w:p>
      <w:pPr>
        <w:spacing w:line="360" w:lineRule="auto"/>
        <w:rPr>
          <w:rFonts w:hint="eastAsia" w:ascii="宋体" w:hAnsi="宋体" w:eastAsia="宋体" w:cs="宋体"/>
          <w:lang w:eastAsia="zh-CN"/>
        </w:rPr>
      </w:pPr>
      <w:r>
        <w:rPr>
          <w:rFonts w:hint="eastAsia" w:ascii="宋体" w:hAnsi="宋体" w:eastAsia="宋体" w:cs="宋体"/>
        </w:rPr>
        <w:t>项目编号：</w:t>
      </w:r>
      <w:r>
        <w:rPr>
          <w:rFonts w:hint="eastAsia" w:ascii="宋体" w:hAnsi="宋体" w:cs="宋体"/>
          <w:lang w:eastAsia="zh-CN"/>
        </w:rPr>
        <w:t>ZHZN2023-135</w:t>
      </w:r>
    </w:p>
    <w:tbl>
      <w:tblPr>
        <w:tblStyle w:val="70"/>
        <w:tblW w:w="886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2"/>
        <w:gridCol w:w="536"/>
        <w:gridCol w:w="4495"/>
        <w:gridCol w:w="615"/>
        <w:gridCol w:w="582"/>
        <w:gridCol w:w="713"/>
        <w:gridCol w:w="7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1212" w:type="dxa"/>
            <w:vMerge w:val="restart"/>
            <w:tcBorders>
              <w:top w:val="single" w:color="auto" w:sz="12" w:space="0"/>
            </w:tcBorders>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文件类型</w:t>
            </w:r>
          </w:p>
        </w:tc>
        <w:tc>
          <w:tcPr>
            <w:tcW w:w="536" w:type="dxa"/>
            <w:vMerge w:val="restart"/>
            <w:tcBorders>
              <w:top w:val="single" w:color="auto" w:sz="12" w:space="0"/>
            </w:tcBorders>
            <w:shd w:val="clear" w:color="auto" w:fill="EEECE1"/>
            <w:noWrap w:val="0"/>
            <w:vAlign w:val="center"/>
          </w:tcPr>
          <w:p>
            <w:pPr>
              <w:ind w:left="-88" w:leftChars="-42" w:right="-82" w:rightChars="-39"/>
              <w:jc w:val="center"/>
              <w:rPr>
                <w:rFonts w:hint="eastAsia" w:ascii="宋体" w:hAnsi="宋体" w:eastAsia="宋体" w:cs="宋体"/>
                <w:b/>
              </w:rPr>
            </w:pPr>
            <w:r>
              <w:rPr>
                <w:rFonts w:hint="eastAsia" w:ascii="宋体" w:hAnsi="宋体" w:eastAsia="宋体" w:cs="宋体"/>
                <w:b/>
              </w:rPr>
              <w:t>序号</w:t>
            </w:r>
          </w:p>
        </w:tc>
        <w:tc>
          <w:tcPr>
            <w:tcW w:w="4495" w:type="dxa"/>
            <w:vMerge w:val="restart"/>
            <w:tcBorders>
              <w:top w:val="single" w:color="auto" w:sz="12" w:space="0"/>
            </w:tcBorders>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文件名称</w:t>
            </w:r>
          </w:p>
        </w:tc>
        <w:tc>
          <w:tcPr>
            <w:tcW w:w="1197" w:type="dxa"/>
            <w:gridSpan w:val="2"/>
            <w:tcBorders>
              <w:top w:val="single" w:color="auto" w:sz="12" w:space="0"/>
            </w:tcBorders>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提交情况</w:t>
            </w:r>
          </w:p>
        </w:tc>
        <w:tc>
          <w:tcPr>
            <w:tcW w:w="713" w:type="dxa"/>
            <w:vMerge w:val="restart"/>
            <w:tcBorders>
              <w:top w:val="single" w:color="auto" w:sz="12" w:space="0"/>
            </w:tcBorders>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页码范围</w:t>
            </w:r>
          </w:p>
        </w:tc>
        <w:tc>
          <w:tcPr>
            <w:tcW w:w="714" w:type="dxa"/>
            <w:vMerge w:val="restart"/>
            <w:tcBorders>
              <w:top w:val="single" w:color="auto" w:sz="12" w:space="0"/>
            </w:tcBorders>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1212" w:type="dxa"/>
            <w:vMerge w:val="continue"/>
            <w:shd w:val="clear" w:color="auto" w:fill="EEECE1"/>
            <w:noWrap w:val="0"/>
            <w:vAlign w:val="center"/>
          </w:tcPr>
          <w:p>
            <w:pPr>
              <w:jc w:val="center"/>
              <w:rPr>
                <w:rFonts w:hint="eastAsia" w:ascii="宋体" w:hAnsi="宋体" w:eastAsia="宋体" w:cs="宋体"/>
              </w:rPr>
            </w:pPr>
          </w:p>
        </w:tc>
        <w:tc>
          <w:tcPr>
            <w:tcW w:w="536" w:type="dxa"/>
            <w:vMerge w:val="continue"/>
            <w:shd w:val="clear" w:color="auto" w:fill="EEECE1"/>
            <w:noWrap w:val="0"/>
            <w:vAlign w:val="center"/>
          </w:tcPr>
          <w:p>
            <w:pPr>
              <w:rPr>
                <w:rFonts w:hint="eastAsia" w:ascii="宋体" w:hAnsi="宋体" w:eastAsia="宋体" w:cs="宋体"/>
              </w:rPr>
            </w:pPr>
          </w:p>
        </w:tc>
        <w:tc>
          <w:tcPr>
            <w:tcW w:w="4495" w:type="dxa"/>
            <w:vMerge w:val="continue"/>
            <w:shd w:val="clear" w:color="auto" w:fill="EEECE1"/>
            <w:noWrap w:val="0"/>
            <w:vAlign w:val="center"/>
          </w:tcPr>
          <w:p>
            <w:pPr>
              <w:rPr>
                <w:rFonts w:hint="eastAsia" w:ascii="宋体" w:hAnsi="宋体" w:eastAsia="宋体" w:cs="宋体"/>
              </w:rPr>
            </w:pPr>
          </w:p>
        </w:tc>
        <w:tc>
          <w:tcPr>
            <w:tcW w:w="615" w:type="dxa"/>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有</w:t>
            </w:r>
          </w:p>
        </w:tc>
        <w:tc>
          <w:tcPr>
            <w:tcW w:w="582" w:type="dxa"/>
            <w:shd w:val="clear" w:color="auto" w:fill="EEECE1"/>
            <w:noWrap w:val="0"/>
            <w:vAlign w:val="center"/>
          </w:tcPr>
          <w:p>
            <w:pPr>
              <w:jc w:val="center"/>
              <w:rPr>
                <w:rFonts w:hint="eastAsia" w:ascii="宋体" w:hAnsi="宋体" w:eastAsia="宋体" w:cs="宋体"/>
                <w:b/>
              </w:rPr>
            </w:pPr>
            <w:r>
              <w:rPr>
                <w:rFonts w:hint="eastAsia" w:ascii="宋体" w:hAnsi="宋体" w:eastAsia="宋体" w:cs="宋体"/>
                <w:b/>
              </w:rPr>
              <w:t>无</w:t>
            </w:r>
          </w:p>
        </w:tc>
        <w:tc>
          <w:tcPr>
            <w:tcW w:w="713" w:type="dxa"/>
            <w:vMerge w:val="continue"/>
            <w:shd w:val="clear" w:color="auto" w:fill="EEECE1"/>
            <w:noWrap w:val="0"/>
            <w:vAlign w:val="center"/>
          </w:tcPr>
          <w:p>
            <w:pPr>
              <w:jc w:val="center"/>
              <w:rPr>
                <w:rFonts w:hint="eastAsia" w:ascii="宋体" w:hAnsi="宋体" w:eastAsia="宋体" w:cs="宋体"/>
              </w:rPr>
            </w:pPr>
          </w:p>
        </w:tc>
        <w:tc>
          <w:tcPr>
            <w:tcW w:w="714" w:type="dxa"/>
            <w:vMerge w:val="continue"/>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4" w:hRule="atLeast"/>
          <w:jc w:val="center"/>
        </w:trPr>
        <w:tc>
          <w:tcPr>
            <w:tcW w:w="1212" w:type="dxa"/>
            <w:vMerge w:val="restart"/>
            <w:shd w:val="clear" w:color="auto" w:fill="auto"/>
            <w:noWrap w:val="0"/>
            <w:vAlign w:val="center"/>
          </w:tcPr>
          <w:p>
            <w:pPr>
              <w:jc w:val="center"/>
              <w:rPr>
                <w:rFonts w:hint="eastAsia" w:ascii="宋体" w:hAnsi="宋体" w:eastAsia="宋体" w:cs="宋体"/>
                <w:lang w:eastAsia="zh-CN"/>
              </w:rPr>
            </w:pPr>
            <w:r>
              <w:rPr>
                <w:rFonts w:hint="eastAsia" w:ascii="宋体" w:hAnsi="宋体" w:eastAsia="宋体" w:cs="宋体"/>
                <w:b/>
              </w:rPr>
              <w:t>初审文件</w:t>
            </w:r>
            <w:r>
              <w:rPr>
                <w:rFonts w:hint="eastAsia" w:ascii="宋体" w:hAnsi="宋体" w:cs="宋体"/>
                <w:b/>
                <w:lang w:eastAsia="zh-CN"/>
              </w:rPr>
              <w:t>（</w:t>
            </w:r>
            <w:r>
              <w:rPr>
                <w:rFonts w:hint="eastAsia" w:ascii="宋体" w:hAnsi="宋体" w:eastAsia="宋体" w:cs="宋体"/>
                <w:b/>
              </w:rPr>
              <w:t>加盖响应供应商公章</w:t>
            </w:r>
            <w:r>
              <w:rPr>
                <w:rFonts w:hint="eastAsia" w:ascii="宋体" w:hAnsi="宋体" w:cs="宋体"/>
                <w:b/>
                <w:lang w:eastAsia="zh-CN"/>
              </w:rPr>
              <w:t>）</w:t>
            </w:r>
          </w:p>
        </w:tc>
        <w:tc>
          <w:tcPr>
            <w:tcW w:w="536" w:type="dxa"/>
            <w:shd w:val="clear" w:color="auto" w:fill="auto"/>
            <w:noWrap w:val="0"/>
            <w:vAlign w:val="center"/>
          </w:tcPr>
          <w:p>
            <w:pPr>
              <w:widowControl w:val="0"/>
              <w:numPr>
                <w:ilvl w:val="0"/>
                <w:numId w:val="4"/>
                <w:numberingChange w:id="0" w:author="LCJ" w:date="2020-01-23T13:47:00Z" w:original="%1:1:0:"/>
              </w:numPr>
              <w:jc w:val="center"/>
              <w:rPr>
                <w:rFonts w:hint="eastAsia" w:ascii="宋体" w:hAnsi="宋体" w:eastAsia="宋体" w:cs="宋体"/>
              </w:rPr>
            </w:pPr>
          </w:p>
        </w:tc>
        <w:tc>
          <w:tcPr>
            <w:tcW w:w="4495" w:type="dxa"/>
            <w:shd w:val="clear" w:color="auto" w:fill="auto"/>
            <w:noWrap w:val="0"/>
            <w:vAlign w:val="center"/>
          </w:tcPr>
          <w:p>
            <w:pPr>
              <w:pStyle w:val="37"/>
              <w:rPr>
                <w:rFonts w:hint="eastAsia" w:ascii="宋体" w:hAnsi="宋体" w:eastAsia="宋体" w:cs="宋体"/>
                <w:lang w:val="en-US" w:eastAsia="zh-CN"/>
              </w:rPr>
            </w:pPr>
            <w:r>
              <w:rPr>
                <w:rFonts w:hint="eastAsia" w:ascii="宋体" w:hAnsi="宋体" w:eastAsia="宋体" w:cs="宋体"/>
                <w:lang w:val="en-US" w:eastAsia="zh-CN"/>
              </w:rPr>
              <w:t>响应函</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beringChange w:id="1" w:author="LCJ" w:date="2020-01-23T13:47:00Z" w:original="%1:2:0:"/>
              </w:numPr>
              <w:jc w:val="center"/>
              <w:rPr>
                <w:rFonts w:hint="eastAsia" w:ascii="宋体" w:hAnsi="宋体" w:eastAsia="宋体" w:cs="宋体"/>
              </w:rPr>
            </w:pPr>
          </w:p>
        </w:tc>
        <w:tc>
          <w:tcPr>
            <w:tcW w:w="4495" w:type="dxa"/>
            <w:shd w:val="clear" w:color="auto" w:fill="auto"/>
            <w:noWrap w:val="0"/>
            <w:vAlign w:val="center"/>
          </w:tcPr>
          <w:p>
            <w:pPr>
              <w:pStyle w:val="37"/>
              <w:rPr>
                <w:rFonts w:hint="eastAsia" w:ascii="宋体" w:hAnsi="宋体" w:eastAsia="宋体" w:cs="宋体"/>
                <w:lang w:val="en-US" w:eastAsia="zh-CN"/>
              </w:rPr>
            </w:pPr>
            <w:r>
              <w:rPr>
                <w:rFonts w:hint="eastAsia" w:ascii="宋体" w:hAnsi="宋体" w:eastAsia="宋体" w:cs="宋体"/>
                <w:kern w:val="0"/>
                <w:lang w:val="en-US" w:eastAsia="zh-CN"/>
              </w:rPr>
              <w:t>声明函</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beringChange w:id="2" w:author="LCJ" w:date="2020-01-23T13:47:00Z" w:original="%1:3:0:"/>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rPr>
            </w:pPr>
            <w:r>
              <w:rPr>
                <w:rFonts w:hint="eastAsia" w:ascii="宋体" w:hAnsi="宋体" w:eastAsia="宋体" w:cs="宋体"/>
                <w:bCs/>
              </w:rPr>
              <w:t>法人或者其他组织的营业执照、组织机构代码证和税务登记证</w:t>
            </w:r>
            <w:r>
              <w:rPr>
                <w:rFonts w:hint="eastAsia" w:ascii="宋体" w:hAnsi="宋体" w:cs="宋体"/>
                <w:bCs/>
                <w:lang w:eastAsia="zh-CN"/>
              </w:rPr>
              <w:t>（</w:t>
            </w:r>
            <w:r>
              <w:rPr>
                <w:rFonts w:hint="eastAsia" w:ascii="宋体" w:hAnsi="宋体" w:eastAsia="宋体" w:cs="宋体"/>
                <w:bCs/>
              </w:rPr>
              <w:t>或三证合一证明</w:t>
            </w:r>
            <w:r>
              <w:rPr>
                <w:rFonts w:hint="eastAsia" w:ascii="宋体" w:hAnsi="宋体" w:cs="宋体"/>
                <w:bCs/>
                <w:lang w:eastAsia="zh-CN"/>
              </w:rPr>
              <w:t>）</w:t>
            </w:r>
            <w:r>
              <w:rPr>
                <w:rFonts w:hint="eastAsia" w:ascii="宋体" w:hAnsi="宋体" w:eastAsia="宋体" w:cs="宋体"/>
                <w:bCs/>
              </w:rPr>
              <w:t>证明文件复印件</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beringChange w:id="3" w:author="LCJ" w:date="2020-01-23T13:47:00Z" w:original="%1:4:0:"/>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bCs/>
              </w:rPr>
            </w:pPr>
            <w:r>
              <w:rPr>
                <w:rFonts w:hint="eastAsia" w:ascii="宋体" w:hAnsi="宋体" w:eastAsia="宋体" w:cs="宋体"/>
              </w:rPr>
              <w:t>法定代表人证明书</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beringChange w:id="4" w:author="LCJ" w:date="2020-01-23T13:47:00Z" w:original="%1:5:0:"/>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bCs/>
              </w:rPr>
            </w:pPr>
            <w:r>
              <w:rPr>
                <w:rFonts w:hint="eastAsia" w:ascii="宋体" w:hAnsi="宋体" w:eastAsia="宋体" w:cs="宋体"/>
              </w:rPr>
              <w:t>法定代表人授权委托书</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Pr>
              <w:jc w:val="center"/>
              <w:rPr>
                <w:rFonts w:hint="eastAsia" w:ascii="宋体" w:hAnsi="宋体" w:eastAsia="宋体" w:cs="宋体"/>
              </w:rPr>
            </w:pPr>
          </w:p>
        </w:tc>
        <w:tc>
          <w:tcPr>
            <w:tcW w:w="4495" w:type="dxa"/>
            <w:shd w:val="clear" w:color="auto" w:fill="auto"/>
            <w:noWrap w:val="0"/>
            <w:vAlign w:val="center"/>
          </w:tcPr>
          <w:p>
            <w:pPr>
              <w:rPr>
                <w:rFonts w:hint="eastAsia" w:ascii="宋体" w:hAnsi="宋体" w:eastAsia="宋体" w:cs="宋体"/>
              </w:rPr>
            </w:pPr>
            <w:r>
              <w:rPr>
                <w:rFonts w:hint="eastAsia" w:ascii="宋体" w:hAnsi="宋体" w:eastAsia="宋体" w:cs="宋体"/>
              </w:rPr>
              <w:t>资格条件承诺函</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Pr>
              <w:jc w:val="center"/>
              <w:rPr>
                <w:rFonts w:hint="eastAsia" w:ascii="宋体" w:hAnsi="宋体" w:eastAsia="宋体" w:cs="宋体"/>
              </w:rPr>
            </w:pPr>
          </w:p>
        </w:tc>
        <w:tc>
          <w:tcPr>
            <w:tcW w:w="4495" w:type="dxa"/>
            <w:shd w:val="clear" w:color="auto" w:fill="auto"/>
            <w:noWrap w:val="0"/>
            <w:vAlign w:val="center"/>
          </w:tcPr>
          <w:p>
            <w:pPr>
              <w:rPr>
                <w:rFonts w:hint="default" w:ascii="宋体" w:hAnsi="宋体" w:eastAsia="宋体" w:cs="宋体"/>
                <w:lang w:val="en-US" w:eastAsia="zh-CN"/>
              </w:rPr>
            </w:pPr>
            <w:r>
              <w:rPr>
                <w:rFonts w:hint="eastAsia" w:ascii="宋体" w:hAnsi="宋体" w:cs="宋体"/>
                <w:lang w:val="en-US" w:eastAsia="zh-CN"/>
              </w:rPr>
              <w:t>第一次报价一览表</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rPr>
            </w:pPr>
          </w:p>
        </w:tc>
        <w:tc>
          <w:tcPr>
            <w:tcW w:w="536" w:type="dxa"/>
            <w:shd w:val="clear" w:color="auto" w:fill="auto"/>
            <w:noWrap w:val="0"/>
            <w:vAlign w:val="center"/>
          </w:tcPr>
          <w:p>
            <w:pPr>
              <w:widowControl w:val="0"/>
              <w:numPr>
                <w:ilvl w:val="0"/>
                <w:numId w:val="4"/>
              </w:numPr>
              <w:jc w:val="center"/>
              <w:rPr>
                <w:rFonts w:hint="eastAsia" w:ascii="宋体" w:hAnsi="宋体" w:eastAsia="宋体" w:cs="宋体"/>
              </w:rPr>
            </w:pPr>
          </w:p>
        </w:tc>
        <w:tc>
          <w:tcPr>
            <w:tcW w:w="4495" w:type="dxa"/>
            <w:shd w:val="clear" w:color="auto" w:fill="auto"/>
            <w:noWrap w:val="0"/>
            <w:vAlign w:val="center"/>
          </w:tcPr>
          <w:p>
            <w:pPr>
              <w:rPr>
                <w:rFonts w:hint="eastAsia" w:ascii="宋体" w:hAnsi="宋体" w:eastAsia="宋体" w:cs="宋体"/>
              </w:rPr>
            </w:pPr>
            <w:r>
              <w:rPr>
                <w:rFonts w:hint="eastAsia" w:ascii="宋体" w:hAnsi="宋体" w:eastAsia="宋体" w:cs="宋体"/>
              </w:rPr>
              <w:t>分项报价表</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212" w:type="dxa"/>
            <w:vMerge w:val="restart"/>
            <w:shd w:val="clear" w:color="auto" w:fill="auto"/>
            <w:noWrap w:val="0"/>
            <w:vAlign w:val="center"/>
          </w:tcPr>
          <w:p>
            <w:pPr>
              <w:ind w:left="0" w:leftChars="0" w:right="113" w:firstLine="0" w:firstLineChars="0"/>
              <w:jc w:val="center"/>
              <w:rPr>
                <w:rFonts w:hint="eastAsia" w:ascii="宋体" w:hAnsi="宋体" w:eastAsia="宋体" w:cs="宋体"/>
                <w:lang w:eastAsia="zh-CN"/>
              </w:rPr>
            </w:pPr>
            <w:r>
              <w:rPr>
                <w:rFonts w:hint="eastAsia" w:ascii="宋体" w:hAnsi="宋体" w:eastAsia="宋体" w:cs="宋体"/>
                <w:b/>
              </w:rPr>
              <w:t>响应供应商应提交的商务技术文件</w:t>
            </w:r>
            <w:r>
              <w:rPr>
                <w:rFonts w:hint="eastAsia" w:ascii="宋体" w:hAnsi="宋体" w:cs="宋体"/>
                <w:b/>
                <w:lang w:eastAsia="zh-CN"/>
              </w:rPr>
              <w:t>（</w:t>
            </w:r>
            <w:r>
              <w:rPr>
                <w:rFonts w:hint="eastAsia" w:ascii="宋体" w:hAnsi="宋体" w:eastAsia="宋体" w:cs="宋体"/>
                <w:b/>
                <w:bCs/>
              </w:rPr>
              <w:t>加盖响应供应商公章</w:t>
            </w:r>
            <w:r>
              <w:rPr>
                <w:rFonts w:hint="eastAsia" w:ascii="宋体" w:hAnsi="宋体" w:cs="宋体"/>
                <w:b/>
                <w:lang w:eastAsia="zh-CN"/>
              </w:rPr>
              <w:t>）</w:t>
            </w:r>
          </w:p>
        </w:tc>
        <w:tc>
          <w:tcPr>
            <w:tcW w:w="536" w:type="dxa"/>
            <w:shd w:val="clear" w:color="auto" w:fill="auto"/>
            <w:noWrap w:val="0"/>
            <w:vAlign w:val="center"/>
          </w:tcPr>
          <w:p>
            <w:pPr>
              <w:widowControl w:val="0"/>
              <w:numPr>
                <w:ilvl w:val="0"/>
                <w:numId w:val="5"/>
                <w:numberingChange w:id="5" w:author="LCJ" w:date="2020-01-23T13:47:00Z" w:original="%1:1:0:"/>
              </w:numPr>
              <w:jc w:val="center"/>
              <w:rPr>
                <w:rFonts w:hint="eastAsia" w:ascii="宋体" w:hAnsi="宋体" w:eastAsia="宋体" w:cs="宋体"/>
              </w:rPr>
            </w:pPr>
          </w:p>
        </w:tc>
        <w:tc>
          <w:tcPr>
            <w:tcW w:w="4495" w:type="dxa"/>
            <w:shd w:val="clear" w:color="auto" w:fill="auto"/>
            <w:noWrap w:val="0"/>
            <w:vAlign w:val="center"/>
          </w:tcPr>
          <w:p>
            <w:pPr>
              <w:rPr>
                <w:rFonts w:hint="eastAsia" w:ascii="宋体" w:hAnsi="宋体" w:eastAsia="宋体" w:cs="宋体"/>
              </w:rPr>
            </w:pPr>
            <w:r>
              <w:rPr>
                <w:rFonts w:hint="eastAsia" w:ascii="宋体" w:hAnsi="宋体" w:eastAsia="宋体" w:cs="宋体"/>
              </w:rPr>
              <w:t>响应供应商基本情况表</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b/>
              </w:rPr>
            </w:pPr>
          </w:p>
        </w:tc>
        <w:tc>
          <w:tcPr>
            <w:tcW w:w="536" w:type="dxa"/>
            <w:shd w:val="clear" w:color="auto" w:fill="auto"/>
            <w:noWrap w:val="0"/>
            <w:vAlign w:val="center"/>
          </w:tcPr>
          <w:p>
            <w:pPr>
              <w:widowControl w:val="0"/>
              <w:numPr>
                <w:ilvl w:val="0"/>
                <w:numId w:val="5"/>
              </w:numPr>
              <w:jc w:val="center"/>
              <w:rPr>
                <w:rFonts w:hint="eastAsia" w:ascii="宋体" w:hAnsi="宋体" w:eastAsia="宋体" w:cs="宋体"/>
              </w:rPr>
            </w:pPr>
          </w:p>
        </w:tc>
        <w:tc>
          <w:tcPr>
            <w:tcW w:w="4495" w:type="dxa"/>
            <w:shd w:val="clear" w:color="auto" w:fill="auto"/>
            <w:noWrap w:val="0"/>
            <w:vAlign w:val="center"/>
          </w:tcPr>
          <w:p>
            <w:pPr>
              <w:rPr>
                <w:rFonts w:hint="eastAsia" w:ascii="宋体" w:hAnsi="宋体" w:eastAsia="宋体" w:cs="宋体"/>
              </w:rPr>
            </w:pPr>
            <w:r>
              <w:rPr>
                <w:rFonts w:hint="eastAsia" w:ascii="宋体" w:hAnsi="宋体" w:eastAsia="宋体" w:cs="宋体"/>
              </w:rPr>
              <w:t>评分细则中技术部分要求提供的证明材料</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b/>
              </w:rPr>
            </w:pPr>
          </w:p>
        </w:tc>
        <w:tc>
          <w:tcPr>
            <w:tcW w:w="536" w:type="dxa"/>
            <w:shd w:val="clear" w:color="auto" w:fill="auto"/>
            <w:noWrap w:val="0"/>
            <w:vAlign w:val="center"/>
          </w:tcPr>
          <w:p>
            <w:pPr>
              <w:widowControl w:val="0"/>
              <w:numPr>
                <w:ilvl w:val="0"/>
                <w:numId w:val="5"/>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rPr>
            </w:pPr>
            <w:r>
              <w:rPr>
                <w:rFonts w:hint="eastAsia" w:ascii="宋体" w:hAnsi="宋体" w:eastAsia="宋体" w:cs="宋体"/>
              </w:rPr>
              <w:t>评分细则中商务部分</w:t>
            </w:r>
            <w:r>
              <w:rPr>
                <w:rFonts w:hint="eastAsia" w:ascii="宋体" w:hAnsi="宋体" w:eastAsia="宋体" w:cs="宋体"/>
                <w:szCs w:val="22"/>
              </w:rPr>
              <w:t>要</w:t>
            </w:r>
            <w:r>
              <w:rPr>
                <w:rFonts w:hint="eastAsia" w:ascii="宋体" w:hAnsi="宋体" w:eastAsia="宋体" w:cs="宋体"/>
              </w:rPr>
              <w:t>求提供的证明材料</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b/>
              </w:rPr>
            </w:pPr>
          </w:p>
        </w:tc>
        <w:tc>
          <w:tcPr>
            <w:tcW w:w="536" w:type="dxa"/>
            <w:shd w:val="clear" w:color="auto" w:fill="auto"/>
            <w:noWrap w:val="0"/>
            <w:vAlign w:val="center"/>
          </w:tcPr>
          <w:p>
            <w:pPr>
              <w:widowControl w:val="0"/>
              <w:numPr>
                <w:ilvl w:val="0"/>
                <w:numId w:val="5"/>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szCs w:val="22"/>
              </w:rPr>
            </w:pPr>
            <w:r>
              <w:rPr>
                <w:rFonts w:hint="eastAsia" w:ascii="宋体" w:hAnsi="宋体" w:eastAsia="宋体" w:cs="宋体"/>
                <w:szCs w:val="22"/>
              </w:rPr>
              <w:t>商务条款响应一览表</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b/>
              </w:rPr>
            </w:pPr>
          </w:p>
        </w:tc>
        <w:tc>
          <w:tcPr>
            <w:tcW w:w="536" w:type="dxa"/>
            <w:shd w:val="clear" w:color="auto" w:fill="auto"/>
            <w:noWrap w:val="0"/>
            <w:vAlign w:val="center"/>
          </w:tcPr>
          <w:p>
            <w:pPr>
              <w:widowControl w:val="0"/>
              <w:numPr>
                <w:ilvl w:val="0"/>
                <w:numId w:val="5"/>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szCs w:val="22"/>
              </w:rPr>
            </w:pPr>
            <w:r>
              <w:rPr>
                <w:rFonts w:hint="eastAsia" w:ascii="宋体" w:hAnsi="宋体" w:eastAsia="宋体" w:cs="宋体"/>
                <w:szCs w:val="22"/>
              </w:rPr>
              <w:t>技术条款响应一览表</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212" w:type="dxa"/>
            <w:vMerge w:val="continue"/>
            <w:shd w:val="clear" w:color="auto" w:fill="auto"/>
            <w:noWrap w:val="0"/>
            <w:vAlign w:val="center"/>
          </w:tcPr>
          <w:p>
            <w:pPr>
              <w:ind w:left="113" w:right="113"/>
              <w:jc w:val="center"/>
              <w:rPr>
                <w:rFonts w:hint="eastAsia" w:ascii="宋体" w:hAnsi="宋体" w:eastAsia="宋体" w:cs="宋体"/>
                <w:b/>
              </w:rPr>
            </w:pPr>
          </w:p>
        </w:tc>
        <w:tc>
          <w:tcPr>
            <w:tcW w:w="536" w:type="dxa"/>
            <w:shd w:val="clear" w:color="auto" w:fill="auto"/>
            <w:noWrap w:val="0"/>
            <w:vAlign w:val="center"/>
          </w:tcPr>
          <w:p>
            <w:pPr>
              <w:widowControl w:val="0"/>
              <w:numPr>
                <w:ilvl w:val="0"/>
                <w:numId w:val="5"/>
              </w:numPr>
              <w:jc w:val="center"/>
              <w:rPr>
                <w:rFonts w:hint="eastAsia" w:ascii="宋体" w:hAnsi="宋体" w:eastAsia="宋体" w:cs="宋体"/>
              </w:rPr>
            </w:pPr>
          </w:p>
        </w:tc>
        <w:tc>
          <w:tcPr>
            <w:tcW w:w="4495" w:type="dxa"/>
            <w:shd w:val="clear" w:color="auto" w:fill="auto"/>
            <w:noWrap w:val="0"/>
            <w:vAlign w:val="center"/>
          </w:tcPr>
          <w:p>
            <w:pPr>
              <w:snapToGrid w:val="0"/>
              <w:rPr>
                <w:rFonts w:hint="eastAsia" w:ascii="宋体" w:hAnsi="宋体" w:eastAsia="宋体" w:cs="宋体"/>
                <w:szCs w:val="22"/>
              </w:rPr>
            </w:pPr>
            <w:r>
              <w:rPr>
                <w:rFonts w:hint="eastAsia" w:ascii="宋体" w:hAnsi="宋体" w:eastAsia="宋体" w:cs="宋体"/>
              </w:rPr>
              <w:t>响应供应商认为需要提供的其他商务技术资料</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1212" w:type="dxa"/>
            <w:shd w:val="clear" w:color="auto" w:fill="auto"/>
            <w:noWrap w:val="0"/>
            <w:vAlign w:val="center"/>
          </w:tcPr>
          <w:p>
            <w:pPr>
              <w:jc w:val="center"/>
              <w:rPr>
                <w:rFonts w:hint="eastAsia" w:ascii="宋体" w:hAnsi="宋体" w:eastAsia="宋体" w:cs="宋体"/>
              </w:rPr>
            </w:pPr>
            <w:r>
              <w:rPr>
                <w:rFonts w:hint="eastAsia" w:ascii="宋体" w:hAnsi="宋体" w:eastAsia="宋体" w:cs="宋体"/>
                <w:b/>
                <w:szCs w:val="22"/>
              </w:rPr>
              <w:t>其他资料</w:t>
            </w:r>
          </w:p>
        </w:tc>
        <w:tc>
          <w:tcPr>
            <w:tcW w:w="536" w:type="dxa"/>
            <w:shd w:val="clear" w:color="auto" w:fill="auto"/>
            <w:noWrap w:val="0"/>
            <w:vAlign w:val="center"/>
          </w:tcPr>
          <w:p>
            <w:pPr>
              <w:widowControl w:val="0"/>
              <w:jc w:val="center"/>
              <w:rPr>
                <w:rFonts w:hint="eastAsia" w:ascii="宋体" w:hAnsi="宋体" w:eastAsia="宋体" w:cs="宋体"/>
              </w:rPr>
            </w:pPr>
            <w:r>
              <w:rPr>
                <w:rFonts w:hint="eastAsia" w:ascii="宋体" w:hAnsi="宋体" w:eastAsia="宋体" w:cs="宋体"/>
              </w:rPr>
              <w:t>1</w:t>
            </w:r>
          </w:p>
        </w:tc>
        <w:tc>
          <w:tcPr>
            <w:tcW w:w="4495" w:type="dxa"/>
            <w:shd w:val="clear" w:color="auto" w:fill="auto"/>
            <w:noWrap w:val="0"/>
            <w:vAlign w:val="center"/>
          </w:tcPr>
          <w:p>
            <w:pPr>
              <w:pStyle w:val="37"/>
              <w:rPr>
                <w:rFonts w:hint="eastAsia" w:ascii="宋体" w:hAnsi="宋体" w:eastAsia="宋体" w:cs="宋体"/>
                <w:lang w:val="en-US" w:eastAsia="zh-CN"/>
              </w:rPr>
            </w:pPr>
            <w:r>
              <w:rPr>
                <w:rFonts w:hint="eastAsia" w:ascii="宋体" w:hAnsi="宋体" w:eastAsia="宋体" w:cs="宋体"/>
                <w:szCs w:val="22"/>
                <w:lang w:val="en-US" w:eastAsia="zh-CN"/>
              </w:rPr>
              <w:t>响应供应商认为需要提供的其它说明和资料</w:t>
            </w:r>
          </w:p>
        </w:tc>
        <w:tc>
          <w:tcPr>
            <w:tcW w:w="615" w:type="dxa"/>
            <w:shd w:val="clear" w:color="auto" w:fill="auto"/>
            <w:noWrap w:val="0"/>
            <w:vAlign w:val="center"/>
          </w:tcPr>
          <w:p>
            <w:pPr>
              <w:jc w:val="center"/>
              <w:rPr>
                <w:rFonts w:hint="eastAsia" w:ascii="宋体" w:hAnsi="宋体" w:eastAsia="宋体" w:cs="宋体"/>
              </w:rPr>
            </w:pPr>
          </w:p>
        </w:tc>
        <w:tc>
          <w:tcPr>
            <w:tcW w:w="582" w:type="dxa"/>
            <w:shd w:val="clear" w:color="auto" w:fill="auto"/>
            <w:noWrap w:val="0"/>
            <w:vAlign w:val="center"/>
          </w:tcPr>
          <w:p>
            <w:pPr>
              <w:jc w:val="center"/>
              <w:rPr>
                <w:rFonts w:hint="eastAsia" w:ascii="宋体" w:hAnsi="宋体" w:eastAsia="宋体" w:cs="宋体"/>
              </w:rPr>
            </w:pPr>
          </w:p>
        </w:tc>
        <w:tc>
          <w:tcPr>
            <w:tcW w:w="713" w:type="dxa"/>
            <w:shd w:val="clear" w:color="auto" w:fill="EEECE1"/>
            <w:noWrap w:val="0"/>
            <w:vAlign w:val="center"/>
          </w:tcPr>
          <w:p>
            <w:pPr>
              <w:jc w:val="center"/>
              <w:rPr>
                <w:rFonts w:hint="eastAsia" w:ascii="宋体" w:hAnsi="宋体" w:eastAsia="宋体" w:cs="宋体"/>
              </w:rPr>
            </w:pPr>
          </w:p>
        </w:tc>
        <w:tc>
          <w:tcPr>
            <w:tcW w:w="714" w:type="dxa"/>
            <w:shd w:val="clear" w:color="auto" w:fill="EEECE1"/>
            <w:noWrap w:val="0"/>
            <w:vAlign w:val="center"/>
          </w:tcPr>
          <w:p>
            <w:pPr>
              <w:jc w:val="center"/>
              <w:rPr>
                <w:rFonts w:hint="eastAsia" w:ascii="宋体" w:hAnsi="宋体" w:eastAsia="宋体" w:cs="宋体"/>
              </w:rPr>
            </w:pPr>
          </w:p>
        </w:tc>
      </w:tr>
    </w:tbl>
    <w:p>
      <w:pPr>
        <w:pStyle w:val="28"/>
        <w:rPr>
          <w:rFonts w:hint="eastAsia" w:ascii="宋体" w:hAnsi="宋体" w:eastAsia="宋体" w:cs="宋体"/>
        </w:rPr>
      </w:pPr>
    </w:p>
    <w:p>
      <w:pPr>
        <w:spacing w:line="360" w:lineRule="auto"/>
        <w:jc w:val="center"/>
        <w:rPr>
          <w:rFonts w:hint="eastAsia" w:ascii="宋体" w:hAnsi="宋体" w:eastAsia="宋体" w:cs="宋体"/>
          <w:b/>
          <w:sz w:val="44"/>
        </w:rPr>
      </w:pPr>
    </w:p>
    <w:p>
      <w:pPr>
        <w:spacing w:line="360" w:lineRule="auto"/>
        <w:jc w:val="both"/>
        <w:outlineLvl w:val="2"/>
        <w:rPr>
          <w:rFonts w:ascii="宋体" w:hAnsi="宋体" w:cs="宋体"/>
          <w:b/>
          <w:bCs/>
          <w:sz w:val="36"/>
          <w:szCs w:val="44"/>
        </w:rPr>
      </w:pPr>
      <w:r>
        <w:rPr>
          <w:rFonts w:hint="eastAsia" w:ascii="宋体" w:hAnsi="宋体" w:eastAsia="宋体" w:cs="宋体"/>
          <w:sz w:val="24"/>
          <w:szCs w:val="24"/>
        </w:rPr>
        <w:br w:type="page"/>
      </w:r>
      <w:bookmarkStart w:id="803" w:name="_Toc5272"/>
      <w:bookmarkStart w:id="804" w:name="_Toc37919898"/>
      <w:bookmarkStart w:id="805" w:name="_Toc31465"/>
      <w:bookmarkStart w:id="806" w:name="_Toc20907"/>
      <w:bookmarkStart w:id="807" w:name="_Toc23370"/>
      <w:bookmarkStart w:id="808" w:name="_Toc30289"/>
      <w:bookmarkStart w:id="809" w:name="_Toc14272"/>
      <w:bookmarkStart w:id="810" w:name="_Toc9268"/>
      <w:bookmarkStart w:id="811" w:name="_Toc5427"/>
      <w:bookmarkStart w:id="812" w:name="_Toc22529"/>
      <w:bookmarkStart w:id="813" w:name="_Toc2281"/>
      <w:r>
        <w:rPr>
          <w:rFonts w:hint="eastAsia" w:ascii="宋体" w:hAnsi="宋体" w:cs="宋体"/>
          <w:b/>
          <w:bCs/>
          <w:sz w:val="36"/>
          <w:szCs w:val="44"/>
        </w:rPr>
        <w:t>一．资格性文件</w:t>
      </w:r>
      <w:bookmarkEnd w:id="803"/>
      <w:bookmarkEnd w:id="804"/>
      <w:bookmarkEnd w:id="805"/>
      <w:bookmarkEnd w:id="806"/>
      <w:bookmarkEnd w:id="807"/>
      <w:bookmarkEnd w:id="808"/>
      <w:bookmarkEnd w:id="809"/>
      <w:bookmarkEnd w:id="810"/>
      <w:bookmarkEnd w:id="811"/>
      <w:bookmarkEnd w:id="812"/>
    </w:p>
    <w:bookmarkEnd w:id="813"/>
    <w:p>
      <w:pPr>
        <w:pStyle w:val="5"/>
        <w:rPr>
          <w:rFonts w:ascii="宋体" w:hAnsi="宋体" w:cs="宋体"/>
          <w:sz w:val="28"/>
          <w:szCs w:val="28"/>
        </w:rPr>
      </w:pPr>
      <w:bookmarkStart w:id="814" w:name="_Toc4008"/>
      <w:bookmarkStart w:id="815" w:name="_Toc21445"/>
      <w:bookmarkStart w:id="816" w:name="_Toc13162"/>
      <w:bookmarkStart w:id="817" w:name="_Toc37919899"/>
      <w:bookmarkStart w:id="818" w:name="_Toc276645580"/>
      <w:bookmarkStart w:id="819" w:name="_Toc29985"/>
      <w:bookmarkStart w:id="820" w:name="_Toc259090983"/>
      <w:bookmarkStart w:id="821" w:name="_Toc3387048"/>
      <w:bookmarkStart w:id="822" w:name="_Toc28153"/>
      <w:bookmarkStart w:id="823" w:name="_Toc24016"/>
      <w:bookmarkStart w:id="824" w:name="_Toc11861"/>
      <w:bookmarkStart w:id="825" w:name="_Toc531617924"/>
      <w:bookmarkStart w:id="826" w:name="_Toc497076566"/>
      <w:bookmarkStart w:id="827" w:name="_Toc1369"/>
      <w:bookmarkStart w:id="828" w:name="_Toc13491"/>
      <w:r>
        <w:rPr>
          <w:rFonts w:hint="eastAsia" w:ascii="宋体" w:hAnsi="宋体" w:cs="宋体"/>
          <w:sz w:val="28"/>
          <w:szCs w:val="28"/>
        </w:rPr>
        <w:t>1.1</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Fonts w:hint="eastAsia" w:ascii="宋体" w:hAnsi="宋体" w:cs="宋体"/>
          <w:sz w:val="28"/>
          <w:szCs w:val="28"/>
          <w:lang w:val="en-US" w:eastAsia="zh-CN"/>
        </w:rPr>
        <w:t>磋商</w:t>
      </w:r>
      <w:r>
        <w:rPr>
          <w:rFonts w:hint="eastAsia" w:ascii="宋体" w:hAnsi="宋体" w:cs="宋体"/>
          <w:sz w:val="28"/>
          <w:szCs w:val="28"/>
        </w:rPr>
        <w:t>响应函</w:t>
      </w:r>
      <w:bookmarkEnd w:id="828"/>
    </w:p>
    <w:p>
      <w:pPr>
        <w:keepLines/>
        <w:widowControl/>
        <w:tabs>
          <w:tab w:val="left" w:pos="720"/>
        </w:tabs>
        <w:snapToGrid w:val="0"/>
        <w:spacing w:line="360" w:lineRule="auto"/>
        <w:jc w:val="center"/>
        <w:rPr>
          <w:rFonts w:ascii="宋体" w:hAnsi="宋体" w:cs="宋体"/>
          <w:b/>
          <w:bCs/>
          <w:sz w:val="32"/>
          <w:szCs w:val="32"/>
        </w:rPr>
      </w:pPr>
      <w:r>
        <w:rPr>
          <w:rFonts w:hint="eastAsia" w:ascii="宋体" w:hAnsi="宋体" w:cs="宋体"/>
          <w:b/>
          <w:bCs/>
          <w:sz w:val="32"/>
          <w:szCs w:val="32"/>
          <w:lang w:val="en-US" w:eastAsia="zh-CN"/>
        </w:rPr>
        <w:t>磋商</w:t>
      </w:r>
      <w:r>
        <w:rPr>
          <w:rFonts w:hint="eastAsia" w:ascii="宋体" w:hAnsi="宋体" w:cs="宋体"/>
          <w:b/>
          <w:bCs/>
          <w:sz w:val="32"/>
          <w:szCs w:val="32"/>
        </w:rPr>
        <w:t>响应函</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ind w:left="105" w:leftChars="50" w:firstLine="0"/>
        <w:textAlignment w:val="auto"/>
        <w:rPr>
          <w:rFonts w:hint="eastAsia" w:ascii="宋体" w:hAnsi="宋体" w:eastAsia="宋体" w:cs="宋体"/>
          <w:b/>
          <w:sz w:val="21"/>
          <w:szCs w:val="21"/>
        </w:rPr>
      </w:pPr>
      <w:r>
        <w:rPr>
          <w:rFonts w:hint="eastAsia" w:ascii="宋体" w:hAnsi="宋体" w:eastAsia="宋体" w:cs="宋体"/>
          <w:b/>
          <w:sz w:val="21"/>
          <w:szCs w:val="21"/>
        </w:rPr>
        <w:t>致：珠海正诺工程咨询有限公司</w:t>
      </w:r>
    </w:p>
    <w:p>
      <w:pPr>
        <w:spacing w:line="360" w:lineRule="auto"/>
        <w:ind w:left="105" w:leftChars="50" w:firstLine="420" w:firstLineChars="200"/>
        <w:rPr>
          <w:rFonts w:hint="eastAsia" w:ascii="宋体" w:hAnsi="宋体" w:eastAsia="宋体" w:cs="宋体"/>
          <w:sz w:val="21"/>
          <w:szCs w:val="21"/>
        </w:rPr>
      </w:pPr>
      <w:r>
        <w:rPr>
          <w:rFonts w:hint="eastAsia" w:ascii="宋体" w:hAnsi="宋体" w:eastAsia="宋体" w:cs="宋体"/>
          <w:sz w:val="21"/>
          <w:szCs w:val="21"/>
        </w:rPr>
        <w:t>我方确认收到贵方</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w:t>
      </w:r>
      <w:r>
        <w:rPr>
          <w:rFonts w:hint="eastAsia" w:ascii="宋体" w:hAnsi="宋体" w:eastAsia="宋体" w:cs="宋体"/>
          <w:sz w:val="21"/>
          <w:szCs w:val="21"/>
          <w:u w:val="single"/>
        </w:rPr>
        <w:t>项目名称、项目编号</w:t>
      </w:r>
      <w:r>
        <w:rPr>
          <w:rFonts w:hint="eastAsia" w:ascii="宋体" w:hAnsi="宋体" w:cs="宋体"/>
          <w:sz w:val="21"/>
          <w:szCs w:val="21"/>
          <w:u w:val="single"/>
          <w:lang w:eastAsia="zh-CN"/>
        </w:rPr>
        <w:t>）</w:t>
      </w:r>
      <w:r>
        <w:rPr>
          <w:rFonts w:hint="eastAsia" w:ascii="宋体" w:hAnsi="宋体" w:eastAsia="宋体" w:cs="宋体"/>
          <w:sz w:val="21"/>
          <w:szCs w:val="21"/>
          <w:u w:val="single"/>
        </w:rPr>
        <w:t xml:space="preserve">   </w:t>
      </w:r>
      <w:r>
        <w:rPr>
          <w:rFonts w:hint="eastAsia" w:ascii="宋体" w:hAnsi="宋体" w:eastAsia="宋体" w:cs="宋体"/>
          <w:kern w:val="28"/>
          <w:sz w:val="21"/>
          <w:szCs w:val="21"/>
        </w:rPr>
        <w:t>采购</w:t>
      </w:r>
      <w:r>
        <w:rPr>
          <w:rFonts w:hint="eastAsia" w:ascii="宋体" w:hAnsi="宋体" w:eastAsia="宋体" w:cs="宋体"/>
          <w:sz w:val="21"/>
          <w:szCs w:val="21"/>
        </w:rPr>
        <w:t>货物及相关服务的竞争性磋商文件</w:t>
      </w:r>
      <w:r>
        <w:rPr>
          <w:rFonts w:hint="eastAsia" w:ascii="宋体" w:hAnsi="宋体" w:eastAsia="宋体" w:cs="宋体"/>
          <w:sz w:val="21"/>
          <w:szCs w:val="21"/>
          <w:lang w:eastAsia="zh-CN"/>
        </w:rPr>
        <w:t>。</w:t>
      </w:r>
      <w:r>
        <w:rPr>
          <w:rFonts w:hint="eastAsia" w:ascii="宋体" w:hAnsi="宋体" w:cs="宋体"/>
          <w:sz w:val="21"/>
          <w:szCs w:val="21"/>
          <w:u w:val="single"/>
          <w:lang w:eastAsia="zh-CN"/>
        </w:rPr>
        <w:t>（</w:t>
      </w:r>
      <w:r>
        <w:rPr>
          <w:rFonts w:hint="eastAsia" w:ascii="宋体" w:hAnsi="宋体" w:eastAsia="宋体" w:cs="宋体"/>
          <w:sz w:val="21"/>
          <w:szCs w:val="21"/>
          <w:u w:val="single"/>
        </w:rPr>
        <w:t>响应供应商名称、地址</w:t>
      </w:r>
      <w:r>
        <w:rPr>
          <w:rFonts w:hint="eastAsia" w:ascii="宋体" w:hAnsi="宋体" w:cs="宋体"/>
          <w:sz w:val="21"/>
          <w:szCs w:val="21"/>
          <w:u w:val="single"/>
          <w:lang w:eastAsia="zh-CN"/>
        </w:rPr>
        <w:t>）</w:t>
      </w:r>
      <w:r>
        <w:rPr>
          <w:rFonts w:hint="eastAsia" w:ascii="宋体" w:hAnsi="宋体" w:eastAsia="宋体" w:cs="宋体"/>
          <w:sz w:val="21"/>
          <w:szCs w:val="21"/>
        </w:rPr>
        <w:t>作为响应供应商已正式授权</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w:t>
      </w:r>
      <w:r>
        <w:rPr>
          <w:rFonts w:hint="eastAsia" w:ascii="宋体" w:hAnsi="宋体" w:eastAsia="宋体" w:cs="宋体"/>
          <w:sz w:val="21"/>
          <w:szCs w:val="21"/>
          <w:u w:val="single"/>
        </w:rPr>
        <w:t>响应供应商授权代表全名、职务</w:t>
      </w:r>
      <w:r>
        <w:rPr>
          <w:rFonts w:hint="eastAsia" w:ascii="宋体" w:hAnsi="宋体" w:cs="宋体"/>
          <w:sz w:val="21"/>
          <w:szCs w:val="21"/>
          <w:u w:val="single"/>
          <w:lang w:eastAsia="zh-CN"/>
        </w:rPr>
        <w:t>）</w:t>
      </w:r>
      <w:r>
        <w:rPr>
          <w:rFonts w:hint="eastAsia" w:ascii="宋体" w:hAnsi="宋体" w:eastAsia="宋体" w:cs="宋体"/>
          <w:sz w:val="21"/>
          <w:szCs w:val="21"/>
        </w:rPr>
        <w:t>为我方签名代表，代表我方提交响应文件进行磋商。</w:t>
      </w:r>
    </w:p>
    <w:p>
      <w:pPr>
        <w:spacing w:line="360" w:lineRule="auto"/>
        <w:ind w:left="105" w:leftChars="50" w:firstLine="420" w:firstLineChars="200"/>
        <w:rPr>
          <w:rFonts w:hint="eastAsia" w:ascii="宋体" w:hAnsi="宋体" w:eastAsia="宋体" w:cs="宋体"/>
          <w:sz w:val="21"/>
          <w:szCs w:val="21"/>
        </w:rPr>
      </w:pPr>
      <w:r>
        <w:rPr>
          <w:rFonts w:hint="eastAsia" w:ascii="宋体" w:hAnsi="宋体" w:eastAsia="宋体" w:cs="宋体"/>
          <w:sz w:val="21"/>
          <w:szCs w:val="21"/>
        </w:rPr>
        <w:t>签名代表在此声明并同意：</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我们愿意遵守采购代理机构发布竞争性磋商文件的各项规定，自愿参加磋商</w:t>
      </w:r>
      <w:r>
        <w:rPr>
          <w:rFonts w:hint="eastAsia" w:ascii="宋体" w:hAnsi="宋体" w:cs="宋体"/>
          <w:b/>
          <w:sz w:val="21"/>
          <w:szCs w:val="21"/>
          <w:lang w:eastAsia="zh-CN"/>
        </w:rPr>
        <w:t>，</w:t>
      </w:r>
      <w:r>
        <w:rPr>
          <w:rFonts w:hint="eastAsia" w:ascii="宋体" w:hAnsi="宋体" w:eastAsia="宋体" w:cs="宋体"/>
          <w:b/>
          <w:sz w:val="21"/>
          <w:szCs w:val="21"/>
        </w:rPr>
        <w:t>并已清楚竞争性磋商文件的要求及有关文件规定，并严格按照竞争性磋商文件的规定履行全部责任和义务。</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我们同意本磋商自磋商截止之日起</w:t>
      </w:r>
      <w:r>
        <w:rPr>
          <w:rFonts w:hint="eastAsia" w:ascii="宋体" w:hAnsi="宋体" w:eastAsia="宋体" w:cs="宋体"/>
          <w:b/>
          <w:sz w:val="21"/>
          <w:szCs w:val="21"/>
          <w:u w:val="single"/>
        </w:rPr>
        <w:t>90</w:t>
      </w:r>
      <w:r>
        <w:rPr>
          <w:rFonts w:hint="eastAsia" w:ascii="宋体" w:hAnsi="宋体" w:eastAsia="宋体" w:cs="宋体"/>
          <w:b/>
          <w:sz w:val="21"/>
          <w:szCs w:val="21"/>
        </w:rPr>
        <w:t>天内有效。如果我们的磋商被接受，则直至合同生效时止，本磋商始终有效。本磋商始终有效并不撤回已递交的响应文件。</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我们已经详细地阅读并完全明白了全部竞争性磋商文件及附件，包括澄清</w:t>
      </w:r>
      <w:r>
        <w:rPr>
          <w:rFonts w:hint="eastAsia" w:ascii="宋体" w:hAnsi="宋体" w:cs="宋体"/>
          <w:b/>
          <w:sz w:val="21"/>
          <w:szCs w:val="21"/>
          <w:lang w:eastAsia="zh-CN"/>
        </w:rPr>
        <w:t>（</w:t>
      </w:r>
      <w:r>
        <w:rPr>
          <w:rFonts w:hint="eastAsia" w:ascii="宋体" w:hAnsi="宋体" w:eastAsia="宋体" w:cs="宋体"/>
          <w:b/>
          <w:sz w:val="21"/>
          <w:szCs w:val="21"/>
        </w:rPr>
        <w:t>如有</w:t>
      </w:r>
      <w:r>
        <w:rPr>
          <w:rFonts w:hint="eastAsia" w:ascii="宋体" w:hAnsi="宋体" w:cs="宋体"/>
          <w:b/>
          <w:sz w:val="21"/>
          <w:szCs w:val="21"/>
          <w:lang w:eastAsia="zh-CN"/>
        </w:rPr>
        <w:t>）</w:t>
      </w:r>
      <w:r>
        <w:rPr>
          <w:rFonts w:hint="eastAsia" w:ascii="宋体" w:hAnsi="宋体" w:eastAsia="宋体" w:cs="宋体"/>
          <w:b/>
          <w:sz w:val="21"/>
          <w:szCs w:val="21"/>
        </w:rPr>
        <w:t>及参考文件，我们完全理解本竞争性磋商文件的要求，我们同意放弃对竞争性磋商文件提出不明或误解的一切权力。</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我们同意提供招标采购单位与磋商小组要求的有关磋商的一切数据或资料。</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我们理解招标采购单位与磋商小组并无义务必须接受最低报价的磋商或其它任何磋商，完全理解采购代理机构拒绝迟到的任何磋商和最低磋商报价不是被授予成交的唯一条件。</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 xml:space="preserve">如果我们未对竞争性磋商文件全部要求作出实质性响应，则完全同意并接受按无效磋商处理。 </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证明提交的一切文件，无论是原件还是复印件均为准确、真实、有效、完整的，绝无任何虚假、伪造或者夸大。我们在此郑重承诺：在本次采购活动中，如有违法、违规、弄虚作假行为，所造成的损失、不良后果及法律责任，一律由我公司</w:t>
      </w:r>
      <w:r>
        <w:rPr>
          <w:rFonts w:hint="eastAsia" w:ascii="宋体" w:hAnsi="宋体" w:cs="宋体"/>
          <w:b/>
          <w:sz w:val="21"/>
          <w:szCs w:val="21"/>
          <w:lang w:eastAsia="zh-CN"/>
        </w:rPr>
        <w:t>（</w:t>
      </w:r>
      <w:r>
        <w:rPr>
          <w:rFonts w:hint="eastAsia" w:ascii="宋体" w:hAnsi="宋体" w:eastAsia="宋体" w:cs="宋体"/>
          <w:b/>
          <w:sz w:val="21"/>
          <w:szCs w:val="21"/>
        </w:rPr>
        <w:t>企业</w:t>
      </w:r>
      <w:r>
        <w:rPr>
          <w:rFonts w:hint="eastAsia" w:ascii="宋体" w:hAnsi="宋体" w:cs="宋体"/>
          <w:b/>
          <w:sz w:val="21"/>
          <w:szCs w:val="21"/>
          <w:lang w:eastAsia="zh-CN"/>
        </w:rPr>
        <w:t>）</w:t>
      </w:r>
      <w:r>
        <w:rPr>
          <w:rFonts w:hint="eastAsia" w:ascii="宋体" w:hAnsi="宋体" w:eastAsia="宋体" w:cs="宋体"/>
          <w:b/>
          <w:sz w:val="21"/>
          <w:szCs w:val="21"/>
        </w:rPr>
        <w:t>承担。</w:t>
      </w:r>
    </w:p>
    <w:p>
      <w:pPr>
        <w:widowControl w:val="0"/>
        <w:numPr>
          <w:ilvl w:val="0"/>
          <w:numId w:val="6"/>
        </w:numPr>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如果我们提供的声明或承诺不真实，则完全同意认定为我司提供虚假材料，并同意作相应处理。</w:t>
      </w:r>
    </w:p>
    <w:p>
      <w:pPr>
        <w:widowControl w:val="0"/>
        <w:numPr>
          <w:ilvl w:val="0"/>
          <w:numId w:val="6"/>
        </w:numPr>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我们是依法注册的法人，在法律、财务及运作上完全独立于本项目采购人、用户单位</w:t>
      </w:r>
      <w:r>
        <w:rPr>
          <w:rFonts w:hint="eastAsia" w:ascii="宋体" w:hAnsi="宋体" w:cs="宋体"/>
          <w:b/>
          <w:sz w:val="21"/>
          <w:szCs w:val="21"/>
          <w:lang w:eastAsia="zh-CN"/>
        </w:rPr>
        <w:t>（</w:t>
      </w:r>
      <w:r>
        <w:rPr>
          <w:rFonts w:hint="eastAsia" w:ascii="宋体" w:hAnsi="宋体" w:eastAsia="宋体" w:cs="宋体"/>
          <w:b/>
          <w:sz w:val="21"/>
          <w:szCs w:val="21"/>
        </w:rPr>
        <w:t>如有</w:t>
      </w:r>
      <w:r>
        <w:rPr>
          <w:rFonts w:hint="eastAsia" w:ascii="宋体" w:hAnsi="宋体" w:cs="宋体"/>
          <w:b/>
          <w:sz w:val="21"/>
          <w:szCs w:val="21"/>
          <w:lang w:eastAsia="zh-CN"/>
        </w:rPr>
        <w:t>）</w:t>
      </w:r>
      <w:r>
        <w:rPr>
          <w:rFonts w:hint="eastAsia" w:ascii="宋体" w:hAnsi="宋体" w:eastAsia="宋体" w:cs="宋体"/>
          <w:b/>
          <w:sz w:val="21"/>
          <w:szCs w:val="21"/>
        </w:rPr>
        <w:t>和采购代理机构。</w:t>
      </w:r>
    </w:p>
    <w:p>
      <w:pPr>
        <w:widowControl w:val="0"/>
        <w:numPr>
          <w:ilvl w:val="0"/>
          <w:numId w:val="6"/>
        </w:numPr>
        <w:adjustRightInd w:val="0"/>
        <w:snapToGrid w:val="0"/>
        <w:spacing w:line="360" w:lineRule="auto"/>
        <w:jc w:val="both"/>
        <w:rPr>
          <w:rFonts w:hint="eastAsia" w:ascii="宋体" w:hAnsi="宋体" w:eastAsia="宋体" w:cs="宋体"/>
          <w:b/>
          <w:sz w:val="21"/>
          <w:szCs w:val="21"/>
        </w:rPr>
      </w:pPr>
      <w:r>
        <w:rPr>
          <w:rFonts w:hint="eastAsia" w:ascii="宋体" w:hAnsi="宋体" w:eastAsia="宋体" w:cs="宋体"/>
          <w:b/>
          <w:sz w:val="21"/>
          <w:szCs w:val="21"/>
        </w:rPr>
        <w:t>所有有关本次磋商的函电请寄：</w:t>
      </w:r>
      <w:r>
        <w:rPr>
          <w:rFonts w:hint="eastAsia" w:ascii="宋体" w:hAnsi="宋体" w:eastAsia="宋体" w:cs="宋体"/>
          <w:b/>
          <w:sz w:val="21"/>
          <w:szCs w:val="21"/>
          <w:u w:val="single"/>
        </w:rPr>
        <w:t xml:space="preserve">  </w:t>
      </w:r>
      <w:r>
        <w:rPr>
          <w:rFonts w:hint="eastAsia" w:ascii="宋体" w:hAnsi="宋体" w:cs="宋体"/>
          <w:b/>
          <w:sz w:val="21"/>
          <w:szCs w:val="21"/>
          <w:u w:val="single"/>
          <w:lang w:eastAsia="zh-CN"/>
        </w:rPr>
        <w:t>（</w:t>
      </w:r>
      <w:r>
        <w:rPr>
          <w:rFonts w:hint="eastAsia" w:ascii="宋体" w:hAnsi="宋体" w:eastAsia="宋体" w:cs="宋体"/>
          <w:b/>
          <w:sz w:val="21"/>
          <w:szCs w:val="21"/>
          <w:u w:val="single"/>
        </w:rPr>
        <w:t>响应供应商地址</w:t>
      </w:r>
      <w:r>
        <w:rPr>
          <w:rFonts w:hint="eastAsia" w:ascii="宋体" w:hAnsi="宋体" w:cs="宋体"/>
          <w:b/>
          <w:sz w:val="21"/>
          <w:szCs w:val="21"/>
          <w:u w:val="single"/>
          <w:lang w:eastAsia="zh-CN"/>
        </w:rPr>
        <w:t>）</w:t>
      </w:r>
      <w:r>
        <w:rPr>
          <w:rFonts w:hint="eastAsia" w:ascii="宋体" w:hAnsi="宋体" w:eastAsia="宋体" w:cs="宋体"/>
          <w:b/>
          <w:sz w:val="21"/>
          <w:szCs w:val="21"/>
          <w:u w:val="single"/>
        </w:rPr>
        <w:t xml:space="preserve">   </w:t>
      </w:r>
    </w:p>
    <w:p>
      <w:pPr>
        <w:snapToGrid w:val="0"/>
        <w:spacing w:line="360" w:lineRule="auto"/>
        <w:ind w:left="420" w:firstLine="310"/>
        <w:rPr>
          <w:rFonts w:hint="eastAsia" w:ascii="宋体" w:hAnsi="宋体" w:eastAsia="宋体" w:cs="宋体"/>
          <w:b/>
          <w:sz w:val="21"/>
          <w:szCs w:val="21"/>
          <w:u w:val="single"/>
        </w:rPr>
      </w:pPr>
      <w:r>
        <w:rPr>
          <w:rFonts w:hint="eastAsia" w:ascii="宋体" w:hAnsi="宋体" w:eastAsia="宋体" w:cs="宋体"/>
          <w:b/>
          <w:sz w:val="21"/>
          <w:szCs w:val="21"/>
          <w:u w:val="single"/>
        </w:rPr>
        <w:t xml:space="preserve">备注：本磋商函内容不得擅自删改。 </w:t>
      </w:r>
    </w:p>
    <w:p>
      <w:pPr>
        <w:snapToGrid w:val="0"/>
        <w:spacing w:line="400" w:lineRule="exact"/>
        <w:ind w:left="480"/>
        <w:rPr>
          <w:rFonts w:hint="eastAsia" w:ascii="宋体" w:hAnsi="宋体" w:eastAsia="宋体" w:cs="宋体"/>
          <w:sz w:val="21"/>
          <w:szCs w:val="21"/>
        </w:rPr>
      </w:pPr>
    </w:p>
    <w:p>
      <w:pPr>
        <w:pStyle w:val="90"/>
        <w:rPr>
          <w:rFonts w:hint="eastAsia"/>
        </w:rPr>
      </w:pP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ascii="宋体" w:hAnsi="宋体" w:cs="宋体"/>
          <w:kern w:val="0"/>
          <w:sz w:val="22"/>
          <w:szCs w:val="22"/>
        </w:rPr>
      </w:pPr>
      <w:r>
        <w:rPr>
          <w:rFonts w:hint="eastAsia" w:ascii="宋体" w:hAnsi="宋体" w:cs="宋体"/>
          <w:kern w:val="0"/>
          <w:sz w:val="22"/>
          <w:szCs w:val="22"/>
        </w:rPr>
        <w:t>供应商：</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ascii="宋体" w:hAnsi="宋体" w:cs="宋体"/>
          <w:kern w:val="0"/>
          <w:sz w:val="22"/>
          <w:szCs w:val="22"/>
        </w:rPr>
      </w:pPr>
      <w:r>
        <w:rPr>
          <w:rFonts w:hint="eastAsia" w:ascii="宋体" w:hAnsi="宋体" w:cs="宋体"/>
          <w:kern w:val="0"/>
          <w:sz w:val="22"/>
          <w:szCs w:val="22"/>
        </w:rPr>
        <w:t>地址：</w:t>
      </w:r>
      <w:r>
        <w:rPr>
          <w:rFonts w:hint="eastAsia" w:ascii="宋体" w:hAnsi="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ascii="宋体" w:hAnsi="宋体" w:cs="宋体"/>
          <w:kern w:val="0"/>
          <w:sz w:val="22"/>
          <w:szCs w:val="22"/>
        </w:rPr>
      </w:pPr>
      <w:r>
        <w:rPr>
          <w:rFonts w:hint="eastAsia" w:ascii="宋体" w:hAnsi="宋体" w:cs="宋体"/>
          <w:kern w:val="0"/>
          <w:sz w:val="22"/>
          <w:szCs w:val="22"/>
        </w:rPr>
        <w:t>传真：</w:t>
      </w:r>
      <w:r>
        <w:rPr>
          <w:rFonts w:hint="eastAsia" w:ascii="宋体" w:hAnsi="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ascii="宋体" w:hAnsi="宋体" w:cs="宋体"/>
          <w:kern w:val="0"/>
          <w:sz w:val="22"/>
          <w:szCs w:val="22"/>
        </w:rPr>
      </w:pPr>
      <w:r>
        <w:rPr>
          <w:rFonts w:hint="eastAsia" w:ascii="宋体" w:hAnsi="宋体" w:cs="宋体"/>
          <w:kern w:val="0"/>
          <w:sz w:val="22"/>
          <w:szCs w:val="22"/>
        </w:rPr>
        <w:t>电话：</w:t>
      </w:r>
      <w:r>
        <w:rPr>
          <w:rFonts w:hint="eastAsia" w:ascii="宋体" w:hAnsi="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rPr>
      </w:pPr>
      <w:r>
        <w:rPr>
          <w:rFonts w:hint="eastAsia" w:ascii="宋体" w:hAnsi="宋体" w:eastAsia="宋体" w:cs="宋体"/>
          <w:kern w:val="0"/>
          <w:sz w:val="22"/>
          <w:szCs w:val="22"/>
        </w:rPr>
        <w:t>电子邮件：</w:t>
      </w:r>
      <w:r>
        <w:rPr>
          <w:rFonts w:hint="eastAsia" w:ascii="宋体" w:hAnsi="宋体" w:eastAsia="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u w:val="single"/>
        </w:rPr>
      </w:pPr>
      <w:r>
        <w:rPr>
          <w:rFonts w:hint="eastAsia" w:ascii="宋体" w:hAnsi="宋体" w:eastAsia="宋体" w:cs="宋体"/>
          <w:kern w:val="0"/>
          <w:sz w:val="22"/>
          <w:szCs w:val="22"/>
        </w:rPr>
        <w:t>供应商代表签字：</w:t>
      </w:r>
      <w:r>
        <w:rPr>
          <w:rFonts w:hint="eastAsia" w:ascii="宋体" w:hAnsi="宋体" w:eastAsia="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u w:val="single"/>
        </w:rPr>
      </w:pPr>
      <w:r>
        <w:rPr>
          <w:rFonts w:hint="eastAsia" w:ascii="宋体" w:hAnsi="宋体" w:eastAsia="宋体" w:cs="宋体"/>
          <w:kern w:val="0"/>
          <w:sz w:val="22"/>
          <w:szCs w:val="22"/>
        </w:rPr>
        <w:t>供应商名称</w:t>
      </w:r>
      <w:r>
        <w:rPr>
          <w:rFonts w:hint="eastAsia" w:ascii="宋体" w:hAnsi="宋体" w:cs="宋体"/>
          <w:kern w:val="0"/>
          <w:sz w:val="22"/>
          <w:szCs w:val="22"/>
          <w:lang w:eastAsia="zh-CN"/>
        </w:rPr>
        <w:t>（</w:t>
      </w:r>
      <w:r>
        <w:rPr>
          <w:rFonts w:hint="eastAsia" w:ascii="宋体" w:hAnsi="宋体" w:eastAsia="宋体" w:cs="宋体"/>
          <w:kern w:val="0"/>
          <w:sz w:val="22"/>
          <w:szCs w:val="22"/>
        </w:rPr>
        <w:t>公章</w:t>
      </w:r>
      <w:r>
        <w:rPr>
          <w:rFonts w:hint="eastAsia" w:ascii="宋体" w:hAnsi="宋体" w:cs="宋体"/>
          <w:kern w:val="0"/>
          <w:sz w:val="22"/>
          <w:szCs w:val="22"/>
          <w:lang w:eastAsia="zh-CN"/>
        </w:rPr>
        <w:t>）</w:t>
      </w:r>
      <w:r>
        <w:rPr>
          <w:rFonts w:hint="eastAsia" w:ascii="宋体" w:hAnsi="宋体" w:eastAsia="宋体" w:cs="宋体"/>
          <w:kern w:val="0"/>
          <w:sz w:val="22"/>
          <w:szCs w:val="22"/>
        </w:rPr>
        <w:t>：</w:t>
      </w:r>
      <w:r>
        <w:rPr>
          <w:rFonts w:hint="eastAsia" w:ascii="宋体" w:hAnsi="宋体" w:eastAsia="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u w:val="single"/>
        </w:rPr>
      </w:pPr>
      <w:r>
        <w:rPr>
          <w:rFonts w:hint="eastAsia" w:ascii="宋体" w:hAnsi="宋体" w:eastAsia="宋体" w:cs="宋体"/>
          <w:kern w:val="0"/>
          <w:sz w:val="22"/>
          <w:szCs w:val="22"/>
        </w:rPr>
        <w:t>开户银行：</w:t>
      </w:r>
      <w:r>
        <w:rPr>
          <w:rFonts w:hint="eastAsia" w:ascii="宋体" w:hAnsi="宋体" w:eastAsia="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rPr>
      </w:pPr>
      <w:r>
        <w:rPr>
          <w:rFonts w:hint="eastAsia" w:ascii="宋体" w:hAnsi="宋体" w:eastAsia="宋体" w:cs="宋体"/>
          <w:kern w:val="0"/>
          <w:sz w:val="22"/>
          <w:szCs w:val="22"/>
        </w:rPr>
        <w:t>账号：</w:t>
      </w:r>
      <w:r>
        <w:rPr>
          <w:rFonts w:hint="eastAsia" w:ascii="宋体" w:hAnsi="宋体" w:eastAsia="宋体" w:cs="宋体"/>
          <w:kern w:val="0"/>
          <w:sz w:val="22"/>
          <w:szCs w:val="22"/>
          <w:u w:val="single"/>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right="0"/>
        <w:textAlignment w:val="auto"/>
        <w:rPr>
          <w:rFonts w:hint="eastAsia" w:ascii="宋体" w:hAnsi="宋体" w:eastAsia="宋体" w:cs="宋体"/>
          <w:kern w:val="0"/>
          <w:sz w:val="22"/>
          <w:szCs w:val="22"/>
          <w:u w:val="single"/>
        </w:rPr>
      </w:pPr>
      <w:r>
        <w:rPr>
          <w:rFonts w:hint="eastAsia" w:ascii="宋体" w:hAnsi="宋体" w:eastAsia="宋体" w:cs="宋体"/>
          <w:kern w:val="0"/>
          <w:sz w:val="22"/>
          <w:szCs w:val="22"/>
        </w:rPr>
        <w:t>日期：</w:t>
      </w:r>
      <w:r>
        <w:rPr>
          <w:rFonts w:hint="eastAsia" w:ascii="宋体" w:hAnsi="宋体" w:eastAsia="宋体" w:cs="宋体"/>
          <w:kern w:val="0"/>
          <w:sz w:val="22"/>
          <w:szCs w:val="22"/>
          <w:u w:val="single"/>
        </w:rPr>
        <w:t xml:space="preserve">                               </w:t>
      </w:r>
    </w:p>
    <w:p>
      <w:pPr>
        <w:snapToGrid w:val="0"/>
        <w:spacing w:line="360" w:lineRule="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2"/>
        <w:rPr>
          <w:rFonts w:hint="eastAsia" w:ascii="宋体" w:hAnsi="宋体" w:eastAsia="宋体" w:cs="宋体"/>
          <w:b/>
        </w:rPr>
      </w:pPr>
      <w:r>
        <w:rPr>
          <w:rFonts w:hint="eastAsia" w:ascii="宋体" w:hAnsi="宋体" w:eastAsia="宋体" w:cs="宋体"/>
          <w:b/>
          <w:sz w:val="32"/>
          <w:szCs w:val="32"/>
        </w:rPr>
        <w:br w:type="page"/>
      </w:r>
      <w:bookmarkStart w:id="829" w:name="_Toc24056"/>
      <w:bookmarkStart w:id="830" w:name="_Toc30674"/>
      <w:bookmarkStart w:id="831" w:name="_Toc3387049"/>
      <w:bookmarkStart w:id="832" w:name="_Toc30303"/>
      <w:bookmarkStart w:id="833" w:name="_Toc4727"/>
      <w:bookmarkStart w:id="834" w:name="_Toc6634"/>
      <w:bookmarkStart w:id="835" w:name="_Toc11391"/>
      <w:bookmarkStart w:id="836" w:name="_Toc1919"/>
      <w:bookmarkStart w:id="837" w:name="_Toc531617925"/>
      <w:bookmarkStart w:id="838" w:name="_Toc276645581"/>
      <w:bookmarkStart w:id="839" w:name="_Toc8181"/>
      <w:bookmarkStart w:id="840" w:name="_Toc259090984"/>
      <w:bookmarkStart w:id="841" w:name="_Toc497076567"/>
      <w:bookmarkStart w:id="842" w:name="_Toc37919900"/>
      <w:bookmarkStart w:id="843" w:name="_Toc18339"/>
      <w:bookmarkStart w:id="844" w:name="_Toc16103"/>
      <w:r>
        <w:rPr>
          <w:rFonts w:hint="eastAsia" w:ascii="宋体" w:hAnsi="宋体" w:eastAsia="宋体" w:cs="宋体"/>
          <w:b/>
          <w:sz w:val="32"/>
          <w:szCs w:val="32"/>
        </w:rPr>
        <w:t>1</w:t>
      </w:r>
      <w:r>
        <w:rPr>
          <w:rFonts w:hint="eastAsia" w:ascii="宋体" w:hAnsi="宋体" w:cs="宋体"/>
          <w:b/>
          <w:sz w:val="32"/>
          <w:szCs w:val="32"/>
          <w:lang w:val="en-US" w:eastAsia="zh-CN"/>
        </w:rPr>
        <w:t>.2</w:t>
      </w:r>
      <w:r>
        <w:rPr>
          <w:rFonts w:hint="eastAsia" w:ascii="宋体" w:hAnsi="宋体" w:eastAsia="宋体" w:cs="宋体"/>
          <w:b/>
          <w:sz w:val="32"/>
          <w:szCs w:val="32"/>
        </w:rPr>
        <w:t>响应供应商资格声明函</w:t>
      </w:r>
      <w:bookmarkEnd w:id="829"/>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珠海正诺工程咨询有限公司：</w:t>
      </w:r>
    </w:p>
    <w:p>
      <w:pPr>
        <w:spacing w:line="276" w:lineRule="auto"/>
        <w:ind w:firstLine="480"/>
        <w:rPr>
          <w:rFonts w:hint="eastAsia" w:ascii="宋体" w:hAnsi="宋体" w:eastAsia="宋体" w:cs="宋体"/>
          <w:szCs w:val="21"/>
        </w:rPr>
      </w:pPr>
      <w:r>
        <w:rPr>
          <w:rFonts w:hint="eastAsia" w:ascii="宋体" w:hAnsi="宋体" w:eastAsia="宋体" w:cs="宋体"/>
          <w:szCs w:val="21"/>
        </w:rPr>
        <w:t>关于贵方</w:t>
      </w:r>
      <w:r>
        <w:rPr>
          <w:rFonts w:hint="eastAsia" w:ascii="宋体" w:hAnsi="宋体" w:eastAsia="宋体" w:cs="宋体"/>
          <w:szCs w:val="21"/>
          <w:u w:val="single"/>
        </w:rPr>
        <w:t xml:space="preserve">      </w:t>
      </w:r>
      <w:r>
        <w:rPr>
          <w:rFonts w:hint="eastAsia" w:ascii="宋体" w:hAnsi="宋体" w:cs="宋体"/>
          <w:szCs w:val="21"/>
          <w:u w:val="single"/>
          <w:lang w:eastAsia="zh-CN"/>
        </w:rPr>
        <w:t>（</w:t>
      </w:r>
      <w:r>
        <w:rPr>
          <w:rFonts w:hint="eastAsia" w:ascii="宋体" w:hAnsi="宋体" w:eastAsia="宋体" w:cs="宋体"/>
          <w:szCs w:val="21"/>
          <w:u w:val="single"/>
        </w:rPr>
        <w:t>采购项目名称、编号</w:t>
      </w:r>
      <w:r>
        <w:rPr>
          <w:rFonts w:hint="eastAsia" w:ascii="宋体" w:hAnsi="宋体" w:cs="宋体"/>
          <w:szCs w:val="21"/>
          <w:u w:val="single"/>
          <w:lang w:eastAsia="zh-CN"/>
        </w:rPr>
        <w:t>）</w:t>
      </w:r>
      <w:r>
        <w:rPr>
          <w:rFonts w:hint="eastAsia" w:ascii="宋体" w:hAnsi="宋体" w:eastAsia="宋体" w:cs="宋体"/>
          <w:szCs w:val="21"/>
          <w:u w:val="single"/>
        </w:rPr>
        <w:t xml:space="preserve">    </w:t>
      </w:r>
      <w:r>
        <w:rPr>
          <w:rFonts w:hint="eastAsia" w:ascii="宋体" w:hAnsi="宋体" w:eastAsia="宋体" w:cs="宋体"/>
          <w:szCs w:val="21"/>
        </w:rPr>
        <w:t>的响应邀请，本单位愿意参加响应，提供采购文件中规定的货物及服务，并声明：</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 w:val="21"/>
          <w:szCs w:val="21"/>
        </w:rPr>
        <w:t>1</w:t>
      </w:r>
      <w:r>
        <w:rPr>
          <w:rFonts w:hint="eastAsia" w:ascii="宋体" w:hAnsi="宋体" w:cs="宋体"/>
          <w:sz w:val="21"/>
          <w:szCs w:val="21"/>
          <w:lang w:val="en-US" w:eastAsia="zh-CN"/>
        </w:rPr>
        <w:t>.我方具有独立承担民事责任的能力，提供以下资格证明文件</w:t>
      </w:r>
      <w:r>
        <w:rPr>
          <w:rFonts w:hint="eastAsia" w:ascii="宋体" w:hAnsi="宋体" w:eastAsia="宋体" w:cs="宋体"/>
          <w:sz w:val="21"/>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①具有独立承担民事责任的能力；</w:t>
      </w:r>
      <w:r>
        <w:rPr>
          <w:rFonts w:hint="eastAsia" w:ascii="宋体" w:hAnsi="宋体" w:cs="宋体"/>
          <w:szCs w:val="21"/>
          <w:lang w:eastAsia="zh-CN"/>
        </w:rPr>
        <w:t>（</w:t>
      </w:r>
      <w:r>
        <w:rPr>
          <w:rFonts w:hint="eastAsia" w:ascii="宋体" w:hAnsi="宋体" w:eastAsia="宋体" w:cs="宋体"/>
          <w:szCs w:val="21"/>
        </w:rPr>
        <w:t>响应文件中提供在中华人民共和国境内注册的法人或其他组织的营业执照或事业单位法人证书或社会团体法人登记证书复印件加盖供应商公章，如供应商为自然人的提供自然人身份证明复印件；如国家另有规定的，则从其规定</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②具有良好的商业信誉和健全的财务会计制度；</w:t>
      </w:r>
      <w:r>
        <w:rPr>
          <w:rFonts w:hint="eastAsia" w:ascii="宋体" w:hAnsi="宋体" w:cs="宋体"/>
          <w:szCs w:val="21"/>
          <w:lang w:eastAsia="zh-CN"/>
        </w:rPr>
        <w:t>（</w:t>
      </w:r>
      <w:r>
        <w:rPr>
          <w:rFonts w:hint="eastAsia" w:ascii="宋体" w:hAnsi="宋体" w:eastAsia="宋体" w:cs="宋体"/>
          <w:szCs w:val="21"/>
        </w:rPr>
        <w:t>提供</w:t>
      </w:r>
      <w:r>
        <w:rPr>
          <w:rFonts w:hint="eastAsia" w:ascii="宋体" w:hAnsi="宋体" w:cs="宋体"/>
          <w:szCs w:val="21"/>
          <w:lang w:eastAsia="zh-CN"/>
        </w:rPr>
        <w:t>《资格条件承诺函》，</w:t>
      </w:r>
      <w:r>
        <w:rPr>
          <w:rFonts w:hint="eastAsia" w:ascii="宋体" w:hAnsi="宋体" w:eastAsia="宋体" w:cs="宋体"/>
          <w:szCs w:val="21"/>
        </w:rPr>
        <w:t>如有需要，可随时向采购方提交相关证明材料，以便核查</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③具有履行合同所必需的设备和专业技术能力；</w:t>
      </w:r>
      <w:r>
        <w:rPr>
          <w:rFonts w:hint="eastAsia" w:ascii="宋体" w:hAnsi="宋体" w:cs="宋体"/>
          <w:szCs w:val="21"/>
          <w:lang w:eastAsia="zh-CN"/>
        </w:rPr>
        <w:t>（</w:t>
      </w:r>
      <w:r>
        <w:rPr>
          <w:rFonts w:hint="eastAsia" w:ascii="宋体" w:hAnsi="宋体" w:eastAsia="宋体" w:cs="宋体"/>
          <w:szCs w:val="21"/>
        </w:rPr>
        <w:t>提供</w:t>
      </w:r>
      <w:r>
        <w:rPr>
          <w:rFonts w:hint="eastAsia" w:ascii="宋体" w:hAnsi="宋体" w:cs="宋体"/>
          <w:szCs w:val="21"/>
          <w:lang w:eastAsia="zh-CN"/>
        </w:rPr>
        <w:t>《资格条件承诺函》，</w:t>
      </w:r>
      <w:r>
        <w:rPr>
          <w:rFonts w:hint="eastAsia" w:ascii="宋体" w:hAnsi="宋体" w:eastAsia="宋体" w:cs="宋体"/>
          <w:szCs w:val="21"/>
        </w:rPr>
        <w:t>如有需要，可随时向采购方提交相关证明材料，以便核查</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④有依法缴纳税收和社会保障资金的良好记录；</w:t>
      </w:r>
      <w:r>
        <w:rPr>
          <w:rFonts w:hint="eastAsia" w:ascii="宋体" w:hAnsi="宋体" w:cs="宋体"/>
          <w:szCs w:val="21"/>
          <w:lang w:eastAsia="zh-CN"/>
        </w:rPr>
        <w:t>（</w:t>
      </w:r>
      <w:r>
        <w:rPr>
          <w:rFonts w:hint="eastAsia" w:ascii="宋体" w:hAnsi="宋体" w:eastAsia="宋体" w:cs="宋体"/>
          <w:szCs w:val="21"/>
        </w:rPr>
        <w:t>提供</w:t>
      </w:r>
      <w:r>
        <w:rPr>
          <w:rFonts w:hint="eastAsia" w:ascii="宋体" w:hAnsi="宋体" w:cs="宋体"/>
          <w:szCs w:val="21"/>
          <w:lang w:eastAsia="zh-CN"/>
        </w:rPr>
        <w:t>《资格条件承诺函》，</w:t>
      </w:r>
      <w:r>
        <w:rPr>
          <w:rFonts w:hint="eastAsia" w:ascii="宋体" w:hAnsi="宋体" w:eastAsia="宋体" w:cs="宋体"/>
          <w:szCs w:val="21"/>
        </w:rPr>
        <w:t>如有需要，可随时向采购方提交最近三个月的缴纳税收、社会保障资金的相关凭证，以便核查</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⑤参加政府采购活动前三年内，在经营活动中没有重大违法记录；</w:t>
      </w:r>
      <w:r>
        <w:rPr>
          <w:rFonts w:hint="eastAsia" w:ascii="宋体" w:hAnsi="宋体" w:cs="宋体"/>
          <w:szCs w:val="21"/>
          <w:lang w:eastAsia="zh-CN"/>
        </w:rPr>
        <w:t>（</w:t>
      </w:r>
      <w:r>
        <w:rPr>
          <w:rFonts w:hint="eastAsia" w:ascii="宋体" w:hAnsi="宋体" w:eastAsia="宋体" w:cs="宋体"/>
          <w:szCs w:val="21"/>
        </w:rPr>
        <w:t>提供</w:t>
      </w:r>
      <w:r>
        <w:rPr>
          <w:rFonts w:hint="eastAsia" w:ascii="宋体" w:hAnsi="宋体" w:cs="宋体"/>
          <w:szCs w:val="21"/>
          <w:lang w:eastAsia="zh-CN"/>
        </w:rPr>
        <w:t>《资格条件承诺函》，</w:t>
      </w:r>
      <w:r>
        <w:rPr>
          <w:rFonts w:hint="eastAsia" w:ascii="宋体" w:hAnsi="宋体" w:eastAsia="宋体" w:cs="宋体"/>
          <w:szCs w:val="21"/>
        </w:rPr>
        <w:t>如有需要，可随时向采购方提交相关证明材料，以便核查</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⑥法律、行政法规规定的其他条件。</w:t>
      </w:r>
      <w:r>
        <w:rPr>
          <w:rFonts w:hint="eastAsia" w:ascii="宋体" w:hAnsi="宋体" w:cs="宋体"/>
          <w:szCs w:val="21"/>
          <w:lang w:eastAsia="zh-CN"/>
        </w:rPr>
        <w:t>（</w:t>
      </w:r>
      <w:r>
        <w:rPr>
          <w:rFonts w:hint="eastAsia" w:ascii="宋体" w:hAnsi="宋体" w:eastAsia="宋体" w:cs="宋体"/>
          <w:szCs w:val="21"/>
        </w:rPr>
        <w:t>提供</w:t>
      </w:r>
      <w:r>
        <w:rPr>
          <w:rFonts w:hint="eastAsia" w:ascii="宋体" w:hAnsi="宋体" w:cs="宋体"/>
          <w:szCs w:val="21"/>
          <w:lang w:eastAsia="zh-CN"/>
        </w:rPr>
        <w:t>《资格条件承诺函》，</w:t>
      </w:r>
      <w:r>
        <w:rPr>
          <w:rFonts w:hint="eastAsia" w:ascii="宋体" w:hAnsi="宋体" w:eastAsia="宋体" w:cs="宋体"/>
          <w:szCs w:val="21"/>
        </w:rPr>
        <w:t>如有需要，可随时向采购方提交相关证明材料，以便核查</w:t>
      </w:r>
      <w:r>
        <w:rPr>
          <w:rFonts w:hint="eastAsia" w:ascii="宋体" w:hAnsi="宋体" w:cs="宋体"/>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cs="宋体"/>
          <w:szCs w:val="21"/>
          <w:lang w:eastAsia="zh-CN"/>
        </w:rPr>
        <w:t>）</w:t>
      </w:r>
      <w:r>
        <w:rPr>
          <w:rFonts w:hint="eastAsia" w:ascii="宋体" w:hAnsi="宋体" w:eastAsia="宋体" w:cs="宋体"/>
          <w:szCs w:val="21"/>
        </w:rPr>
        <w:t>单位负责人为同一人或者存在直接控股、管理关系的不同供应商，不得参加同一合同项下的采购活动；</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eastAsia="zh-CN"/>
        </w:rPr>
        <w:t>）</w:t>
      </w:r>
      <w:r>
        <w:rPr>
          <w:rFonts w:hint="eastAsia" w:ascii="宋体" w:hAnsi="宋体" w:eastAsia="宋体" w:cs="宋体"/>
          <w:szCs w:val="21"/>
        </w:rPr>
        <w:t>信用信息：</w:t>
      </w:r>
      <w:r>
        <w:rPr>
          <w:rFonts w:hint="eastAsia" w:ascii="宋体" w:hAnsi="宋体" w:eastAsia="宋体" w:cs="宋体"/>
          <w:sz w:val="21"/>
          <w:szCs w:val="21"/>
        </w:rPr>
        <w:t>供应商未被列入“信用中国”网站</w:t>
      </w:r>
      <w:r>
        <w:rPr>
          <w:rFonts w:hint="eastAsia" w:ascii="宋体" w:hAnsi="宋体" w:cs="宋体"/>
          <w:sz w:val="21"/>
          <w:szCs w:val="21"/>
          <w:lang w:eastAsia="zh-CN"/>
        </w:rPr>
        <w:t>（</w:t>
      </w:r>
      <w:r>
        <w:rPr>
          <w:rFonts w:hint="eastAsia" w:ascii="宋体" w:hAnsi="宋体" w:eastAsia="宋体" w:cs="宋体"/>
          <w:sz w:val="21"/>
          <w:szCs w:val="21"/>
        </w:rPr>
        <w:t>www.creditchina.gov.cn</w:t>
      </w:r>
      <w:r>
        <w:rPr>
          <w:rFonts w:hint="eastAsia" w:ascii="宋体" w:hAnsi="宋体" w:cs="宋体"/>
          <w:sz w:val="21"/>
          <w:szCs w:val="21"/>
          <w:lang w:eastAsia="zh-CN"/>
        </w:rPr>
        <w:t>）</w:t>
      </w:r>
      <w:r>
        <w:rPr>
          <w:rFonts w:hint="eastAsia" w:ascii="宋体" w:hAnsi="宋体" w:eastAsia="宋体" w:cs="宋体"/>
          <w:sz w:val="21"/>
          <w:szCs w:val="21"/>
        </w:rPr>
        <w:t>记录失信被执行人或重大税收违法案件当事人名单记录名单；不处于中国政府采购网</w:t>
      </w:r>
      <w:r>
        <w:rPr>
          <w:rFonts w:hint="eastAsia" w:ascii="宋体" w:hAnsi="宋体" w:cs="宋体"/>
          <w:sz w:val="21"/>
          <w:szCs w:val="21"/>
          <w:lang w:eastAsia="zh-CN"/>
        </w:rPr>
        <w:t>（</w:t>
      </w:r>
      <w:r>
        <w:rPr>
          <w:rFonts w:hint="eastAsia" w:ascii="宋体" w:hAnsi="宋体" w:eastAsia="宋体" w:cs="宋体"/>
          <w:sz w:val="21"/>
          <w:szCs w:val="21"/>
        </w:rPr>
        <w:t>www.ccgp.gov.cn</w:t>
      </w:r>
      <w:r>
        <w:rPr>
          <w:rFonts w:hint="eastAsia" w:ascii="宋体" w:hAnsi="宋体" w:cs="宋体"/>
          <w:sz w:val="21"/>
          <w:szCs w:val="21"/>
          <w:lang w:eastAsia="zh-CN"/>
        </w:rPr>
        <w:t>）</w:t>
      </w:r>
      <w:r>
        <w:rPr>
          <w:rFonts w:hint="eastAsia" w:ascii="宋体" w:hAnsi="宋体" w:eastAsia="宋体" w:cs="宋体"/>
          <w:sz w:val="21"/>
          <w:szCs w:val="21"/>
        </w:rPr>
        <w:t>“政府采购严重违法失信行为信息记录”中的禁止参加政府采购活动期间。</w:t>
      </w:r>
      <w:r>
        <w:rPr>
          <w:rFonts w:hint="eastAsia" w:ascii="宋体" w:hAnsi="宋体" w:cs="宋体"/>
          <w:sz w:val="21"/>
          <w:szCs w:val="21"/>
          <w:lang w:eastAsia="zh-CN"/>
        </w:rPr>
        <w:t>（</w:t>
      </w:r>
      <w:r>
        <w:rPr>
          <w:rFonts w:hint="eastAsia" w:ascii="宋体" w:hAnsi="宋体" w:eastAsia="宋体" w:cs="宋体"/>
          <w:sz w:val="21"/>
          <w:szCs w:val="21"/>
        </w:rPr>
        <w:t>以采购代理机构于评审当天在“信用中国”网站</w:t>
      </w:r>
      <w:r>
        <w:rPr>
          <w:rFonts w:hint="eastAsia" w:ascii="宋体" w:hAnsi="宋体" w:cs="宋体"/>
          <w:sz w:val="21"/>
          <w:szCs w:val="21"/>
          <w:lang w:eastAsia="zh-CN"/>
        </w:rPr>
        <w:t>（</w:t>
      </w:r>
      <w:r>
        <w:rPr>
          <w:rFonts w:hint="eastAsia" w:ascii="宋体" w:hAnsi="宋体" w:eastAsia="宋体" w:cs="宋体"/>
          <w:sz w:val="21"/>
          <w:szCs w:val="21"/>
        </w:rPr>
        <w:t>www.creditchina.gov.cn</w:t>
      </w:r>
      <w:r>
        <w:rPr>
          <w:rFonts w:hint="eastAsia" w:ascii="宋体" w:hAnsi="宋体" w:cs="宋体"/>
          <w:sz w:val="21"/>
          <w:szCs w:val="21"/>
          <w:lang w:eastAsia="zh-CN"/>
        </w:rPr>
        <w:t>）</w:t>
      </w:r>
      <w:r>
        <w:rPr>
          <w:rFonts w:hint="eastAsia" w:ascii="宋体" w:hAnsi="宋体" w:eastAsia="宋体" w:cs="宋体"/>
          <w:sz w:val="21"/>
          <w:szCs w:val="21"/>
        </w:rPr>
        <w:t>及中国政府采购网</w:t>
      </w:r>
      <w:r>
        <w:rPr>
          <w:rFonts w:hint="eastAsia" w:ascii="宋体" w:hAnsi="宋体" w:cs="宋体"/>
          <w:sz w:val="21"/>
          <w:szCs w:val="21"/>
          <w:lang w:eastAsia="zh-CN"/>
        </w:rPr>
        <w:t>（</w:t>
      </w:r>
      <w:r>
        <w:rPr>
          <w:rFonts w:hint="eastAsia" w:ascii="宋体" w:hAnsi="宋体" w:eastAsia="宋体" w:cs="宋体"/>
          <w:sz w:val="21"/>
          <w:szCs w:val="21"/>
        </w:rPr>
        <w:t>http://www.ccgp.gov.cn/</w:t>
      </w:r>
      <w:r>
        <w:rPr>
          <w:rFonts w:hint="eastAsia" w:ascii="宋体" w:hAnsi="宋体" w:cs="宋体"/>
          <w:sz w:val="21"/>
          <w:szCs w:val="21"/>
          <w:lang w:eastAsia="zh-CN"/>
        </w:rPr>
        <w:t>）</w:t>
      </w:r>
      <w:r>
        <w:rPr>
          <w:rFonts w:hint="eastAsia" w:ascii="宋体" w:hAnsi="宋体" w:eastAsia="宋体" w:cs="宋体"/>
          <w:sz w:val="21"/>
          <w:szCs w:val="21"/>
        </w:rPr>
        <w:t>查询结果为准，如相关失信记录已失效，</w:t>
      </w:r>
      <w:r>
        <w:rPr>
          <w:rFonts w:hint="eastAsia" w:ascii="宋体" w:hAnsi="宋体" w:cs="宋体"/>
          <w:sz w:val="21"/>
          <w:szCs w:val="21"/>
          <w:lang w:val="en-US" w:eastAsia="zh-CN"/>
        </w:rPr>
        <w:t>可</w:t>
      </w:r>
      <w:r>
        <w:rPr>
          <w:rFonts w:hint="eastAsia" w:ascii="宋体" w:hAnsi="宋体" w:eastAsia="宋体" w:cs="宋体"/>
          <w:sz w:val="21"/>
          <w:szCs w:val="21"/>
        </w:rPr>
        <w:t>提供相关证明资料</w:t>
      </w:r>
      <w:r>
        <w:rPr>
          <w:rFonts w:hint="eastAsia" w:ascii="宋体" w:hAnsi="宋体" w:cs="宋体"/>
          <w:sz w:val="21"/>
          <w:szCs w:val="21"/>
          <w:lang w:eastAsia="zh-CN"/>
        </w:rPr>
        <w:t>）</w:t>
      </w:r>
      <w:r>
        <w:rPr>
          <w:rFonts w:hint="eastAsia" w:ascii="宋体" w:hAnsi="宋体" w:eastAsia="宋体" w:cs="宋体"/>
          <w:szCs w:val="21"/>
        </w:rPr>
        <w:t>；</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cs="宋体"/>
          <w:szCs w:val="21"/>
          <w:lang w:eastAsia="zh-CN"/>
        </w:rPr>
        <w:t>）</w:t>
      </w:r>
      <w:r>
        <w:rPr>
          <w:rFonts w:hint="eastAsia" w:ascii="宋体" w:hAnsi="宋体" w:eastAsia="宋体" w:cs="宋体"/>
          <w:szCs w:val="21"/>
          <w:lang w:val="en-US" w:eastAsia="zh-CN"/>
        </w:rPr>
        <w:t>非</w:t>
      </w:r>
      <w:r>
        <w:rPr>
          <w:rFonts w:hint="eastAsia" w:ascii="宋体" w:hAnsi="宋体" w:eastAsia="宋体" w:cs="宋体"/>
          <w:szCs w:val="21"/>
        </w:rPr>
        <w:t>联合体</w:t>
      </w:r>
      <w:r>
        <w:rPr>
          <w:rFonts w:hint="eastAsia" w:ascii="宋体" w:hAnsi="宋体" w:eastAsia="宋体" w:cs="宋体"/>
          <w:szCs w:val="21"/>
          <w:lang w:val="en-US" w:eastAsia="zh-CN"/>
        </w:rPr>
        <w:t>参与</w:t>
      </w:r>
      <w:r>
        <w:rPr>
          <w:rFonts w:hint="eastAsia" w:ascii="宋体" w:hAnsi="宋体" w:eastAsia="宋体" w:cs="宋体"/>
          <w:szCs w:val="21"/>
        </w:rPr>
        <w:t>磋商。</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lang w:val="en-US" w:eastAsia="zh-CN"/>
        </w:rPr>
        <w:t>5</w:t>
      </w:r>
      <w:r>
        <w:rPr>
          <w:rFonts w:hint="eastAsia" w:ascii="宋体" w:hAnsi="宋体" w:cs="宋体"/>
          <w:szCs w:val="21"/>
          <w:lang w:eastAsia="zh-CN"/>
        </w:rPr>
        <w:t>）</w:t>
      </w:r>
      <w:r>
        <w:rPr>
          <w:rFonts w:hint="eastAsia" w:ascii="宋体" w:hAnsi="宋体" w:eastAsia="宋体" w:cs="宋体"/>
          <w:szCs w:val="21"/>
        </w:rPr>
        <w:t>登记购买</w:t>
      </w:r>
      <w:r>
        <w:rPr>
          <w:rFonts w:hint="eastAsia" w:ascii="宋体" w:hAnsi="宋体" w:eastAsia="宋体" w:cs="宋体"/>
          <w:szCs w:val="21"/>
          <w:lang w:val="en-US" w:eastAsia="zh-CN"/>
        </w:rPr>
        <w:t>了</w:t>
      </w:r>
      <w:r>
        <w:rPr>
          <w:rFonts w:hint="eastAsia" w:ascii="宋体" w:hAnsi="宋体" w:eastAsia="宋体" w:cs="宋体"/>
          <w:szCs w:val="21"/>
        </w:rPr>
        <w:t>本竞争性磋商文件参与磋商。</w:t>
      </w:r>
    </w:p>
    <w:p>
      <w:pPr>
        <w:wordWrap w:val="0"/>
        <w:spacing w:before="31" w:beforeLines="10" w:after="31" w:afterLines="10" w:line="440" w:lineRule="exact"/>
        <w:ind w:firstLine="420" w:firstLineChars="200"/>
        <w:rPr>
          <w:rFonts w:hint="eastAsia" w:ascii="宋体" w:hAnsi="宋体" w:eastAsia="宋体" w:cs="宋体"/>
          <w:szCs w:val="21"/>
        </w:rPr>
      </w:pPr>
      <w:r>
        <w:rPr>
          <w:rFonts w:hint="eastAsia" w:ascii="宋体" w:hAnsi="宋体" w:eastAsia="宋体" w:cs="宋体"/>
          <w:szCs w:val="21"/>
        </w:rPr>
        <w:t>本单位已清楚采购文件的要求及有关文件规定。</w:t>
      </w:r>
    </w:p>
    <w:p>
      <w:pPr>
        <w:outlineLvl w:val="9"/>
        <w:rPr>
          <w:rFonts w:hint="eastAsia"/>
        </w:rPr>
      </w:pP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说明：</w:t>
      </w:r>
    </w:p>
    <w:p>
      <w:pPr>
        <w:spacing w:line="360" w:lineRule="auto"/>
        <w:ind w:firstLine="420" w:firstLineChars="200"/>
        <w:rPr>
          <w:rFonts w:hint="eastAsia" w:ascii="宋体" w:hAnsi="宋体" w:eastAsia="宋体" w:cs="宋体"/>
          <w:b w:val="0"/>
          <w:bCs w:val="0"/>
          <w:szCs w:val="21"/>
        </w:rPr>
      </w:pPr>
      <w:r>
        <w:rPr>
          <w:rFonts w:hint="eastAsia" w:ascii="宋体" w:hAnsi="宋体" w:eastAsia="宋体" w:cs="宋体"/>
          <w:b w:val="0"/>
          <w:bCs w:val="0"/>
          <w:szCs w:val="21"/>
        </w:rPr>
        <w:t>1、上述声明中，约定响应文件提供证明材料的，响应文件中必须按要求提供证明材料，否则作无效响应处理。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2、响应供应商对其所提供资料的真实性负责。在评审过程中乃至成交后，如发现响应供应商所提供的资料不合法或不真实，则其响应文件将作无效响应处理。</w:t>
      </w:r>
    </w:p>
    <w:p>
      <w:pPr>
        <w:pStyle w:val="68"/>
        <w:spacing w:line="360" w:lineRule="auto"/>
        <w:ind w:firstLine="250"/>
        <w:rPr>
          <w:rFonts w:hint="eastAsia" w:ascii="宋体" w:hAnsi="宋体" w:eastAsia="宋体" w:cs="宋体"/>
        </w:rPr>
      </w:pPr>
    </w:p>
    <w:p>
      <w:pPr>
        <w:pStyle w:val="68"/>
        <w:spacing w:line="360" w:lineRule="auto"/>
        <w:ind w:firstLine="251"/>
        <w:rPr>
          <w:rFonts w:hint="eastAsia" w:ascii="宋体" w:hAnsi="宋体" w:eastAsia="宋体" w:cs="宋体"/>
        </w:rPr>
      </w:pPr>
      <w:r>
        <w:rPr>
          <w:rFonts w:hint="eastAsia" w:ascii="宋体" w:hAnsi="宋体" w:eastAsia="宋体" w:cs="宋体"/>
          <w:b/>
          <w:bCs/>
        </w:rPr>
        <w:t>本声明函后附：营业执照副本复印件及相关资格文件加盖响应供应商公章。</w:t>
      </w:r>
    </w:p>
    <w:p>
      <w:pPr>
        <w:snapToGrid w:val="0"/>
        <w:spacing w:line="360" w:lineRule="auto"/>
        <w:rPr>
          <w:rFonts w:hint="eastAsia" w:ascii="宋体" w:hAnsi="宋体" w:eastAsia="宋体" w:cs="宋体"/>
          <w:sz w:val="22"/>
          <w:szCs w:val="22"/>
        </w:rPr>
      </w:pPr>
    </w:p>
    <w:p>
      <w:pPr>
        <w:snapToGrid w:val="0"/>
        <w:spacing w:line="360" w:lineRule="auto"/>
        <w:rPr>
          <w:rFonts w:hint="eastAsia" w:ascii="宋体" w:hAnsi="宋体" w:eastAsia="宋体" w:cs="宋体"/>
          <w:sz w:val="22"/>
          <w:szCs w:val="22"/>
        </w:rPr>
      </w:pPr>
    </w:p>
    <w:p>
      <w:pPr>
        <w:snapToGrid w:val="0"/>
        <w:spacing w:line="360" w:lineRule="auto"/>
        <w:rPr>
          <w:rFonts w:hint="eastAsia" w:ascii="宋体" w:hAnsi="宋体" w:eastAsia="宋体" w:cs="宋体"/>
          <w:sz w:val="22"/>
          <w:szCs w:val="22"/>
        </w:rPr>
      </w:pPr>
    </w:p>
    <w:p>
      <w:pPr>
        <w:adjustRightInd w:val="0"/>
        <w:snapToGrid w:val="0"/>
        <w:spacing w:line="480" w:lineRule="auto"/>
        <w:rPr>
          <w:rFonts w:ascii="宋体" w:hAnsi="宋体" w:cs="宋体"/>
          <w:sz w:val="21"/>
          <w:szCs w:val="21"/>
        </w:rPr>
      </w:pPr>
      <w:r>
        <w:rPr>
          <w:rFonts w:hint="eastAsia" w:ascii="宋体" w:hAnsi="宋体" w:cs="宋体"/>
          <w:sz w:val="21"/>
          <w:szCs w:val="21"/>
        </w:rPr>
        <w:t>供应商代表签字：</w:t>
      </w:r>
      <w:r>
        <w:rPr>
          <w:rFonts w:hint="eastAsia" w:ascii="宋体" w:hAnsi="宋体" w:cs="宋体"/>
          <w:sz w:val="21"/>
          <w:szCs w:val="21"/>
          <w:u w:val="single"/>
        </w:rPr>
        <w:t xml:space="preserve">                   </w:t>
      </w:r>
    </w:p>
    <w:p>
      <w:pPr>
        <w:adjustRightInd w:val="0"/>
        <w:snapToGrid w:val="0"/>
        <w:spacing w:line="480" w:lineRule="auto"/>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lang w:eastAsia="zh-CN"/>
        </w:rPr>
        <w:t>（</w:t>
      </w:r>
      <w:r>
        <w:rPr>
          <w:rFonts w:hint="eastAsia" w:ascii="宋体" w:hAnsi="宋体" w:cs="宋体"/>
          <w:sz w:val="21"/>
          <w:szCs w:val="21"/>
        </w:rPr>
        <w:t>加盖公章</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u w:val="single"/>
        </w:rPr>
        <w:t xml:space="preserve">                        </w:t>
      </w:r>
    </w:p>
    <w:p>
      <w:pPr>
        <w:outlineLvl w:val="9"/>
        <w:rPr>
          <w:rFonts w:hint="eastAsia" w:ascii="宋体" w:hAnsi="宋体" w:cs="宋体"/>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 xml:space="preserve"> 月</w:t>
      </w:r>
      <w:r>
        <w:rPr>
          <w:rFonts w:hint="eastAsia" w:ascii="宋体" w:hAnsi="宋体" w:cs="宋体"/>
          <w:sz w:val="21"/>
          <w:szCs w:val="21"/>
          <w:u w:val="single"/>
        </w:rPr>
        <w:t xml:space="preserve">    </w:t>
      </w:r>
      <w:r>
        <w:rPr>
          <w:rFonts w:hint="eastAsia" w:ascii="宋体" w:hAnsi="宋体" w:cs="宋体"/>
          <w:sz w:val="21"/>
          <w:szCs w:val="21"/>
        </w:rPr>
        <w:t xml:space="preserve"> 日</w:t>
      </w:r>
    </w:p>
    <w:p>
      <w:pPr>
        <w:rPr>
          <w:rFonts w:hint="eastAsia" w:ascii="宋体" w:hAnsi="宋体" w:cs="宋体"/>
          <w:sz w:val="21"/>
          <w:szCs w:val="21"/>
        </w:rPr>
      </w:pPr>
      <w:r>
        <w:rPr>
          <w:rFonts w:hint="eastAsia" w:ascii="宋体" w:hAnsi="宋体" w:cs="宋体"/>
          <w:sz w:val="21"/>
          <w:szCs w:val="21"/>
        </w:rPr>
        <w:br w:type="page"/>
      </w:r>
    </w:p>
    <w:p>
      <w:pPr>
        <w:pStyle w:val="5"/>
        <w:rPr>
          <w:rFonts w:ascii="宋体" w:hAnsi="宋体" w:cs="宋体"/>
          <w:sz w:val="28"/>
          <w:szCs w:val="28"/>
        </w:rPr>
      </w:pPr>
      <w:bookmarkStart w:id="845" w:name="_Toc276"/>
      <w:r>
        <w:rPr>
          <w:rFonts w:hint="eastAsia" w:ascii="宋体" w:hAnsi="宋体" w:cs="宋体"/>
          <w:sz w:val="28"/>
          <w:szCs w:val="28"/>
          <w:lang w:val="en-US" w:eastAsia="zh-CN"/>
        </w:rPr>
        <w:t>1.3</w:t>
      </w:r>
      <w:r>
        <w:rPr>
          <w:rFonts w:hint="eastAsia" w:ascii="宋体" w:hAnsi="宋体" w:cs="宋体"/>
          <w:sz w:val="28"/>
          <w:szCs w:val="28"/>
        </w:rPr>
        <w:t>法定代表人</w:t>
      </w:r>
      <w:r>
        <w:rPr>
          <w:rFonts w:hint="eastAsia" w:ascii="宋体" w:hAnsi="宋体" w:cs="宋体"/>
          <w:sz w:val="28"/>
          <w:szCs w:val="28"/>
          <w:lang w:eastAsia="zh-CN"/>
        </w:rPr>
        <w:t>（</w:t>
      </w:r>
      <w:r>
        <w:rPr>
          <w:rFonts w:hint="eastAsia" w:ascii="宋体" w:hAnsi="宋体" w:cs="宋体"/>
          <w:sz w:val="28"/>
          <w:szCs w:val="28"/>
        </w:rPr>
        <w:t>负责人</w:t>
      </w:r>
      <w:r>
        <w:rPr>
          <w:rFonts w:hint="eastAsia" w:ascii="宋体" w:hAnsi="宋体" w:cs="宋体"/>
          <w:sz w:val="28"/>
          <w:szCs w:val="28"/>
          <w:lang w:eastAsia="zh-CN"/>
        </w:rPr>
        <w:t>）</w:t>
      </w:r>
      <w:r>
        <w:rPr>
          <w:rFonts w:hint="eastAsia" w:ascii="宋体" w:hAnsi="宋体" w:cs="宋体"/>
          <w:sz w:val="28"/>
          <w:szCs w:val="28"/>
        </w:rPr>
        <w:t>资格证明书及授权委托书</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5"/>
    </w:p>
    <w:p>
      <w:pPr>
        <w:spacing w:line="480" w:lineRule="exact"/>
        <w:jc w:val="center"/>
        <w:rPr>
          <w:rFonts w:ascii="宋体" w:hAnsi="宋体" w:cs="宋体"/>
          <w:b/>
          <w:sz w:val="28"/>
          <w:szCs w:val="28"/>
        </w:rPr>
      </w:pPr>
      <w:r>
        <w:rPr>
          <w:rFonts w:hint="eastAsia" w:ascii="宋体" w:hAnsi="宋体" w:cs="宋体"/>
          <w:b/>
          <w:sz w:val="28"/>
          <w:szCs w:val="28"/>
          <w:lang w:eastAsia="zh-CN"/>
        </w:rPr>
        <w:t>（</w:t>
      </w:r>
      <w:r>
        <w:rPr>
          <w:rFonts w:hint="eastAsia" w:ascii="宋体" w:hAnsi="宋体" w:cs="宋体"/>
          <w:b/>
          <w:sz w:val="28"/>
          <w:szCs w:val="28"/>
        </w:rPr>
        <w:t>1</w:t>
      </w:r>
      <w:r>
        <w:rPr>
          <w:rFonts w:hint="eastAsia" w:ascii="宋体" w:hAnsi="宋体" w:cs="宋体"/>
          <w:b/>
          <w:sz w:val="28"/>
          <w:szCs w:val="28"/>
          <w:lang w:eastAsia="zh-CN"/>
        </w:rPr>
        <w:t>）</w:t>
      </w:r>
      <w:r>
        <w:rPr>
          <w:rFonts w:hint="eastAsia" w:ascii="宋体" w:hAnsi="宋体" w:cs="宋体"/>
          <w:b/>
          <w:sz w:val="28"/>
          <w:szCs w:val="28"/>
        </w:rPr>
        <w:t>法定代表人</w:t>
      </w:r>
      <w:r>
        <w:rPr>
          <w:rFonts w:hint="eastAsia" w:ascii="宋体" w:hAnsi="宋体" w:cs="宋体"/>
          <w:b/>
          <w:sz w:val="28"/>
          <w:szCs w:val="28"/>
          <w:lang w:eastAsia="zh-CN"/>
        </w:rPr>
        <w:t>（</w:t>
      </w:r>
      <w:r>
        <w:rPr>
          <w:rFonts w:hint="eastAsia" w:ascii="宋体" w:hAnsi="宋体" w:cs="宋体"/>
          <w:b/>
          <w:sz w:val="28"/>
          <w:szCs w:val="28"/>
        </w:rPr>
        <w:t>负责人</w:t>
      </w:r>
      <w:r>
        <w:rPr>
          <w:rFonts w:hint="eastAsia" w:ascii="宋体" w:hAnsi="宋体" w:cs="宋体"/>
          <w:b/>
          <w:sz w:val="28"/>
          <w:szCs w:val="28"/>
          <w:lang w:eastAsia="zh-CN"/>
        </w:rPr>
        <w:t>）</w:t>
      </w:r>
      <w:r>
        <w:rPr>
          <w:rFonts w:hint="eastAsia" w:ascii="宋体" w:hAnsi="宋体" w:cs="宋体"/>
          <w:b/>
          <w:sz w:val="28"/>
          <w:szCs w:val="28"/>
        </w:rPr>
        <w:t>资格证明书</w:t>
      </w:r>
    </w:p>
    <w:p>
      <w:pPr>
        <w:rPr>
          <w:rFonts w:ascii="宋体" w:hAnsi="宋体" w:cs="宋体"/>
        </w:rPr>
      </w:pPr>
    </w:p>
    <w:p>
      <w:pPr>
        <w:spacing w:line="360" w:lineRule="auto"/>
        <w:rPr>
          <w:rFonts w:ascii="宋体" w:hAnsi="宋体" w:cs="宋体"/>
          <w:sz w:val="24"/>
        </w:rPr>
      </w:pPr>
      <w:r>
        <w:rPr>
          <w:rFonts w:hint="eastAsia" w:ascii="宋体" w:hAnsi="宋体" w:cs="宋体"/>
          <w:sz w:val="24"/>
        </w:rPr>
        <w:t>致：珠海正诺工程咨询有限公司</w:t>
      </w:r>
    </w:p>
    <w:p>
      <w:pPr>
        <w:rPr>
          <w:rFonts w:ascii="宋体" w:hAnsi="宋体" w:cs="宋体"/>
        </w:rPr>
      </w:pPr>
    </w:p>
    <w:p>
      <w:pPr>
        <w:spacing w:line="480" w:lineRule="auto"/>
        <w:ind w:left="240" w:firstLine="420"/>
        <w:rPr>
          <w:rFonts w:ascii="宋体" w:hAnsi="宋体" w:cs="宋体"/>
          <w:sz w:val="24"/>
        </w:rPr>
      </w:pPr>
      <w:r>
        <w:rPr>
          <w:rFonts w:hint="eastAsia" w:ascii="宋体" w:hAnsi="宋体" w:cs="宋体"/>
          <w:sz w:val="24"/>
          <w:u w:val="single"/>
        </w:rPr>
        <w:t xml:space="preserve">          </w:t>
      </w:r>
      <w:r>
        <w:rPr>
          <w:rFonts w:hint="eastAsia" w:ascii="宋体" w:hAnsi="宋体" w:cs="宋体"/>
          <w:sz w:val="24"/>
        </w:rPr>
        <w:t>先生/女士，现任我单位</w:t>
      </w:r>
      <w:r>
        <w:rPr>
          <w:rFonts w:hint="eastAsia" w:ascii="宋体" w:hAnsi="宋体" w:cs="宋体"/>
          <w:sz w:val="24"/>
          <w:u w:val="single"/>
        </w:rPr>
        <w:t xml:space="preserve">          </w:t>
      </w:r>
      <w:r>
        <w:rPr>
          <w:rFonts w:hint="eastAsia" w:ascii="宋体" w:hAnsi="宋体" w:cs="宋体"/>
          <w:sz w:val="24"/>
        </w:rPr>
        <w:t>职务，为法定代表人</w:t>
      </w:r>
      <w:r>
        <w:rPr>
          <w:rFonts w:hint="eastAsia" w:ascii="宋体" w:hAnsi="宋体" w:cs="宋体"/>
          <w:sz w:val="24"/>
          <w:lang w:eastAsia="zh-CN"/>
        </w:rPr>
        <w:t>（</w:t>
      </w:r>
      <w:r>
        <w:rPr>
          <w:rFonts w:hint="eastAsia" w:ascii="宋体" w:hAnsi="宋体" w:cs="宋体"/>
          <w:sz w:val="24"/>
        </w:rPr>
        <w:t>负责人</w:t>
      </w:r>
      <w:r>
        <w:rPr>
          <w:rFonts w:hint="eastAsia" w:ascii="宋体" w:hAnsi="宋体" w:cs="宋体"/>
          <w:sz w:val="24"/>
          <w:lang w:eastAsia="zh-CN"/>
        </w:rPr>
        <w:t>）</w:t>
      </w:r>
      <w:r>
        <w:rPr>
          <w:rFonts w:hint="eastAsia" w:ascii="宋体" w:hAnsi="宋体" w:cs="宋体"/>
          <w:sz w:val="24"/>
        </w:rPr>
        <w:t>，特此证明。</w:t>
      </w:r>
    </w:p>
    <w:p>
      <w:pPr>
        <w:spacing w:line="360" w:lineRule="auto"/>
        <w:rPr>
          <w:rFonts w:ascii="宋体" w:hAnsi="宋体" w:cs="宋体"/>
          <w:sz w:val="24"/>
        </w:rPr>
      </w:pPr>
    </w:p>
    <w:p>
      <w:pPr>
        <w:spacing w:line="480" w:lineRule="auto"/>
        <w:ind w:firstLine="240" w:firstLineChars="100"/>
        <w:rPr>
          <w:rFonts w:ascii="宋体" w:hAnsi="宋体" w:cs="宋体"/>
          <w:sz w:val="24"/>
          <w:u w:val="single"/>
        </w:rPr>
      </w:pPr>
      <w:r>
        <w:rPr>
          <w:rFonts w:hint="eastAsia" w:ascii="宋体" w:hAnsi="宋体" w:cs="宋体"/>
          <w:sz w:val="24"/>
        </w:rPr>
        <w:t>签发日期：</w:t>
      </w:r>
      <w:r>
        <w:rPr>
          <w:rFonts w:hint="eastAsia" w:ascii="宋体" w:hAnsi="宋体" w:cs="宋体"/>
          <w:sz w:val="24"/>
          <w:u w:val="single"/>
        </w:rPr>
        <w:t xml:space="preserve">           </w:t>
      </w:r>
      <w:r>
        <w:rPr>
          <w:rFonts w:hint="eastAsia" w:ascii="宋体" w:hAnsi="宋体" w:cs="宋体"/>
          <w:sz w:val="24"/>
        </w:rPr>
        <w:t>单位</w:t>
      </w:r>
      <w:r>
        <w:rPr>
          <w:rFonts w:hint="eastAsia" w:ascii="宋体" w:hAnsi="宋体" w:cs="宋体"/>
          <w:sz w:val="24"/>
          <w:lang w:eastAsia="zh-CN"/>
        </w:rPr>
        <w:t>（</w:t>
      </w:r>
      <w:r>
        <w:rPr>
          <w:rFonts w:hint="eastAsia" w:ascii="宋体" w:hAnsi="宋体" w:cs="宋体"/>
          <w:sz w:val="24"/>
        </w:rPr>
        <w:t>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spacing w:line="480" w:lineRule="auto"/>
        <w:ind w:firstLine="240" w:firstLineChars="100"/>
        <w:rPr>
          <w:rFonts w:ascii="宋体" w:hAnsi="宋体" w:cs="宋体"/>
          <w:sz w:val="24"/>
          <w:u w:val="single"/>
        </w:rPr>
      </w:pPr>
      <w:r>
        <w:rPr>
          <w:rFonts w:hint="eastAsia" w:ascii="宋体" w:hAnsi="宋体" w:cs="宋体"/>
          <w:sz w:val="24"/>
        </w:rPr>
        <w:t>代表人性别：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身份证号码：</w:t>
      </w:r>
      <w:r>
        <w:rPr>
          <w:rFonts w:hint="eastAsia" w:ascii="宋体" w:hAnsi="宋体" w:cs="宋体"/>
          <w:sz w:val="24"/>
          <w:u w:val="single"/>
        </w:rPr>
        <w:t xml:space="preserve">                  </w:t>
      </w:r>
    </w:p>
    <w:p>
      <w:pPr>
        <w:spacing w:line="480" w:lineRule="auto"/>
        <w:ind w:firstLine="240" w:firstLineChars="1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spacing w:line="480" w:lineRule="auto"/>
        <w:ind w:firstLine="240" w:firstLineChars="100"/>
        <w:rPr>
          <w:rFonts w:ascii="宋体" w:hAnsi="宋体" w:cs="宋体"/>
          <w:sz w:val="24"/>
          <w:u w:val="single"/>
        </w:rPr>
      </w:pPr>
      <w:r>
        <w:rPr>
          <w:rFonts w:hint="eastAsia" w:ascii="宋体" w:hAnsi="宋体" w:cs="宋体"/>
          <w:sz w:val="24"/>
        </w:rPr>
        <w:t xml:space="preserve">营业执照号码： </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说明：供应商应提供法定代表人</w:t>
      </w:r>
      <w:r>
        <w:rPr>
          <w:rFonts w:hint="eastAsia" w:ascii="宋体" w:hAnsi="宋体" w:cs="宋体"/>
          <w:b/>
          <w:sz w:val="24"/>
          <w:lang w:eastAsia="zh-CN"/>
        </w:rPr>
        <w:t>（</w:t>
      </w:r>
      <w:r>
        <w:rPr>
          <w:rFonts w:hint="eastAsia" w:ascii="宋体" w:hAnsi="宋体" w:cs="宋体"/>
          <w:b/>
          <w:sz w:val="24"/>
        </w:rPr>
        <w:t>负责人</w:t>
      </w:r>
      <w:r>
        <w:rPr>
          <w:rFonts w:hint="eastAsia" w:ascii="宋体" w:hAnsi="宋体" w:cs="宋体"/>
          <w:b/>
          <w:sz w:val="24"/>
          <w:lang w:eastAsia="zh-CN"/>
        </w:rPr>
        <w:t>）</w:t>
      </w:r>
      <w:r>
        <w:rPr>
          <w:rFonts w:hint="eastAsia" w:ascii="宋体" w:hAnsi="宋体" w:cs="宋体"/>
          <w:b/>
          <w:sz w:val="24"/>
        </w:rPr>
        <w:t>身份证复印件。</w:t>
      </w:r>
    </w:p>
    <w:tbl>
      <w:tblPr>
        <w:tblStyle w:val="70"/>
        <w:tblpPr w:leftFromText="180" w:rightFromText="180" w:vertAnchor="text" w:horzAnchor="margin" w:tblpY="20"/>
        <w:tblOverlap w:val="never"/>
        <w:tblW w:w="8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3"/>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exact"/>
        </w:trPr>
        <w:tc>
          <w:tcPr>
            <w:tcW w:w="4073"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法定代表人</w:t>
            </w:r>
            <w:r>
              <w:rPr>
                <w:rFonts w:hint="eastAsia" w:ascii="宋体" w:hAnsi="宋体" w:cs="宋体"/>
                <w:sz w:val="24"/>
                <w:szCs w:val="24"/>
                <w:lang w:eastAsia="zh-CN"/>
              </w:rPr>
              <w:t>（</w:t>
            </w:r>
            <w:r>
              <w:rPr>
                <w:rFonts w:hint="eastAsia" w:ascii="宋体" w:hAnsi="宋体" w:cs="宋体"/>
                <w:sz w:val="24"/>
                <w:szCs w:val="24"/>
              </w:rPr>
              <w:t>负责人</w:t>
            </w:r>
            <w:r>
              <w:rPr>
                <w:rFonts w:hint="eastAsia" w:ascii="宋体" w:hAnsi="宋体" w:cs="宋体"/>
                <w:sz w:val="24"/>
                <w:szCs w:val="24"/>
                <w:lang w:eastAsia="zh-CN"/>
              </w:rPr>
              <w:t>）</w:t>
            </w:r>
            <w:r>
              <w:rPr>
                <w:rFonts w:hint="eastAsia" w:ascii="宋体" w:hAnsi="宋体" w:cs="宋体"/>
                <w:sz w:val="24"/>
                <w:szCs w:val="24"/>
              </w:rPr>
              <w:t>身份证复印件粘贴处</w:t>
            </w:r>
            <w:r>
              <w:rPr>
                <w:rFonts w:hint="eastAsia" w:ascii="宋体" w:hAnsi="宋体" w:cs="宋体"/>
                <w:sz w:val="24"/>
                <w:szCs w:val="24"/>
                <w:lang w:eastAsia="zh-CN"/>
              </w:rPr>
              <w:t>（</w:t>
            </w:r>
            <w:r>
              <w:rPr>
                <w:rFonts w:hint="eastAsia" w:ascii="宋体" w:hAnsi="宋体" w:cs="宋体"/>
                <w:sz w:val="24"/>
                <w:szCs w:val="24"/>
              </w:rPr>
              <w:t>正面</w:t>
            </w:r>
            <w:r>
              <w:rPr>
                <w:rFonts w:hint="eastAsia" w:ascii="宋体" w:hAnsi="宋体" w:cs="宋体"/>
                <w:sz w:val="24"/>
                <w:szCs w:val="24"/>
                <w:lang w:eastAsia="zh-CN"/>
              </w:rPr>
              <w:t>）</w:t>
            </w:r>
          </w:p>
        </w:tc>
        <w:tc>
          <w:tcPr>
            <w:tcW w:w="4073"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法定代表人</w:t>
            </w:r>
            <w:r>
              <w:rPr>
                <w:rFonts w:hint="eastAsia" w:ascii="宋体" w:hAnsi="宋体" w:cs="宋体"/>
                <w:sz w:val="24"/>
                <w:szCs w:val="24"/>
                <w:lang w:eastAsia="zh-CN"/>
              </w:rPr>
              <w:t>（</w:t>
            </w:r>
            <w:r>
              <w:rPr>
                <w:rFonts w:hint="eastAsia" w:ascii="宋体" w:hAnsi="宋体" w:cs="宋体"/>
                <w:sz w:val="24"/>
                <w:szCs w:val="24"/>
              </w:rPr>
              <w:t>负责人</w:t>
            </w:r>
            <w:r>
              <w:rPr>
                <w:rFonts w:hint="eastAsia" w:ascii="宋体" w:hAnsi="宋体" w:cs="宋体"/>
                <w:sz w:val="24"/>
                <w:szCs w:val="24"/>
                <w:lang w:eastAsia="zh-CN"/>
              </w:rPr>
              <w:t>）</w:t>
            </w:r>
            <w:r>
              <w:rPr>
                <w:rFonts w:hint="eastAsia" w:ascii="宋体" w:hAnsi="宋体" w:cs="宋体"/>
                <w:sz w:val="24"/>
                <w:szCs w:val="24"/>
              </w:rPr>
              <w:t>身份证复印件粘贴处</w:t>
            </w:r>
            <w:r>
              <w:rPr>
                <w:rFonts w:hint="eastAsia" w:ascii="宋体" w:hAnsi="宋体" w:cs="宋体"/>
                <w:sz w:val="24"/>
                <w:szCs w:val="24"/>
                <w:lang w:eastAsia="zh-CN"/>
              </w:rPr>
              <w:t>（</w:t>
            </w:r>
            <w:r>
              <w:rPr>
                <w:rFonts w:hint="eastAsia" w:ascii="宋体" w:hAnsi="宋体" w:cs="宋体"/>
                <w:sz w:val="24"/>
                <w:szCs w:val="24"/>
              </w:rPr>
              <w:t>反面</w:t>
            </w:r>
            <w:r>
              <w:rPr>
                <w:rFonts w:hint="eastAsia" w:ascii="宋体" w:hAnsi="宋体" w:cs="宋体"/>
                <w:sz w:val="24"/>
                <w:szCs w:val="24"/>
                <w:lang w:eastAsia="zh-CN"/>
              </w:rPr>
              <w:t>）</w:t>
            </w:r>
          </w:p>
        </w:tc>
      </w:tr>
    </w:tbl>
    <w:p>
      <w:pPr>
        <w:rPr>
          <w:rFonts w:ascii="宋体" w:hAnsi="宋体" w:cs="宋体"/>
          <w:vanish/>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spacing w:line="480" w:lineRule="exact"/>
        <w:jc w:val="center"/>
        <w:rPr>
          <w:rFonts w:ascii="宋体" w:hAnsi="宋体" w:cs="宋体"/>
          <w:b/>
          <w:sz w:val="28"/>
          <w:szCs w:val="28"/>
        </w:rPr>
      </w:pPr>
      <w:bookmarkStart w:id="846" w:name="_Toc6083"/>
      <w:bookmarkStart w:id="847" w:name="_Toc22510"/>
      <w:bookmarkStart w:id="848" w:name="_Toc29072"/>
      <w:bookmarkStart w:id="849" w:name="_Toc16928"/>
      <w:r>
        <w:rPr>
          <w:rFonts w:hint="eastAsia" w:ascii="宋体" w:hAnsi="宋体" w:cs="宋体"/>
          <w:b/>
          <w:sz w:val="28"/>
          <w:szCs w:val="28"/>
          <w:lang w:eastAsia="zh-CN"/>
        </w:rPr>
        <w:t>（</w:t>
      </w:r>
      <w:r>
        <w:rPr>
          <w:rFonts w:hint="eastAsia" w:ascii="宋体" w:hAnsi="宋体" w:cs="宋体"/>
          <w:b/>
          <w:sz w:val="28"/>
          <w:szCs w:val="28"/>
        </w:rPr>
        <w:t>2</w:t>
      </w:r>
      <w:r>
        <w:rPr>
          <w:rFonts w:hint="eastAsia" w:ascii="宋体" w:hAnsi="宋体" w:cs="宋体"/>
          <w:b/>
          <w:sz w:val="28"/>
          <w:szCs w:val="28"/>
          <w:lang w:eastAsia="zh-CN"/>
        </w:rPr>
        <w:t>）</w:t>
      </w:r>
      <w:r>
        <w:rPr>
          <w:rFonts w:hint="eastAsia" w:ascii="宋体" w:hAnsi="宋体" w:cs="宋体"/>
          <w:b/>
          <w:sz w:val="28"/>
          <w:szCs w:val="28"/>
        </w:rPr>
        <w:t>法定代表人</w:t>
      </w:r>
      <w:r>
        <w:rPr>
          <w:rFonts w:hint="eastAsia" w:ascii="宋体" w:hAnsi="宋体" w:cs="宋体"/>
          <w:b/>
          <w:sz w:val="28"/>
          <w:szCs w:val="28"/>
          <w:lang w:eastAsia="zh-CN"/>
        </w:rPr>
        <w:t>（</w:t>
      </w:r>
      <w:r>
        <w:rPr>
          <w:rFonts w:hint="eastAsia" w:ascii="宋体" w:hAnsi="宋体" w:cs="宋体"/>
          <w:b/>
          <w:sz w:val="28"/>
          <w:szCs w:val="28"/>
        </w:rPr>
        <w:t>负责人</w:t>
      </w:r>
      <w:r>
        <w:rPr>
          <w:rFonts w:hint="eastAsia" w:ascii="宋体" w:hAnsi="宋体" w:cs="宋体"/>
          <w:b/>
          <w:sz w:val="28"/>
          <w:szCs w:val="28"/>
          <w:lang w:eastAsia="zh-CN"/>
        </w:rPr>
        <w:t>）</w:t>
      </w:r>
      <w:r>
        <w:rPr>
          <w:rFonts w:hint="eastAsia" w:ascii="宋体" w:hAnsi="宋体" w:cs="宋体"/>
          <w:b/>
          <w:sz w:val="28"/>
          <w:szCs w:val="28"/>
        </w:rPr>
        <w:t>授权委托书</w:t>
      </w:r>
      <w:bookmarkEnd w:id="846"/>
      <w:bookmarkEnd w:id="847"/>
      <w:bookmarkEnd w:id="848"/>
      <w:bookmarkEnd w:id="849"/>
    </w:p>
    <w:p>
      <w:pPr>
        <w:spacing w:line="360" w:lineRule="auto"/>
        <w:rPr>
          <w:rFonts w:ascii="宋体" w:hAnsi="宋体" w:cs="宋体"/>
          <w:sz w:val="28"/>
          <w:szCs w:val="28"/>
        </w:rPr>
      </w:pPr>
    </w:p>
    <w:p>
      <w:pPr>
        <w:keepNext w:val="0"/>
        <w:pageBreakBefore w:val="0"/>
        <w:kinsoku/>
        <w:wordWrap/>
        <w:overflowPunct/>
        <w:topLinePunct w:val="0"/>
        <w:autoSpaceDE/>
        <w:autoSpaceDN/>
        <w:bidi w:val="0"/>
        <w:spacing w:line="360" w:lineRule="auto"/>
        <w:textAlignment w:val="auto"/>
        <w:rPr>
          <w:rFonts w:ascii="宋体" w:hAnsi="宋体" w:cs="宋体"/>
          <w:sz w:val="24"/>
        </w:rPr>
      </w:pPr>
      <w:r>
        <w:rPr>
          <w:rFonts w:hint="eastAsia" w:ascii="宋体" w:hAnsi="宋体" w:cs="宋体"/>
          <w:sz w:val="24"/>
        </w:rPr>
        <w:t>致：珠海正诺工程咨询有限公司</w:t>
      </w:r>
    </w:p>
    <w:p>
      <w:pPr>
        <w:keepNext w:val="0"/>
        <w:keepLines/>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本授权书声明：我</w:t>
      </w:r>
      <w:r>
        <w:rPr>
          <w:rFonts w:hint="eastAsia" w:ascii="宋体" w:hAnsi="宋体" w:cs="宋体"/>
          <w:bCs/>
          <w:sz w:val="24"/>
          <w:u w:val="single"/>
        </w:rPr>
        <w:t xml:space="preserve">        </w:t>
      </w:r>
      <w:r>
        <w:rPr>
          <w:rFonts w:hint="eastAsia" w:ascii="宋体" w:hAnsi="宋体" w:cs="宋体"/>
          <w:bCs/>
          <w:sz w:val="24"/>
          <w:lang w:eastAsia="zh-CN"/>
        </w:rPr>
        <w:t>（</w:t>
      </w:r>
      <w:r>
        <w:rPr>
          <w:rFonts w:hint="eastAsia" w:ascii="宋体" w:hAnsi="宋体" w:cs="宋体"/>
          <w:bCs/>
          <w:sz w:val="24"/>
        </w:rPr>
        <w:t>姓名</w:t>
      </w:r>
      <w:r>
        <w:rPr>
          <w:rFonts w:hint="eastAsia" w:ascii="宋体" w:hAnsi="宋体" w:cs="宋体"/>
          <w:bCs/>
          <w:sz w:val="24"/>
          <w:lang w:eastAsia="zh-CN"/>
        </w:rPr>
        <w:t>）</w:t>
      </w:r>
      <w:r>
        <w:rPr>
          <w:rFonts w:hint="eastAsia" w:ascii="宋体" w:hAnsi="宋体" w:cs="宋体"/>
          <w:bCs/>
          <w:sz w:val="24"/>
        </w:rPr>
        <w:t>系</w:t>
      </w:r>
      <w:r>
        <w:rPr>
          <w:rFonts w:hint="eastAsia" w:ascii="宋体" w:hAnsi="宋体" w:cs="宋体"/>
          <w:bCs/>
          <w:sz w:val="24"/>
          <w:u w:val="single"/>
        </w:rPr>
        <w:t xml:space="preserve">              </w:t>
      </w:r>
      <w:r>
        <w:rPr>
          <w:rFonts w:hint="eastAsia" w:ascii="宋体" w:hAnsi="宋体" w:cs="宋体"/>
          <w:bCs/>
          <w:sz w:val="24"/>
          <w:lang w:eastAsia="zh-CN"/>
        </w:rPr>
        <w:t>（</w:t>
      </w:r>
      <w:r>
        <w:rPr>
          <w:rFonts w:hint="eastAsia" w:ascii="宋体" w:hAnsi="宋体" w:cs="宋体"/>
          <w:bCs/>
          <w:sz w:val="24"/>
        </w:rPr>
        <w:t>供应商名称</w:t>
      </w:r>
      <w:r>
        <w:rPr>
          <w:rFonts w:hint="eastAsia" w:ascii="宋体" w:hAnsi="宋体" w:cs="宋体"/>
          <w:bCs/>
          <w:sz w:val="24"/>
          <w:lang w:eastAsia="zh-CN"/>
        </w:rPr>
        <w:t>）</w:t>
      </w:r>
      <w:r>
        <w:rPr>
          <w:rFonts w:hint="eastAsia" w:ascii="宋体" w:hAnsi="宋体" w:cs="宋体"/>
          <w:bCs/>
          <w:sz w:val="24"/>
        </w:rPr>
        <w:t>的法定代表人</w:t>
      </w:r>
      <w:r>
        <w:rPr>
          <w:rFonts w:hint="eastAsia" w:ascii="宋体" w:hAnsi="宋体" w:cs="宋体"/>
          <w:bCs/>
          <w:sz w:val="24"/>
          <w:lang w:eastAsia="zh-CN"/>
        </w:rPr>
        <w:t>（</w:t>
      </w:r>
      <w:r>
        <w:rPr>
          <w:rFonts w:hint="eastAsia" w:ascii="宋体" w:hAnsi="宋体" w:cs="宋体"/>
          <w:bCs/>
          <w:sz w:val="24"/>
        </w:rPr>
        <w:t>负责人</w:t>
      </w:r>
      <w:r>
        <w:rPr>
          <w:rFonts w:hint="eastAsia" w:ascii="宋体" w:hAnsi="宋体" w:cs="宋体"/>
          <w:bCs/>
          <w:sz w:val="24"/>
          <w:lang w:eastAsia="zh-CN"/>
        </w:rPr>
        <w:t>）</w:t>
      </w:r>
      <w:r>
        <w:rPr>
          <w:rFonts w:hint="eastAsia" w:ascii="宋体" w:hAnsi="宋体" w:cs="宋体"/>
          <w:bCs/>
          <w:sz w:val="24"/>
        </w:rPr>
        <w:t>，现授权</w:t>
      </w:r>
      <w:r>
        <w:rPr>
          <w:rFonts w:hint="eastAsia" w:ascii="宋体" w:hAnsi="宋体" w:cs="宋体"/>
          <w:bCs/>
          <w:sz w:val="24"/>
          <w:u w:val="single"/>
        </w:rPr>
        <w:t xml:space="preserve">             </w:t>
      </w:r>
      <w:r>
        <w:rPr>
          <w:rFonts w:hint="eastAsia" w:ascii="宋体" w:hAnsi="宋体" w:cs="宋体"/>
          <w:bCs/>
          <w:sz w:val="24"/>
          <w:lang w:eastAsia="zh-CN"/>
        </w:rPr>
        <w:t>（</w:t>
      </w:r>
      <w:r>
        <w:rPr>
          <w:rFonts w:hint="eastAsia" w:ascii="宋体" w:hAnsi="宋体" w:cs="宋体"/>
          <w:bCs/>
          <w:sz w:val="24"/>
        </w:rPr>
        <w:t>单位名称</w:t>
      </w:r>
      <w:r>
        <w:rPr>
          <w:rFonts w:hint="eastAsia" w:ascii="宋体" w:hAnsi="宋体" w:cs="宋体"/>
          <w:bCs/>
          <w:sz w:val="24"/>
          <w:lang w:eastAsia="zh-CN"/>
        </w:rPr>
        <w:t>）</w:t>
      </w:r>
      <w:r>
        <w:rPr>
          <w:rFonts w:hint="eastAsia" w:ascii="宋体" w:hAnsi="宋体" w:cs="宋体"/>
          <w:bCs/>
          <w:sz w:val="24"/>
        </w:rPr>
        <w:t>的</w:t>
      </w:r>
      <w:r>
        <w:rPr>
          <w:rFonts w:hint="eastAsia" w:ascii="宋体" w:hAnsi="宋体" w:cs="宋体"/>
          <w:bCs/>
          <w:sz w:val="24"/>
          <w:u w:val="single"/>
        </w:rPr>
        <w:t xml:space="preserve">         </w:t>
      </w:r>
      <w:r>
        <w:rPr>
          <w:rFonts w:hint="eastAsia" w:ascii="宋体" w:hAnsi="宋体" w:cs="宋体"/>
          <w:bCs/>
          <w:sz w:val="24"/>
          <w:lang w:eastAsia="zh-CN"/>
        </w:rPr>
        <w:t>（</w:t>
      </w:r>
      <w:r>
        <w:rPr>
          <w:rFonts w:hint="eastAsia" w:ascii="宋体" w:hAnsi="宋体" w:cs="宋体"/>
          <w:bCs/>
          <w:sz w:val="24"/>
        </w:rPr>
        <w:t>被授权人的姓名、职务</w:t>
      </w:r>
      <w:r>
        <w:rPr>
          <w:rFonts w:hint="eastAsia" w:ascii="宋体" w:hAnsi="宋体" w:cs="宋体"/>
          <w:bCs/>
          <w:sz w:val="24"/>
          <w:lang w:eastAsia="zh-CN"/>
        </w:rPr>
        <w:t>）</w:t>
      </w:r>
      <w:r>
        <w:rPr>
          <w:rFonts w:hint="eastAsia" w:ascii="宋体" w:hAnsi="宋体" w:cs="宋体"/>
          <w:bCs/>
          <w:sz w:val="24"/>
        </w:rPr>
        <w:t>为本公司的合法代理人，以本公司的名义参加</w:t>
      </w:r>
      <w:r>
        <w:rPr>
          <w:rFonts w:hint="eastAsia" w:ascii="宋体" w:hAnsi="宋体" w:cs="宋体"/>
          <w:bCs/>
          <w:sz w:val="24"/>
          <w:u w:val="single"/>
        </w:rPr>
        <w:t xml:space="preserve">             </w:t>
      </w:r>
      <w:r>
        <w:rPr>
          <w:rFonts w:hint="eastAsia" w:ascii="宋体" w:hAnsi="宋体" w:cs="宋体"/>
          <w:bCs/>
          <w:sz w:val="24"/>
          <w:lang w:eastAsia="zh-CN"/>
        </w:rPr>
        <w:t>（</w:t>
      </w:r>
      <w:r>
        <w:rPr>
          <w:rFonts w:hint="eastAsia" w:ascii="宋体" w:hAnsi="宋体" w:cs="宋体"/>
          <w:bCs/>
          <w:sz w:val="24"/>
        </w:rPr>
        <w:t>项目名称、采购编号</w:t>
      </w:r>
      <w:r>
        <w:rPr>
          <w:rFonts w:hint="eastAsia" w:ascii="宋体" w:hAnsi="宋体" w:cs="宋体"/>
          <w:bCs/>
          <w:sz w:val="24"/>
          <w:lang w:eastAsia="zh-CN"/>
        </w:rPr>
        <w:t>）</w:t>
      </w:r>
      <w:r>
        <w:rPr>
          <w:rFonts w:hint="eastAsia" w:ascii="宋体" w:hAnsi="宋体" w:cs="宋体"/>
          <w:bCs/>
          <w:sz w:val="24"/>
        </w:rPr>
        <w:t>的磋商活动。代理人对该项目所签署的一切文件和处理与之有关的一切事务，我均予以承认。</w:t>
      </w:r>
    </w:p>
    <w:p>
      <w:pPr>
        <w:keepNext w:val="0"/>
        <w:keepLines/>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代理人无转委托权。特此委托。</w:t>
      </w:r>
    </w:p>
    <w:p>
      <w:pPr>
        <w:keepLines/>
        <w:widowControl/>
        <w:adjustRightInd w:val="0"/>
        <w:snapToGrid w:val="0"/>
        <w:spacing w:line="360" w:lineRule="auto"/>
        <w:rPr>
          <w:rFonts w:ascii="宋体" w:hAnsi="宋体" w:cs="宋体"/>
          <w:bCs/>
          <w:sz w:val="24"/>
        </w:rPr>
      </w:pPr>
    </w:p>
    <w:p>
      <w:pPr>
        <w:keepLines/>
        <w:widowControl/>
        <w:adjustRightInd w:val="0"/>
        <w:snapToGrid w:val="0"/>
        <w:spacing w:line="360" w:lineRule="auto"/>
        <w:rPr>
          <w:rFonts w:ascii="宋体" w:hAnsi="宋体" w:cs="宋体"/>
          <w:bCs/>
          <w:sz w:val="24"/>
        </w:rPr>
      </w:pPr>
      <w:r>
        <w:rPr>
          <w:rFonts w:hint="eastAsia" w:ascii="宋体" w:hAnsi="宋体" w:cs="宋体"/>
          <w:bCs/>
          <w:sz w:val="24"/>
        </w:rPr>
        <w:t>法定代表人</w:t>
      </w:r>
      <w:r>
        <w:rPr>
          <w:rFonts w:hint="eastAsia" w:ascii="宋体" w:hAnsi="宋体" w:cs="宋体"/>
          <w:bCs/>
          <w:sz w:val="24"/>
          <w:lang w:eastAsia="zh-CN"/>
        </w:rPr>
        <w:t>（</w:t>
      </w:r>
      <w:r>
        <w:rPr>
          <w:rFonts w:hint="eastAsia" w:ascii="宋体" w:hAnsi="宋体" w:cs="宋体"/>
          <w:bCs/>
          <w:sz w:val="24"/>
        </w:rPr>
        <w:t>负责人</w:t>
      </w:r>
      <w:r>
        <w:rPr>
          <w:rFonts w:hint="eastAsia" w:ascii="宋体" w:hAnsi="宋体" w:cs="宋体"/>
          <w:bCs/>
          <w:sz w:val="24"/>
          <w:lang w:eastAsia="zh-CN"/>
        </w:rPr>
        <w:t>）（</w:t>
      </w:r>
      <w:r>
        <w:rPr>
          <w:rFonts w:hint="eastAsia" w:ascii="宋体" w:hAnsi="宋体" w:cs="宋体"/>
          <w:bCs/>
          <w:sz w:val="24"/>
        </w:rPr>
        <w:t>签字</w:t>
      </w:r>
      <w:r>
        <w:rPr>
          <w:rFonts w:hint="eastAsia" w:ascii="宋体" w:hAnsi="宋体" w:cs="宋体"/>
          <w:sz w:val="24"/>
        </w:rPr>
        <w:t>或盖章</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u w:val="single"/>
        </w:rPr>
        <w:t xml:space="preserve">                        </w:t>
      </w:r>
    </w:p>
    <w:p>
      <w:pPr>
        <w:keepLines/>
        <w:widowControl/>
        <w:adjustRightInd w:val="0"/>
        <w:snapToGrid w:val="0"/>
        <w:spacing w:line="360" w:lineRule="auto"/>
        <w:rPr>
          <w:rFonts w:ascii="宋体" w:hAnsi="宋体" w:cs="宋体"/>
          <w:bCs/>
          <w:sz w:val="24"/>
        </w:rPr>
      </w:pPr>
    </w:p>
    <w:p>
      <w:pPr>
        <w:keepLines/>
        <w:widowControl/>
        <w:adjustRightInd w:val="0"/>
        <w:snapToGrid w:val="0"/>
        <w:spacing w:line="360" w:lineRule="auto"/>
        <w:rPr>
          <w:rFonts w:ascii="宋体" w:hAnsi="宋体" w:cs="宋体"/>
          <w:bCs/>
          <w:sz w:val="24"/>
        </w:rPr>
      </w:pPr>
      <w:r>
        <w:rPr>
          <w:rFonts w:hint="eastAsia" w:ascii="宋体" w:hAnsi="宋体" w:cs="宋体"/>
          <w:bCs/>
          <w:sz w:val="24"/>
        </w:rPr>
        <w:t>被授权人</w:t>
      </w:r>
      <w:r>
        <w:rPr>
          <w:rFonts w:hint="eastAsia" w:ascii="宋体" w:hAnsi="宋体" w:cs="宋体"/>
          <w:bCs/>
          <w:sz w:val="24"/>
          <w:lang w:eastAsia="zh-CN"/>
        </w:rPr>
        <w:t>（</w:t>
      </w:r>
      <w:r>
        <w:rPr>
          <w:rFonts w:hint="eastAsia" w:ascii="宋体" w:hAnsi="宋体" w:cs="宋体"/>
          <w:bCs/>
          <w:sz w:val="24"/>
        </w:rPr>
        <w:t>签字</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u w:val="single"/>
        </w:rPr>
        <w:t xml:space="preserve">                         </w:t>
      </w:r>
    </w:p>
    <w:p>
      <w:pPr>
        <w:keepLines/>
        <w:widowControl/>
        <w:adjustRightInd w:val="0"/>
        <w:snapToGrid w:val="0"/>
        <w:spacing w:line="360" w:lineRule="auto"/>
        <w:rPr>
          <w:rFonts w:ascii="宋体" w:hAnsi="宋体" w:cs="宋体"/>
          <w:bCs/>
          <w:sz w:val="24"/>
        </w:rPr>
      </w:pPr>
    </w:p>
    <w:p>
      <w:pPr>
        <w:keepLines/>
        <w:widowControl/>
        <w:adjustRightInd w:val="0"/>
        <w:snapToGrid w:val="0"/>
        <w:spacing w:line="360" w:lineRule="auto"/>
        <w:rPr>
          <w:rFonts w:ascii="宋体" w:hAnsi="宋体" w:cs="宋体"/>
          <w:bCs/>
          <w:sz w:val="24"/>
        </w:rPr>
      </w:pPr>
      <w:r>
        <w:rPr>
          <w:rFonts w:hint="eastAsia" w:ascii="宋体" w:hAnsi="宋体" w:cs="宋体"/>
          <w:bCs/>
          <w:sz w:val="24"/>
        </w:rPr>
        <w:t>供应商名称</w:t>
      </w:r>
      <w:r>
        <w:rPr>
          <w:rFonts w:hint="eastAsia" w:ascii="宋体" w:hAnsi="宋体" w:cs="宋体"/>
          <w:bCs/>
          <w:sz w:val="24"/>
          <w:lang w:eastAsia="zh-CN"/>
        </w:rPr>
        <w:t>（</w:t>
      </w:r>
      <w:r>
        <w:rPr>
          <w:rFonts w:hint="eastAsia" w:ascii="宋体" w:hAnsi="宋体" w:cs="宋体"/>
          <w:bCs/>
          <w:sz w:val="24"/>
        </w:rPr>
        <w:t>加盖公章</w:t>
      </w:r>
      <w:r>
        <w:rPr>
          <w:rFonts w:hint="eastAsia" w:ascii="宋体" w:hAnsi="宋体" w:cs="宋体"/>
          <w:bCs/>
          <w:sz w:val="24"/>
          <w:lang w:eastAsia="zh-CN"/>
        </w:rPr>
        <w:t>）</w:t>
      </w:r>
      <w:r>
        <w:rPr>
          <w:rFonts w:hint="eastAsia" w:ascii="宋体" w:hAnsi="宋体" w:cs="宋体"/>
          <w:bCs/>
          <w:sz w:val="24"/>
        </w:rPr>
        <w:t>：</w:t>
      </w:r>
      <w:r>
        <w:rPr>
          <w:rFonts w:hint="eastAsia" w:ascii="宋体" w:hAnsi="宋体" w:cs="宋体"/>
          <w:bCs/>
          <w:sz w:val="24"/>
          <w:u w:val="single"/>
        </w:rPr>
        <w:t xml:space="preserve">                          </w:t>
      </w:r>
    </w:p>
    <w:p>
      <w:pPr>
        <w:keepLines/>
        <w:widowControl/>
        <w:adjustRightInd w:val="0"/>
        <w:snapToGrid w:val="0"/>
        <w:spacing w:line="360" w:lineRule="auto"/>
        <w:rPr>
          <w:rFonts w:ascii="宋体" w:hAnsi="宋体" w:cs="宋体"/>
          <w:bCs/>
          <w:sz w:val="24"/>
        </w:rPr>
      </w:pPr>
    </w:p>
    <w:p>
      <w:pPr>
        <w:keepLines/>
        <w:widowControl/>
        <w:adjustRightInd w:val="0"/>
        <w:snapToGrid w:val="0"/>
        <w:spacing w:line="360" w:lineRule="auto"/>
        <w:rPr>
          <w:rFonts w:ascii="宋体" w:hAnsi="宋体" w:cs="宋体"/>
          <w:bCs/>
          <w:sz w:val="24"/>
        </w:rPr>
      </w:pPr>
      <w:r>
        <w:rPr>
          <w:rFonts w:hint="eastAsia" w:ascii="宋体" w:hAnsi="宋体" w:cs="宋体"/>
          <w:sz w:val="24"/>
        </w:rPr>
        <w:t>签发日期：</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ind w:left="898" w:hanging="897" w:hangingChars="374"/>
        <w:rPr>
          <w:rFonts w:ascii="宋体" w:hAnsi="宋体" w:cs="宋体"/>
          <w:sz w:val="24"/>
        </w:rPr>
      </w:pPr>
      <w:r>
        <w:rPr>
          <w:rFonts w:hint="eastAsia" w:ascii="宋体" w:hAnsi="宋体" w:cs="宋体"/>
          <w:sz w:val="24"/>
        </w:rPr>
        <w:t>说明：1.有效期限：与本供应商响应文件中注的磋商有效期相同。</w:t>
      </w:r>
    </w:p>
    <w:p>
      <w:pPr>
        <w:spacing w:line="360" w:lineRule="auto"/>
        <w:ind w:firstLine="736" w:firstLineChars="307"/>
        <w:rPr>
          <w:rFonts w:ascii="宋体" w:hAnsi="宋体" w:cs="宋体"/>
          <w:sz w:val="24"/>
        </w:rPr>
      </w:pPr>
      <w:r>
        <w:rPr>
          <w:rFonts w:hint="eastAsia" w:ascii="宋体" w:hAnsi="宋体" w:cs="宋体"/>
          <w:sz w:val="24"/>
        </w:rPr>
        <w:t>2.供应商代表为法定代表人</w:t>
      </w:r>
      <w:r>
        <w:rPr>
          <w:rFonts w:hint="eastAsia" w:ascii="宋体" w:hAnsi="宋体" w:cs="宋体"/>
          <w:sz w:val="24"/>
          <w:lang w:eastAsia="zh-CN"/>
        </w:rPr>
        <w:t>（</w:t>
      </w:r>
      <w:r>
        <w:rPr>
          <w:rFonts w:hint="eastAsia" w:ascii="宋体" w:hAnsi="宋体" w:cs="宋体"/>
          <w:sz w:val="24"/>
        </w:rPr>
        <w:t>负责人</w:t>
      </w:r>
      <w:r>
        <w:rPr>
          <w:rFonts w:hint="eastAsia" w:ascii="宋体" w:hAnsi="宋体" w:cs="宋体"/>
          <w:sz w:val="24"/>
          <w:lang w:eastAsia="zh-CN"/>
        </w:rPr>
        <w:t>）</w:t>
      </w:r>
      <w:r>
        <w:rPr>
          <w:rFonts w:hint="eastAsia" w:ascii="宋体" w:hAnsi="宋体" w:cs="宋体"/>
          <w:sz w:val="24"/>
        </w:rPr>
        <w:t>，则本表不需提供。</w:t>
      </w:r>
    </w:p>
    <w:p>
      <w:pPr>
        <w:spacing w:line="360" w:lineRule="auto"/>
        <w:ind w:firstLine="736" w:firstLineChars="307"/>
        <w:rPr>
          <w:rFonts w:ascii="宋体" w:hAnsi="宋体" w:cs="宋体"/>
          <w:sz w:val="24"/>
        </w:rPr>
      </w:pPr>
      <w:r>
        <w:rPr>
          <w:rFonts w:hint="eastAsia" w:ascii="宋体" w:hAnsi="宋体" w:cs="宋体"/>
          <w:sz w:val="24"/>
        </w:rPr>
        <w:t>3.供应商代表为法定代表人</w:t>
      </w:r>
      <w:r>
        <w:rPr>
          <w:rFonts w:hint="eastAsia" w:ascii="宋体" w:hAnsi="宋体" w:cs="宋体"/>
          <w:sz w:val="24"/>
          <w:lang w:eastAsia="zh-CN"/>
        </w:rPr>
        <w:t>（</w:t>
      </w:r>
      <w:r>
        <w:rPr>
          <w:rFonts w:hint="eastAsia" w:ascii="宋体" w:hAnsi="宋体" w:cs="宋体"/>
          <w:sz w:val="24"/>
        </w:rPr>
        <w:t>负责人</w:t>
      </w:r>
      <w:r>
        <w:rPr>
          <w:rFonts w:hint="eastAsia" w:ascii="宋体" w:hAnsi="宋体" w:cs="宋体"/>
          <w:sz w:val="24"/>
          <w:lang w:eastAsia="zh-CN"/>
        </w:rPr>
        <w:t>）</w:t>
      </w:r>
      <w:r>
        <w:rPr>
          <w:rFonts w:hint="eastAsia" w:ascii="宋体" w:hAnsi="宋体" w:cs="宋体"/>
          <w:sz w:val="24"/>
        </w:rPr>
        <w:t>授权委托人的，须提供被授权人身份证复印件，否则作无效响应文件处理。</w:t>
      </w:r>
    </w:p>
    <w:tbl>
      <w:tblPr>
        <w:tblStyle w:val="70"/>
        <w:tblW w:w="8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0"/>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exact"/>
        </w:trPr>
        <w:tc>
          <w:tcPr>
            <w:tcW w:w="4070" w:type="dxa"/>
            <w:noWrap w:val="0"/>
            <w:vAlign w:val="center"/>
          </w:tcPr>
          <w:p>
            <w:pPr>
              <w:spacing w:line="360" w:lineRule="auto"/>
              <w:jc w:val="center"/>
              <w:rPr>
                <w:rFonts w:hint="eastAsia" w:ascii="宋体" w:hAnsi="宋体" w:eastAsia="宋体" w:cs="宋体"/>
                <w:lang w:eastAsia="zh-CN"/>
              </w:rPr>
            </w:pPr>
            <w:r>
              <w:rPr>
                <w:rFonts w:hint="eastAsia" w:ascii="宋体" w:hAnsi="宋体" w:cs="宋体"/>
              </w:rPr>
              <w:t>被授权人身份证复印件粘贴处</w:t>
            </w:r>
            <w:r>
              <w:rPr>
                <w:rFonts w:hint="eastAsia" w:ascii="宋体" w:hAnsi="宋体" w:cs="宋体"/>
                <w:lang w:eastAsia="zh-CN"/>
              </w:rPr>
              <w:t>（</w:t>
            </w:r>
            <w:r>
              <w:rPr>
                <w:rFonts w:hint="eastAsia" w:ascii="宋体" w:hAnsi="宋体" w:cs="宋体"/>
              </w:rPr>
              <w:t>正面</w:t>
            </w:r>
            <w:r>
              <w:rPr>
                <w:rFonts w:hint="eastAsia" w:ascii="宋体" w:hAnsi="宋体" w:cs="宋体"/>
                <w:lang w:eastAsia="zh-CN"/>
              </w:rPr>
              <w:t>）</w:t>
            </w:r>
          </w:p>
        </w:tc>
        <w:tc>
          <w:tcPr>
            <w:tcW w:w="4070" w:type="dxa"/>
            <w:noWrap w:val="0"/>
            <w:vAlign w:val="center"/>
          </w:tcPr>
          <w:p>
            <w:pPr>
              <w:spacing w:line="360" w:lineRule="auto"/>
              <w:jc w:val="center"/>
              <w:rPr>
                <w:rFonts w:hint="eastAsia" w:ascii="宋体" w:hAnsi="宋体" w:eastAsia="宋体" w:cs="宋体"/>
                <w:lang w:eastAsia="zh-CN"/>
              </w:rPr>
            </w:pPr>
            <w:r>
              <w:rPr>
                <w:rFonts w:hint="eastAsia" w:ascii="宋体" w:hAnsi="宋体" w:cs="宋体"/>
              </w:rPr>
              <w:t>被授权人身份证复印件粘贴处</w:t>
            </w:r>
            <w:r>
              <w:rPr>
                <w:rFonts w:hint="eastAsia" w:ascii="宋体" w:hAnsi="宋体" w:cs="宋体"/>
                <w:lang w:eastAsia="zh-CN"/>
              </w:rPr>
              <w:t>（</w:t>
            </w:r>
            <w:r>
              <w:rPr>
                <w:rFonts w:hint="eastAsia" w:ascii="宋体" w:hAnsi="宋体" w:cs="宋体"/>
              </w:rPr>
              <w:t>反面</w:t>
            </w:r>
            <w:r>
              <w:rPr>
                <w:rFonts w:hint="eastAsia" w:ascii="宋体" w:hAnsi="宋体" w:cs="宋体"/>
                <w:lang w:eastAsia="zh-CN"/>
              </w:rPr>
              <w:t>）</w:t>
            </w:r>
          </w:p>
        </w:tc>
      </w:tr>
    </w:tbl>
    <w:p>
      <w:pPr>
        <w:rPr>
          <w:rFonts w:ascii="宋体" w:hAnsi="宋体" w:cs="宋体"/>
          <w:vanish/>
        </w:rPr>
      </w:pPr>
      <w:r>
        <w:rPr>
          <w:rFonts w:ascii="宋体" w:hAnsi="宋体" w:cs="宋体"/>
          <w:vanish/>
        </w:rPr>
        <w:br w:type="page"/>
      </w:r>
    </w:p>
    <w:p>
      <w:pPr>
        <w:rPr>
          <w:rFonts w:ascii="宋体" w:hAnsi="宋体" w:cs="宋体"/>
          <w:sz w:val="28"/>
          <w:szCs w:val="28"/>
        </w:rPr>
      </w:pPr>
      <w:r>
        <w:rPr>
          <w:rFonts w:hint="eastAsia" w:ascii="宋体" w:hAnsi="宋体" w:cs="宋体"/>
          <w:sz w:val="28"/>
          <w:szCs w:val="28"/>
        </w:rPr>
        <w:t>1.3.</w:t>
      </w:r>
      <w:r>
        <w:rPr>
          <w:rFonts w:hint="eastAsia" w:ascii="宋体" w:hAnsi="宋体" w:cs="宋体"/>
          <w:sz w:val="28"/>
          <w:szCs w:val="28"/>
          <w:lang w:val="en-US" w:eastAsia="zh-CN"/>
        </w:rPr>
        <w:t>1</w:t>
      </w:r>
      <w:r>
        <w:rPr>
          <w:rFonts w:hint="eastAsia" w:ascii="宋体" w:hAnsi="宋体" w:cs="宋体"/>
          <w:sz w:val="28"/>
          <w:szCs w:val="28"/>
        </w:rPr>
        <w:t>关于无重大违法记录的声明函</w:t>
      </w:r>
    </w:p>
    <w:p>
      <w:pPr>
        <w:keepLines/>
        <w:widowControl/>
        <w:spacing w:line="360" w:lineRule="auto"/>
        <w:jc w:val="center"/>
        <w:rPr>
          <w:rFonts w:ascii="宋体" w:hAnsi="宋体" w:cs="宋体"/>
          <w:sz w:val="24"/>
        </w:rPr>
      </w:pPr>
    </w:p>
    <w:p>
      <w:pPr>
        <w:pStyle w:val="18"/>
        <w:keepLines/>
        <w:widowControl/>
        <w:snapToGrid w:val="0"/>
        <w:spacing w:line="360" w:lineRule="auto"/>
        <w:ind w:firstLine="0"/>
        <w:rPr>
          <w:rFonts w:hAnsi="宋体" w:cs="宋体"/>
          <w:bCs/>
          <w:sz w:val="24"/>
          <w:u w:val="single"/>
        </w:rPr>
      </w:pPr>
      <w:r>
        <w:rPr>
          <w:rFonts w:hint="eastAsia" w:hAnsi="宋体" w:cs="宋体"/>
          <w:sz w:val="24"/>
        </w:rPr>
        <w:t>致：珠海正诺工程咨询有限公司</w:t>
      </w:r>
    </w:p>
    <w:p>
      <w:pPr>
        <w:pStyle w:val="18"/>
        <w:keepLines/>
        <w:widowControl/>
        <w:snapToGrid w:val="0"/>
        <w:spacing w:line="360" w:lineRule="auto"/>
        <w:ind w:firstLine="480" w:firstLineChars="200"/>
        <w:rPr>
          <w:rFonts w:hAnsi="宋体" w:cs="宋体"/>
          <w:kern w:val="28"/>
          <w:sz w:val="24"/>
        </w:rPr>
      </w:pPr>
      <w:r>
        <w:rPr>
          <w:rFonts w:hint="eastAsia" w:hAnsi="宋体" w:cs="宋体"/>
          <w:bCs/>
          <w:sz w:val="24"/>
        </w:rPr>
        <w:t>我单位郑重声明</w:t>
      </w:r>
      <w:r>
        <w:rPr>
          <w:rFonts w:hint="eastAsia" w:hAnsi="宋体" w:cs="宋体"/>
          <w:kern w:val="28"/>
          <w:sz w:val="24"/>
        </w:rPr>
        <w:t>：</w:t>
      </w:r>
    </w:p>
    <w:p>
      <w:pPr>
        <w:pStyle w:val="18"/>
        <w:keepLines/>
        <w:widowControl/>
        <w:snapToGrid w:val="0"/>
        <w:spacing w:line="360" w:lineRule="auto"/>
        <w:ind w:firstLine="480" w:firstLineChars="200"/>
        <w:rPr>
          <w:rFonts w:hAnsi="宋体" w:cs="宋体"/>
          <w:bCs/>
          <w:sz w:val="24"/>
        </w:rPr>
      </w:pPr>
      <w:r>
        <w:rPr>
          <w:rFonts w:hint="eastAsia" w:hAnsi="宋体" w:cs="宋体"/>
          <w:bCs/>
          <w:sz w:val="24"/>
        </w:rPr>
        <w:t>自本项目磋商公告发出之日起向前追溯三年</w:t>
      </w:r>
      <w:r>
        <w:rPr>
          <w:rFonts w:hint="eastAsia" w:hAnsi="宋体" w:cs="宋体"/>
          <w:bCs/>
          <w:sz w:val="24"/>
          <w:lang w:eastAsia="zh-CN"/>
        </w:rPr>
        <w:t>（</w:t>
      </w:r>
      <w:r>
        <w:rPr>
          <w:rFonts w:hint="eastAsia" w:hAnsi="宋体" w:cs="宋体"/>
          <w:sz w:val="24"/>
        </w:rPr>
        <w:t>成立时间不足三年的供应商为自成立时间至磋商公告发出之日</w:t>
      </w:r>
      <w:r>
        <w:rPr>
          <w:rFonts w:hint="eastAsia" w:hAnsi="宋体" w:cs="宋体"/>
          <w:bCs/>
          <w:sz w:val="24"/>
          <w:lang w:eastAsia="zh-CN"/>
        </w:rPr>
        <w:t>）</w:t>
      </w:r>
      <w:r>
        <w:rPr>
          <w:rFonts w:hint="eastAsia" w:hAnsi="宋体" w:cs="宋体"/>
          <w:bCs/>
          <w:sz w:val="24"/>
        </w:rPr>
        <w:t>，我单位没有以下重大违法记录：因违法经营受到刑事处罚或者责令停产停业、吊销许可证或者执照、较大数额罚款等行政处罚。</w:t>
      </w:r>
    </w:p>
    <w:p>
      <w:pPr>
        <w:pStyle w:val="18"/>
        <w:spacing w:line="360" w:lineRule="auto"/>
        <w:rPr>
          <w:rFonts w:hAnsi="宋体" w:cs="宋体"/>
          <w:bCs/>
          <w:sz w:val="24"/>
        </w:rPr>
      </w:pPr>
      <w:r>
        <w:rPr>
          <w:rFonts w:hint="eastAsia" w:hAnsi="宋体" w:cs="宋体"/>
          <w:bCs/>
          <w:sz w:val="24"/>
        </w:rPr>
        <w:t>特此声明！</w:t>
      </w:r>
    </w:p>
    <w:p>
      <w:pPr>
        <w:pStyle w:val="18"/>
        <w:keepLines/>
        <w:widowControl/>
        <w:snapToGrid w:val="0"/>
        <w:spacing w:line="360" w:lineRule="auto"/>
        <w:ind w:firstLine="0"/>
        <w:rPr>
          <w:rFonts w:hAnsi="宋体" w:cs="宋体"/>
          <w:bCs/>
          <w:sz w:val="24"/>
        </w:rPr>
      </w:pPr>
    </w:p>
    <w:p>
      <w:pPr>
        <w:pStyle w:val="18"/>
        <w:keepLines/>
        <w:widowControl/>
        <w:snapToGrid w:val="0"/>
        <w:spacing w:line="360" w:lineRule="auto"/>
        <w:ind w:firstLine="0"/>
        <w:rPr>
          <w:rFonts w:hAnsi="宋体" w:cs="宋体"/>
          <w:bCs/>
          <w:sz w:val="24"/>
        </w:rPr>
      </w:pPr>
      <w:r>
        <w:rPr>
          <w:rFonts w:hint="eastAsia" w:hAnsi="宋体" w:cs="宋体"/>
          <w:bCs/>
          <w:sz w:val="24"/>
        </w:rPr>
        <w:t>注：</w:t>
      </w:r>
    </w:p>
    <w:p>
      <w:pPr>
        <w:pStyle w:val="18"/>
        <w:keepLines/>
        <w:widowControl/>
        <w:numPr>
          <w:ilvl w:val="0"/>
          <w:numId w:val="7"/>
        </w:numPr>
        <w:tabs>
          <w:tab w:val="left" w:pos="360"/>
          <w:tab w:val="clear" w:pos="858"/>
        </w:tabs>
        <w:snapToGrid w:val="0"/>
        <w:spacing w:line="360" w:lineRule="auto"/>
        <w:ind w:left="357" w:hanging="357"/>
        <w:rPr>
          <w:rFonts w:hAnsi="宋体" w:cs="宋体"/>
          <w:bCs/>
          <w:sz w:val="24"/>
        </w:rPr>
      </w:pPr>
      <w:r>
        <w:rPr>
          <w:rFonts w:hint="eastAsia" w:hAnsi="宋体" w:cs="宋体"/>
          <w:bCs/>
          <w:sz w:val="24"/>
        </w:rPr>
        <w:t>如不提供本声明函或不按本格式提供声明函，将作无效响应处理。</w:t>
      </w:r>
    </w:p>
    <w:p>
      <w:pPr>
        <w:pStyle w:val="18"/>
        <w:keepLines/>
        <w:widowControl/>
        <w:numPr>
          <w:ilvl w:val="0"/>
          <w:numId w:val="7"/>
        </w:numPr>
        <w:tabs>
          <w:tab w:val="left" w:pos="360"/>
          <w:tab w:val="clear" w:pos="858"/>
        </w:tabs>
        <w:snapToGrid w:val="0"/>
        <w:spacing w:line="360" w:lineRule="auto"/>
        <w:ind w:left="357" w:hanging="357"/>
        <w:rPr>
          <w:rFonts w:hAnsi="宋体" w:cs="宋体"/>
          <w:bCs/>
          <w:sz w:val="24"/>
        </w:rPr>
      </w:pPr>
      <w:r>
        <w:rPr>
          <w:rFonts w:hint="eastAsia" w:hAnsi="宋体" w:cs="宋体"/>
          <w:bCs/>
          <w:sz w:val="24"/>
        </w:rPr>
        <w:t>供应商对其所声明内容的真实性负责。在评审过程中乃至确定成交结果后，如发现供应商所声明内容不真实，则其响应文件将作无效响应处理，并承担相应的法律责任。</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adjustRightInd w:val="0"/>
        <w:snapToGrid w:val="0"/>
        <w:spacing w:line="360" w:lineRule="auto"/>
        <w:rPr>
          <w:rFonts w:ascii="宋体" w:hAnsi="宋体" w:cs="宋体"/>
          <w:sz w:val="24"/>
        </w:rPr>
      </w:pPr>
      <w:r>
        <w:rPr>
          <w:rFonts w:hint="eastAsia" w:ascii="宋体" w:hAnsi="宋体" w:cs="宋体"/>
          <w:sz w:val="24"/>
        </w:rPr>
        <w:br w:type="page"/>
      </w:r>
    </w:p>
    <w:p>
      <w:pPr>
        <w:rPr>
          <w:rFonts w:ascii="宋体" w:hAnsi="宋体" w:cs="宋体"/>
          <w:sz w:val="28"/>
          <w:szCs w:val="28"/>
        </w:rPr>
      </w:pPr>
      <w:bookmarkStart w:id="850" w:name="_Toc23511"/>
      <w:r>
        <w:rPr>
          <w:rFonts w:hint="eastAsia" w:ascii="宋体" w:hAnsi="宋体" w:cs="宋体"/>
          <w:sz w:val="28"/>
          <w:szCs w:val="28"/>
        </w:rPr>
        <w:t>1.3.</w:t>
      </w:r>
      <w:r>
        <w:rPr>
          <w:rFonts w:hint="eastAsia" w:ascii="宋体" w:hAnsi="宋体" w:cs="宋体"/>
          <w:sz w:val="28"/>
          <w:szCs w:val="28"/>
          <w:lang w:val="en-US" w:eastAsia="zh-CN"/>
        </w:rPr>
        <w:t>2</w:t>
      </w:r>
      <w:r>
        <w:rPr>
          <w:rFonts w:hint="eastAsia" w:ascii="宋体" w:hAnsi="宋体" w:cs="宋体"/>
          <w:sz w:val="28"/>
          <w:szCs w:val="28"/>
        </w:rPr>
        <w:t>资格条件承诺函</w:t>
      </w:r>
      <w:bookmarkEnd w:id="850"/>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cs="宋体"/>
          <w:b/>
          <w:bCs/>
          <w:sz w:val="28"/>
          <w:szCs w:val="28"/>
        </w:rPr>
      </w:pP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rPr>
          <w:rFonts w:ascii="宋体" w:hAnsi="宋体" w:cs="宋体"/>
          <w:b/>
          <w:bCs/>
          <w:szCs w:val="21"/>
        </w:rPr>
      </w:pPr>
      <w:r>
        <w:rPr>
          <w:rFonts w:hint="eastAsia" w:ascii="宋体" w:hAnsi="宋体" w:cs="宋体"/>
          <w:b/>
          <w:bCs/>
          <w:sz w:val="28"/>
          <w:szCs w:val="28"/>
        </w:rPr>
        <w:t>资格条件承诺函</w:t>
      </w:r>
    </w:p>
    <w:p>
      <w:pPr>
        <w:widowControl/>
        <w:spacing w:line="360" w:lineRule="auto"/>
        <w:ind w:firstLine="480" w:firstLineChars="200"/>
        <w:rPr>
          <w:rFonts w:ascii="宋体" w:hAnsi="宋体" w:cs="宋体"/>
          <w:sz w:val="24"/>
        </w:rPr>
      </w:pPr>
      <w:r>
        <w:rPr>
          <w:rFonts w:hint="eastAsia" w:ascii="宋体" w:hAnsi="宋体" w:cs="宋体"/>
          <w:sz w:val="24"/>
        </w:rPr>
        <w:t>我方</w:t>
      </w:r>
      <w:r>
        <w:rPr>
          <w:rFonts w:hint="eastAsia" w:ascii="宋体" w:hAnsi="宋体" w:cs="宋体"/>
          <w:sz w:val="24"/>
          <w:u w:val="single"/>
          <w:lang w:eastAsia="zh-CN"/>
        </w:rPr>
        <w:t>（</w:t>
      </w:r>
      <w:r>
        <w:rPr>
          <w:rFonts w:hint="eastAsia" w:ascii="宋体" w:hAnsi="宋体" w:cs="宋体"/>
          <w:sz w:val="24"/>
          <w:u w:val="single"/>
        </w:rPr>
        <w:t>供应商名称</w:t>
      </w:r>
      <w:r>
        <w:rPr>
          <w:rFonts w:hint="eastAsia" w:ascii="宋体" w:hAnsi="宋体" w:cs="宋体"/>
          <w:sz w:val="24"/>
          <w:u w:val="single"/>
          <w:lang w:eastAsia="zh-CN"/>
        </w:rPr>
        <w:t>）</w:t>
      </w:r>
      <w:r>
        <w:rPr>
          <w:rFonts w:hint="eastAsia" w:ascii="宋体" w:hAnsi="宋体" w:cs="宋体"/>
          <w:sz w:val="24"/>
        </w:rPr>
        <w:t>符合《中华人民共和国政府采购法》第二十二条第一款第</w:t>
      </w:r>
      <w:r>
        <w:rPr>
          <w:rFonts w:hint="eastAsia" w:ascii="宋体" w:hAnsi="宋体" w:cs="宋体"/>
          <w:sz w:val="24"/>
          <w:lang w:eastAsia="zh-CN"/>
        </w:rPr>
        <w:t>（</w:t>
      </w:r>
      <w:r>
        <w:rPr>
          <w:rFonts w:hint="eastAsia" w:ascii="宋体" w:hAnsi="宋体" w:cs="宋体"/>
          <w:sz w:val="24"/>
        </w:rPr>
        <w:t>二</w:t>
      </w:r>
      <w:r>
        <w:rPr>
          <w:rFonts w:hint="eastAsia" w:ascii="宋体" w:hAnsi="宋体" w:cs="宋体"/>
          <w:sz w:val="24"/>
          <w:lang w:eastAsia="zh-CN"/>
        </w:rPr>
        <w:t>）</w:t>
      </w:r>
      <w:r>
        <w:rPr>
          <w:rFonts w:hint="eastAsia" w:ascii="宋体" w:hAnsi="宋体" w:cs="宋体"/>
          <w:sz w:val="24"/>
        </w:rPr>
        <w:t>项、第</w:t>
      </w:r>
      <w:r>
        <w:rPr>
          <w:rFonts w:hint="eastAsia" w:ascii="宋体" w:hAnsi="宋体" w:cs="宋体"/>
          <w:sz w:val="24"/>
          <w:lang w:eastAsia="zh-CN"/>
        </w:rPr>
        <w:t>（</w:t>
      </w:r>
      <w:r>
        <w:rPr>
          <w:rFonts w:hint="eastAsia" w:ascii="宋体" w:hAnsi="宋体" w:cs="宋体"/>
          <w:sz w:val="24"/>
        </w:rPr>
        <w:t>三</w:t>
      </w:r>
      <w:r>
        <w:rPr>
          <w:rFonts w:hint="eastAsia" w:ascii="宋体" w:hAnsi="宋体" w:cs="宋体"/>
          <w:sz w:val="24"/>
          <w:lang w:eastAsia="zh-CN"/>
        </w:rPr>
        <w:t>）</w:t>
      </w:r>
      <w:r>
        <w:rPr>
          <w:rFonts w:hint="eastAsia" w:ascii="宋体" w:hAnsi="宋体" w:cs="宋体"/>
          <w:sz w:val="24"/>
        </w:rPr>
        <w:t>项、第</w:t>
      </w:r>
      <w:r>
        <w:rPr>
          <w:rFonts w:hint="eastAsia" w:ascii="宋体" w:hAnsi="宋体" w:cs="宋体"/>
          <w:sz w:val="24"/>
          <w:lang w:eastAsia="zh-CN"/>
        </w:rPr>
        <w:t>（</w:t>
      </w:r>
      <w:r>
        <w:rPr>
          <w:rFonts w:hint="eastAsia" w:ascii="宋体" w:hAnsi="宋体" w:cs="宋体"/>
          <w:sz w:val="24"/>
        </w:rPr>
        <w:t>四</w:t>
      </w:r>
      <w:r>
        <w:rPr>
          <w:rFonts w:hint="eastAsia" w:ascii="宋体" w:hAnsi="宋体" w:cs="宋体"/>
          <w:sz w:val="24"/>
          <w:lang w:eastAsia="zh-CN"/>
        </w:rPr>
        <w:t>）</w:t>
      </w:r>
      <w:r>
        <w:rPr>
          <w:rFonts w:hint="eastAsia" w:ascii="宋体" w:hAnsi="宋体" w:cs="宋体"/>
          <w:sz w:val="24"/>
        </w:rPr>
        <w:t>项、第</w:t>
      </w:r>
      <w:r>
        <w:rPr>
          <w:rFonts w:hint="eastAsia" w:ascii="宋体" w:hAnsi="宋体" w:cs="宋体"/>
          <w:sz w:val="24"/>
          <w:lang w:eastAsia="zh-CN"/>
        </w:rPr>
        <w:t>（</w:t>
      </w:r>
      <w:r>
        <w:rPr>
          <w:rFonts w:hint="eastAsia" w:ascii="宋体" w:hAnsi="宋体" w:cs="宋体"/>
          <w:sz w:val="24"/>
        </w:rPr>
        <w:t>五</w:t>
      </w:r>
      <w:r>
        <w:rPr>
          <w:rFonts w:hint="eastAsia" w:ascii="宋体" w:hAnsi="宋体" w:cs="宋体"/>
          <w:sz w:val="24"/>
          <w:lang w:eastAsia="zh-CN"/>
        </w:rPr>
        <w:t>）</w:t>
      </w:r>
      <w:r>
        <w:rPr>
          <w:rFonts w:hint="eastAsia" w:ascii="宋体" w:hAnsi="宋体" w:cs="宋体"/>
          <w:sz w:val="24"/>
        </w:rPr>
        <w:t>项规定条件，具体包括：</w:t>
      </w:r>
    </w:p>
    <w:p>
      <w:pPr>
        <w:widowControl/>
        <w:spacing w:line="360" w:lineRule="auto"/>
        <w:ind w:firstLine="480" w:firstLineChars="200"/>
        <w:rPr>
          <w:rFonts w:ascii="宋体" w:hAnsi="宋体" w:cs="宋体"/>
          <w:sz w:val="24"/>
        </w:rPr>
      </w:pPr>
      <w:r>
        <w:rPr>
          <w:rFonts w:hint="eastAsia" w:ascii="宋体" w:hAnsi="宋体" w:cs="宋体"/>
          <w:sz w:val="24"/>
        </w:rPr>
        <w:t>1.具有良好的商业信誉和健全的财务会计制度；</w:t>
      </w:r>
    </w:p>
    <w:p>
      <w:pPr>
        <w:widowControl/>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widowControl/>
        <w:spacing w:line="360" w:lineRule="auto"/>
        <w:ind w:firstLine="480" w:firstLineChars="200"/>
        <w:rPr>
          <w:rFonts w:ascii="宋体" w:hAnsi="宋体" w:cs="宋体"/>
          <w:sz w:val="24"/>
        </w:rPr>
      </w:pPr>
      <w:r>
        <w:rPr>
          <w:rFonts w:hint="eastAsia" w:ascii="宋体" w:hAnsi="宋体" w:cs="宋体"/>
          <w:sz w:val="24"/>
        </w:rPr>
        <w:t>3.具有依法缴纳税收和社会保障资金的良好记录；</w:t>
      </w:r>
    </w:p>
    <w:p>
      <w:pPr>
        <w:widowControl/>
        <w:spacing w:line="360" w:lineRule="auto"/>
        <w:ind w:firstLine="480" w:firstLineChars="200"/>
        <w:rPr>
          <w:rFonts w:ascii="宋体" w:hAnsi="宋体" w:cs="宋体"/>
          <w:sz w:val="24"/>
        </w:rPr>
      </w:pPr>
      <w:r>
        <w:rPr>
          <w:rFonts w:hint="eastAsia" w:ascii="宋体" w:hAnsi="宋体" w:cs="宋体"/>
          <w:sz w:val="24"/>
        </w:rPr>
        <w:t>4.参加政府采购活动前三年内，在经营活动中没有重大违法记录。</w:t>
      </w:r>
    </w:p>
    <w:p>
      <w:pPr>
        <w:widowControl/>
        <w:spacing w:line="360" w:lineRule="auto"/>
        <w:ind w:firstLine="480" w:firstLineChars="200"/>
        <w:rPr>
          <w:rFonts w:ascii="宋体" w:hAnsi="宋体" w:cs="宋体"/>
          <w:sz w:val="24"/>
        </w:rPr>
      </w:pPr>
      <w:r>
        <w:rPr>
          <w:rFonts w:hint="eastAsia" w:ascii="宋体" w:hAnsi="宋体" w:cs="宋体"/>
          <w:sz w:val="24"/>
        </w:rPr>
        <w:t>我方对上述承诺的真实性负责，在评审环节结束后，自愿接受采购单位</w:t>
      </w:r>
      <w:r>
        <w:rPr>
          <w:rFonts w:hint="eastAsia" w:ascii="宋体" w:hAnsi="宋体" w:cs="宋体"/>
          <w:sz w:val="24"/>
          <w:lang w:eastAsia="zh-CN"/>
        </w:rPr>
        <w:t>（</w:t>
      </w:r>
      <w:r>
        <w:rPr>
          <w:rFonts w:hint="eastAsia" w:ascii="宋体" w:hAnsi="宋体" w:cs="宋体"/>
          <w:sz w:val="24"/>
        </w:rPr>
        <w:t>采购代理机构</w:t>
      </w:r>
      <w:r>
        <w:rPr>
          <w:rFonts w:hint="eastAsia" w:ascii="宋体" w:hAnsi="宋体" w:cs="宋体"/>
          <w:sz w:val="24"/>
          <w:lang w:eastAsia="zh-CN"/>
        </w:rPr>
        <w:t>）</w:t>
      </w:r>
      <w:r>
        <w:rPr>
          <w:rFonts w:hint="eastAsia" w:ascii="宋体" w:hAnsi="宋体" w:cs="宋体"/>
          <w:sz w:val="24"/>
        </w:rPr>
        <w:t>的检查核验，配合提供相关证明材料，证明符合《中华人民共和国政府采购法》规定的供应商基本资格条件。如有虚假，将依法承担相应法律责任。</w:t>
      </w:r>
    </w:p>
    <w:p>
      <w:pPr>
        <w:widowControl/>
        <w:spacing w:line="360" w:lineRule="auto"/>
        <w:ind w:firstLine="480" w:firstLineChars="200"/>
        <w:rPr>
          <w:rFonts w:ascii="宋体" w:hAnsi="宋体" w:cs="宋体"/>
          <w:sz w:val="24"/>
        </w:rPr>
      </w:pPr>
      <w:r>
        <w:rPr>
          <w:rFonts w:hint="eastAsia" w:ascii="宋体" w:hAnsi="宋体" w:cs="宋体"/>
          <w:sz w:val="24"/>
        </w:rPr>
        <w:t>特此承诺。</w:t>
      </w:r>
    </w:p>
    <w:p>
      <w:pPr>
        <w:ind w:firstLine="480" w:firstLineChars="200"/>
        <w:rPr>
          <w:rFonts w:ascii="宋体" w:hAnsi="宋体" w:cs="宋体"/>
          <w:sz w:val="24"/>
        </w:rPr>
      </w:pPr>
    </w:p>
    <w:p>
      <w:pPr>
        <w:rPr>
          <w:rFonts w:ascii="宋体" w:hAnsi="宋体" w:cs="宋体"/>
          <w:sz w:val="24"/>
        </w:rPr>
      </w:pPr>
    </w:p>
    <w:p>
      <w:pPr>
        <w:ind w:firstLine="480" w:firstLineChars="200"/>
        <w:rPr>
          <w:rFonts w:ascii="宋体" w:hAnsi="宋体" w:cs="宋体"/>
          <w:sz w:val="24"/>
        </w:rPr>
      </w:pPr>
    </w:p>
    <w:p>
      <w:pPr>
        <w:ind w:firstLine="480" w:firstLineChars="200"/>
        <w:rPr>
          <w:rFonts w:ascii="宋体" w:hAnsi="宋体" w:cs="宋体"/>
          <w:sz w:val="24"/>
        </w:rPr>
      </w:pPr>
    </w:p>
    <w:p>
      <w:pPr>
        <w:ind w:firstLine="480" w:firstLineChars="200"/>
        <w:jc w:val="center"/>
        <w:rPr>
          <w:rFonts w:hint="eastAsia" w:ascii="宋体" w:hAnsi="宋体" w:eastAsia="宋体" w:cs="宋体"/>
          <w:sz w:val="24"/>
          <w:lang w:eastAsia="zh-CN"/>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公章</w:t>
      </w:r>
      <w:r>
        <w:rPr>
          <w:rFonts w:hint="eastAsia" w:ascii="宋体" w:hAnsi="宋体" w:cs="宋体"/>
          <w:sz w:val="24"/>
          <w:lang w:eastAsia="zh-CN"/>
        </w:rPr>
        <w:t>）：</w:t>
      </w:r>
    </w:p>
    <w:p>
      <w:pPr>
        <w:ind w:firstLine="480" w:firstLineChars="200"/>
        <w:jc w:val="center"/>
        <w:rPr>
          <w:rFonts w:ascii="宋体" w:hAnsi="宋体" w:cs="宋体"/>
          <w:sz w:val="24"/>
        </w:rPr>
      </w:pPr>
      <w:r>
        <w:rPr>
          <w:rFonts w:hint="eastAsia" w:ascii="宋体" w:hAnsi="宋体" w:cs="宋体"/>
          <w:sz w:val="24"/>
        </w:rPr>
        <w:t xml:space="preserve">              日期：</w:t>
      </w:r>
    </w:p>
    <w:p>
      <w:pPr>
        <w:ind w:firstLine="480" w:firstLineChars="200"/>
        <w:rPr>
          <w:rFonts w:ascii="宋体" w:hAnsi="宋体" w:cs="宋体"/>
          <w:sz w:val="24"/>
        </w:rPr>
      </w:pPr>
    </w:p>
    <w:p>
      <w:pPr>
        <w:ind w:firstLine="480" w:firstLineChars="200"/>
        <w:rPr>
          <w:rFonts w:ascii="宋体" w:hAnsi="宋体" w:cs="宋体"/>
          <w:sz w:val="24"/>
        </w:rPr>
      </w:pP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说明：</w:t>
      </w:r>
    </w:p>
    <w:p>
      <w:pPr>
        <w:ind w:firstLine="480" w:firstLineChars="200"/>
        <w:rPr>
          <w:rFonts w:ascii="宋体" w:hAnsi="宋体" w:cs="宋体"/>
          <w:sz w:val="24"/>
        </w:rPr>
      </w:pPr>
      <w:r>
        <w:rPr>
          <w:rFonts w:hint="eastAsia" w:ascii="宋体" w:hAnsi="宋体" w:cs="宋体"/>
          <w:sz w:val="24"/>
        </w:rPr>
        <w:t>1、本承诺函必须提供且内容不得擅自删改，否则视为无效投标</w:t>
      </w:r>
      <w:r>
        <w:rPr>
          <w:rFonts w:hint="eastAsia" w:ascii="宋体" w:hAnsi="宋体" w:cs="宋体"/>
          <w:sz w:val="24"/>
          <w:lang w:eastAsia="zh-CN"/>
        </w:rPr>
        <w:t>（</w:t>
      </w:r>
      <w:r>
        <w:rPr>
          <w:rFonts w:hint="eastAsia" w:ascii="宋体" w:hAnsi="宋体" w:cs="宋体"/>
          <w:sz w:val="24"/>
          <w:lang w:val="en-US" w:eastAsia="zh-CN"/>
        </w:rPr>
        <w:t>响应</w:t>
      </w:r>
      <w:r>
        <w:rPr>
          <w:rFonts w:hint="eastAsia" w:ascii="宋体" w:hAnsi="宋体" w:cs="宋体"/>
          <w:sz w:val="24"/>
          <w:lang w:eastAsia="zh-CN"/>
        </w:rPr>
        <w:t>）</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2、本承诺函如有虚假或与事实不符的，作无效投标</w:t>
      </w:r>
      <w:r>
        <w:rPr>
          <w:rFonts w:hint="eastAsia" w:ascii="宋体" w:hAnsi="宋体" w:cs="宋体"/>
          <w:sz w:val="24"/>
          <w:lang w:eastAsia="zh-CN"/>
        </w:rPr>
        <w:t>（</w:t>
      </w:r>
      <w:r>
        <w:rPr>
          <w:rFonts w:hint="eastAsia" w:ascii="宋体" w:hAnsi="宋体" w:cs="宋体"/>
          <w:sz w:val="24"/>
          <w:lang w:val="en-US" w:eastAsia="zh-CN"/>
        </w:rPr>
        <w:t>响应</w:t>
      </w:r>
      <w:r>
        <w:rPr>
          <w:rFonts w:hint="eastAsia" w:ascii="宋体" w:hAnsi="宋体" w:cs="宋体"/>
          <w:sz w:val="24"/>
          <w:lang w:eastAsia="zh-CN"/>
        </w:rPr>
        <w:t>）</w:t>
      </w:r>
      <w:r>
        <w:rPr>
          <w:rFonts w:hint="eastAsia" w:ascii="宋体" w:hAnsi="宋体" w:cs="宋体"/>
          <w:sz w:val="24"/>
        </w:rPr>
        <w:t>处理。</w:t>
      </w:r>
    </w:p>
    <w:p>
      <w:pPr>
        <w:pStyle w:val="68"/>
        <w:ind w:firstLine="240"/>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spacing w:line="360" w:lineRule="auto"/>
        <w:rPr>
          <w:rFonts w:ascii="宋体" w:hAnsi="宋体" w:cs="宋体"/>
          <w:sz w:val="24"/>
        </w:rPr>
      </w:pPr>
    </w:p>
    <w:p>
      <w:pPr>
        <w:rPr>
          <w:rFonts w:ascii="宋体" w:hAnsi="宋体" w:cs="宋体"/>
          <w:vanish/>
        </w:rPr>
      </w:pPr>
      <w:r>
        <w:rPr>
          <w:rFonts w:hint="eastAsia" w:ascii="宋体" w:hAnsi="宋体" w:cs="宋体"/>
          <w:sz w:val="24"/>
          <w:lang w:val="en-GB"/>
        </w:rPr>
        <w:br w:type="page"/>
      </w:r>
    </w:p>
    <w:p>
      <w:pPr>
        <w:spacing w:line="360" w:lineRule="auto"/>
        <w:jc w:val="both"/>
        <w:outlineLvl w:val="2"/>
        <w:rPr>
          <w:rFonts w:hint="eastAsia" w:ascii="宋体" w:hAnsi="宋体" w:cs="宋体"/>
          <w:b/>
          <w:bCs/>
          <w:sz w:val="36"/>
          <w:szCs w:val="44"/>
        </w:rPr>
      </w:pPr>
      <w:bookmarkStart w:id="851" w:name="_Toc531617927"/>
      <w:bookmarkStart w:id="852" w:name="_Toc6087"/>
      <w:bookmarkStart w:id="853" w:name="_Toc3387051"/>
      <w:bookmarkStart w:id="854" w:name="_Toc27619"/>
      <w:bookmarkStart w:id="855" w:name="_Toc13051"/>
      <w:bookmarkStart w:id="856" w:name="_Toc28898"/>
      <w:bookmarkStart w:id="857" w:name="_Toc37919902"/>
      <w:bookmarkStart w:id="858" w:name="_Toc497076569"/>
      <w:bookmarkStart w:id="859" w:name="_Toc10967"/>
      <w:bookmarkStart w:id="860" w:name="_Toc9913"/>
      <w:bookmarkStart w:id="861" w:name="_Toc17337"/>
      <w:bookmarkStart w:id="862" w:name="_Toc3372"/>
      <w:bookmarkStart w:id="863" w:name="_Toc17800"/>
      <w:bookmarkStart w:id="864" w:name="_Toc18367"/>
      <w:r>
        <w:rPr>
          <w:rFonts w:hint="eastAsia" w:ascii="宋体" w:hAnsi="宋体" w:cs="宋体"/>
          <w:b/>
          <w:bCs/>
          <w:sz w:val="36"/>
          <w:szCs w:val="44"/>
        </w:rPr>
        <w:t>二、商务文件</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5"/>
        <w:rPr>
          <w:rFonts w:ascii="宋体" w:hAnsi="宋体" w:cs="宋体"/>
          <w:sz w:val="28"/>
          <w:szCs w:val="28"/>
        </w:rPr>
      </w:pPr>
      <w:bookmarkStart w:id="865" w:name="_Toc276645585"/>
      <w:bookmarkStart w:id="866" w:name="_Toc492999760"/>
      <w:bookmarkStart w:id="867" w:name="_Toc37919903"/>
      <w:bookmarkStart w:id="868" w:name="_Toc418493167"/>
      <w:bookmarkStart w:id="869" w:name="_Toc32207"/>
      <w:bookmarkStart w:id="870" w:name="_Toc24191"/>
      <w:bookmarkStart w:id="871" w:name="_Toc370284840"/>
      <w:bookmarkStart w:id="872" w:name="_Toc488656176"/>
      <w:bookmarkStart w:id="873" w:name="_Toc497076570"/>
      <w:bookmarkStart w:id="874" w:name="_Toc17013"/>
      <w:bookmarkStart w:id="875" w:name="_Toc10246"/>
      <w:bookmarkStart w:id="876" w:name="_Toc531617928"/>
      <w:bookmarkStart w:id="877" w:name="_Toc10411"/>
      <w:bookmarkStart w:id="878" w:name="_Toc20544"/>
      <w:bookmarkStart w:id="879" w:name="_Toc336202768"/>
      <w:bookmarkStart w:id="880" w:name="_Toc418282356"/>
      <w:bookmarkStart w:id="881" w:name="_Toc259090988"/>
      <w:bookmarkStart w:id="882" w:name="_Toc306283389"/>
      <w:bookmarkStart w:id="883" w:name="_Toc3387052"/>
      <w:bookmarkStart w:id="884" w:name="_Toc12592"/>
      <w:bookmarkStart w:id="885" w:name="_Toc4690"/>
      <w:r>
        <w:rPr>
          <w:rFonts w:hint="eastAsia" w:ascii="宋体" w:hAnsi="宋体" w:cs="宋体"/>
          <w:sz w:val="28"/>
          <w:szCs w:val="28"/>
        </w:rPr>
        <w:t>2.1供应商综合概况</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rPr>
          <w:rFonts w:ascii="宋体" w:hAnsi="宋体" w:cs="宋体"/>
          <w:bCs/>
          <w:sz w:val="24"/>
        </w:rPr>
      </w:pPr>
    </w:p>
    <w:p>
      <w:pPr>
        <w:rPr>
          <w:rFonts w:ascii="宋体" w:hAnsi="宋体" w:cs="宋体"/>
          <w:b/>
          <w:sz w:val="28"/>
          <w:szCs w:val="28"/>
        </w:rPr>
      </w:pPr>
      <w:r>
        <w:rPr>
          <w:rFonts w:hint="eastAsia" w:ascii="宋体" w:hAnsi="宋体" w:cs="宋体"/>
          <w:bCs/>
          <w:sz w:val="24"/>
        </w:rPr>
        <w:t>项目名称：</w:t>
      </w:r>
      <w:r>
        <w:rPr>
          <w:rFonts w:hint="eastAsia" w:ascii="宋体" w:hAnsi="宋体" w:cs="宋体"/>
          <w:bCs/>
          <w:sz w:val="24"/>
          <w:u w:val="single"/>
        </w:rPr>
        <w:t xml:space="preserve">               </w:t>
      </w:r>
      <w:r>
        <w:rPr>
          <w:rFonts w:hint="eastAsia" w:ascii="宋体" w:hAnsi="宋体" w:cs="宋体"/>
          <w:bCs/>
          <w:sz w:val="24"/>
        </w:rPr>
        <w:t xml:space="preserve">          采购编号：</w:t>
      </w:r>
      <w:r>
        <w:rPr>
          <w:rFonts w:hint="eastAsia" w:ascii="宋体" w:hAnsi="宋体" w:cs="宋体"/>
          <w:bCs/>
          <w:sz w:val="24"/>
          <w:u w:val="single"/>
        </w:rPr>
        <w:t xml:space="preserve">           </w:t>
      </w:r>
      <w:r>
        <w:rPr>
          <w:rFonts w:hint="eastAsia" w:ascii="宋体" w:hAnsi="宋体" w:cs="宋体"/>
          <w:b/>
          <w:sz w:val="28"/>
          <w:szCs w:val="28"/>
          <w:u w:val="single"/>
        </w:rPr>
        <w:t xml:space="preserve">      </w:t>
      </w:r>
    </w:p>
    <w:p>
      <w:pPr>
        <w:rPr>
          <w:rFonts w:ascii="宋体" w:hAnsi="宋体" w:cs="宋体"/>
        </w:rPr>
      </w:pPr>
    </w:p>
    <w:p>
      <w:pPr>
        <w:spacing w:line="360" w:lineRule="auto"/>
        <w:rPr>
          <w:rFonts w:ascii="宋体" w:hAnsi="宋体" w:cs="宋体"/>
          <w:sz w:val="24"/>
        </w:rPr>
      </w:pPr>
      <w:r>
        <w:rPr>
          <w:rFonts w:hint="eastAsia" w:ascii="宋体" w:hAnsi="宋体" w:cs="宋体"/>
          <w:sz w:val="24"/>
        </w:rPr>
        <w:t>1、供应商取得的认证。</w:t>
      </w:r>
    </w:p>
    <w:p>
      <w:pPr>
        <w:spacing w:line="360" w:lineRule="auto"/>
        <w:rPr>
          <w:rFonts w:ascii="宋体" w:hAnsi="宋体" w:cs="宋体"/>
          <w:sz w:val="24"/>
        </w:rPr>
      </w:pPr>
    </w:p>
    <w:p>
      <w:pPr>
        <w:outlineLvl w:val="9"/>
      </w:pPr>
    </w:p>
    <w:p>
      <w:pPr>
        <w:tabs>
          <w:tab w:val="left" w:pos="180"/>
        </w:tabs>
        <w:ind w:left="-240" w:firstLine="204" w:firstLineChars="85"/>
        <w:rPr>
          <w:rFonts w:ascii="宋体" w:hAnsi="宋体" w:cs="宋体"/>
          <w:b/>
          <w:sz w:val="24"/>
        </w:rPr>
      </w:pPr>
      <w:r>
        <w:rPr>
          <w:rFonts w:hint="eastAsia" w:ascii="宋体" w:hAnsi="宋体" w:cs="宋体"/>
          <w:sz w:val="24"/>
        </w:rPr>
        <w:t>2、</w:t>
      </w:r>
      <w:r>
        <w:rPr>
          <w:rFonts w:hint="eastAsia" w:ascii="宋体" w:hAnsi="宋体" w:cs="宋体"/>
          <w:sz w:val="24"/>
          <w:szCs w:val="28"/>
        </w:rPr>
        <w:t>按照磋商文件第二部分“商务评分细则”中的要求的相关证明材料。</w:t>
      </w:r>
    </w:p>
    <w:p>
      <w:pPr>
        <w:pStyle w:val="28"/>
        <w:rPr>
          <w:rFonts w:cs="宋体"/>
        </w:rPr>
      </w:pPr>
    </w:p>
    <w:p>
      <w:pPr>
        <w:spacing w:line="360" w:lineRule="auto"/>
        <w:rPr>
          <w:rFonts w:ascii="宋体" w:hAnsi="宋体" w:cs="宋体"/>
          <w:sz w:val="24"/>
        </w:rPr>
      </w:pPr>
    </w:p>
    <w:p>
      <w:pPr>
        <w:pStyle w:val="219"/>
        <w:rPr>
          <w:rFonts w:ascii="宋体" w:hAnsi="宋体" w:cs="宋体"/>
          <w:sz w:val="28"/>
          <w:szCs w:val="28"/>
        </w:rPr>
      </w:pPr>
      <w:r>
        <w:rPr>
          <w:rFonts w:hint="eastAsia" w:ascii="宋体" w:hAnsi="宋体" w:cs="宋体"/>
        </w:rPr>
        <w:t>3、其它：供应商认为必要的其它介绍。</w:t>
      </w:r>
    </w:p>
    <w:p>
      <w:pPr>
        <w:pStyle w:val="219"/>
        <w:rPr>
          <w:rFonts w:ascii="宋体" w:hAnsi="宋体" w:cs="宋体"/>
          <w:sz w:val="28"/>
          <w:szCs w:val="28"/>
        </w:rPr>
      </w:pPr>
    </w:p>
    <w:p>
      <w:pPr>
        <w:pStyle w:val="219"/>
        <w:rPr>
          <w:rFonts w:ascii="宋体" w:hAnsi="宋体" w:cs="宋体"/>
          <w:sz w:val="28"/>
          <w:szCs w:val="28"/>
        </w:rPr>
      </w:pPr>
    </w:p>
    <w:p>
      <w:pPr>
        <w:pStyle w:val="219"/>
        <w:rPr>
          <w:rFonts w:ascii="宋体" w:hAnsi="宋体" w:cs="宋体"/>
          <w:sz w:val="28"/>
          <w:szCs w:val="28"/>
        </w:rPr>
      </w:pPr>
    </w:p>
    <w:p>
      <w:pPr>
        <w:pStyle w:val="219"/>
        <w:rPr>
          <w:rFonts w:ascii="宋体" w:hAnsi="宋体" w:cs="宋体"/>
          <w:sz w:val="28"/>
          <w:szCs w:val="28"/>
        </w:rPr>
      </w:pPr>
    </w:p>
    <w:p>
      <w:pPr>
        <w:pStyle w:val="219"/>
        <w:rPr>
          <w:rFonts w:ascii="宋体" w:hAnsi="宋体" w:cs="宋体"/>
          <w:sz w:val="28"/>
          <w:szCs w:val="28"/>
        </w:rPr>
      </w:pPr>
    </w:p>
    <w:p>
      <w:pPr>
        <w:pStyle w:val="219"/>
        <w:rPr>
          <w:rFonts w:ascii="宋体" w:hAnsi="宋体" w:cs="宋体"/>
          <w:szCs w:val="24"/>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pStyle w:val="5"/>
        <w:spacing w:before="100" w:after="100" w:line="360" w:lineRule="auto"/>
        <w:ind w:left="180"/>
        <w:rPr>
          <w:rFonts w:ascii="宋体" w:hAnsi="宋体" w:cs="宋体"/>
          <w:sz w:val="28"/>
          <w:szCs w:val="28"/>
        </w:rPr>
      </w:pPr>
      <w:r>
        <w:rPr>
          <w:rFonts w:hint="eastAsia" w:ascii="宋体" w:hAnsi="宋体" w:cs="宋体"/>
          <w:sz w:val="24"/>
        </w:rPr>
        <w:br w:type="page"/>
      </w:r>
      <w:bookmarkStart w:id="886" w:name="_Toc12028"/>
      <w:bookmarkStart w:id="887" w:name="_Toc434946632"/>
      <w:bookmarkStart w:id="888" w:name="_Toc12006"/>
      <w:bookmarkStart w:id="889" w:name="_Toc306283390"/>
      <w:bookmarkStart w:id="890" w:name="_Toc10570"/>
      <w:bookmarkStart w:id="891" w:name="_Toc18668"/>
      <w:bookmarkStart w:id="892" w:name="_Toc531617929"/>
      <w:bookmarkStart w:id="893" w:name="_Toc12832"/>
      <w:bookmarkStart w:id="894" w:name="_Toc16341"/>
      <w:bookmarkStart w:id="895" w:name="_Toc21290"/>
      <w:bookmarkStart w:id="896" w:name="_Toc20441"/>
      <w:bookmarkStart w:id="897" w:name="_Toc37919904"/>
      <w:bookmarkStart w:id="898" w:name="_Toc276645586"/>
      <w:bookmarkStart w:id="899" w:name="_Toc10002"/>
      <w:bookmarkStart w:id="900" w:name="_Toc3387053"/>
      <w:bookmarkStart w:id="901" w:name="_Toc259090989"/>
      <w:bookmarkStart w:id="902" w:name="_Toc332821721"/>
      <w:bookmarkStart w:id="903" w:name="_Toc497076571"/>
      <w:r>
        <w:rPr>
          <w:rFonts w:hint="eastAsia" w:ascii="宋体" w:hAnsi="宋体" w:cs="宋体"/>
          <w:sz w:val="28"/>
          <w:szCs w:val="28"/>
        </w:rPr>
        <w:t>2.2</w:t>
      </w:r>
      <w:r>
        <w:rPr>
          <w:rFonts w:hint="eastAsia" w:ascii="宋体" w:hAnsi="宋体" w:cs="宋体"/>
          <w:sz w:val="28"/>
          <w:szCs w:val="28"/>
        </w:rPr>
        <w:fldChar w:fldCharType="begin"/>
      </w:r>
      <w:r>
        <w:rPr>
          <w:rFonts w:hint="eastAsia" w:ascii="宋体" w:hAnsi="宋体" w:cs="宋体"/>
          <w:sz w:val="28"/>
          <w:szCs w:val="28"/>
        </w:rPr>
        <w:instrText xml:space="preserve"> DOCVARIABLE  商务条款响应表开始  \* MERGEFORMAT </w:instrText>
      </w:r>
      <w:r>
        <w:rPr>
          <w:rFonts w:hint="eastAsia" w:ascii="宋体" w:hAnsi="宋体" w:cs="宋体"/>
          <w:sz w:val="28"/>
          <w:szCs w:val="28"/>
        </w:rPr>
        <w:fldChar w:fldCharType="end"/>
      </w:r>
      <w:r>
        <w:rPr>
          <w:rFonts w:hint="eastAsia" w:ascii="宋体" w:hAnsi="宋体" w:cs="宋体"/>
          <w:sz w:val="28"/>
          <w:szCs w:val="28"/>
        </w:rPr>
        <w:fldChar w:fldCharType="begin"/>
      </w:r>
      <w:r>
        <w:rPr>
          <w:rFonts w:hint="eastAsia" w:ascii="宋体" w:hAnsi="宋体" w:cs="宋体"/>
          <w:sz w:val="28"/>
          <w:szCs w:val="28"/>
        </w:rPr>
        <w:instrText xml:space="preserve"> DOCVARIABLE  商务条款响应表开始  \* MERGEFORMAT </w:instrText>
      </w:r>
      <w:r>
        <w:rPr>
          <w:rFonts w:hint="eastAsia" w:ascii="宋体" w:hAnsi="宋体" w:cs="宋体"/>
          <w:sz w:val="28"/>
          <w:szCs w:val="28"/>
        </w:rPr>
        <w:fldChar w:fldCharType="end"/>
      </w:r>
      <w:r>
        <w:rPr>
          <w:rFonts w:hint="eastAsia" w:ascii="宋体" w:hAnsi="宋体" w:cs="宋体"/>
          <w:sz w:val="28"/>
          <w:szCs w:val="28"/>
        </w:rPr>
        <w:t>商务条款响应表</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spacing w:line="360" w:lineRule="auto"/>
        <w:jc w:val="both"/>
        <w:rPr>
          <w:rFonts w:hint="eastAsia" w:ascii="宋体" w:hAnsi="宋体" w:eastAsia="宋体" w:cs="宋体"/>
          <w:b/>
          <w:sz w:val="28"/>
          <w:szCs w:val="28"/>
        </w:rPr>
      </w:pPr>
      <w:r>
        <w:rPr>
          <w:rFonts w:hint="eastAsia" w:ascii="宋体" w:hAnsi="宋体" w:cs="宋体"/>
          <w:b/>
          <w:sz w:val="28"/>
          <w:szCs w:val="28"/>
          <w:lang w:val="en-US" w:eastAsia="zh-CN"/>
        </w:rPr>
        <w:t>评</w:t>
      </w:r>
      <w:r>
        <w:rPr>
          <w:rFonts w:hint="eastAsia" w:ascii="宋体" w:hAnsi="宋体" w:eastAsia="宋体" w:cs="宋体"/>
          <w:b/>
          <w:sz w:val="28"/>
          <w:szCs w:val="28"/>
        </w:rPr>
        <w:t>分细则中商务部分要求提供的证明材料</w:t>
      </w:r>
    </w:p>
    <w:p>
      <w:pPr>
        <w:spacing w:line="400" w:lineRule="exact"/>
        <w:rPr>
          <w:rFonts w:hint="eastAsia" w:ascii="宋体" w:hAnsi="宋体" w:eastAsia="宋体" w:cs="宋体"/>
          <w:sz w:val="24"/>
          <w:szCs w:val="24"/>
        </w:rPr>
      </w:pPr>
    </w:p>
    <w:p>
      <w:pPr>
        <w:spacing w:line="400" w:lineRule="exact"/>
        <w:rPr>
          <w:rFonts w:hint="default" w:ascii="宋体" w:hAnsi="宋体" w:eastAsia="宋体" w:cs="宋体"/>
          <w:sz w:val="24"/>
          <w:szCs w:val="24"/>
          <w:lang w:val="en-US" w:eastAsia="zh-CN"/>
        </w:rPr>
      </w:pPr>
      <w:r>
        <w:rPr>
          <w:rFonts w:hint="eastAsia" w:ascii="宋体" w:hAnsi="宋体" w:cs="宋体"/>
          <w:sz w:val="24"/>
          <w:szCs w:val="24"/>
          <w:lang w:val="en-US" w:eastAsia="zh-CN"/>
        </w:rPr>
        <w:t>项目</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项目编号：</w:t>
      </w:r>
      <w:r>
        <w:rPr>
          <w:rFonts w:hint="eastAsia" w:ascii="宋体" w:hAnsi="宋体" w:eastAsia="宋体" w:cs="宋体"/>
          <w:sz w:val="24"/>
          <w:szCs w:val="24"/>
          <w:u w:val="single"/>
          <w:lang w:val="en-US" w:eastAsia="zh-CN"/>
        </w:rPr>
        <w:t xml:space="preserve">                </w:t>
      </w: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r>
        <w:rPr>
          <w:rFonts w:hint="eastAsia" w:ascii="宋体" w:hAnsi="宋体" w:eastAsia="宋体" w:cs="宋体"/>
          <w:bCs/>
          <w:sz w:val="24"/>
          <w:szCs w:val="24"/>
        </w:rPr>
        <w:t>备注：根据评分细则的商务部分要求提交相应资料。</w:t>
      </w: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500" w:lineRule="exact"/>
        <w:rPr>
          <w:rFonts w:hint="eastAsia" w:ascii="宋体" w:hAnsi="宋体" w:eastAsia="宋体" w:cs="宋体"/>
          <w:sz w:val="24"/>
          <w:szCs w:val="24"/>
          <w:u w:val="single"/>
        </w:rPr>
      </w:pPr>
      <w:r>
        <w:rPr>
          <w:rFonts w:hint="eastAsia" w:ascii="宋体" w:hAnsi="宋体" w:eastAsia="宋体" w:cs="宋体"/>
          <w:spacing w:val="4"/>
          <w:sz w:val="24"/>
          <w:szCs w:val="24"/>
        </w:rPr>
        <w:t>响应供应商名称</w:t>
      </w:r>
      <w:r>
        <w:rPr>
          <w:rFonts w:hint="eastAsia" w:ascii="宋体" w:hAnsi="宋体" w:cs="宋体"/>
          <w:spacing w:val="4"/>
          <w:sz w:val="24"/>
          <w:szCs w:val="24"/>
          <w:lang w:eastAsia="zh-CN"/>
        </w:rPr>
        <w:t>（</w:t>
      </w:r>
      <w:r>
        <w:rPr>
          <w:rFonts w:hint="eastAsia" w:ascii="宋体" w:hAnsi="宋体" w:eastAsia="宋体" w:cs="宋体"/>
          <w:spacing w:val="4"/>
          <w:sz w:val="24"/>
          <w:szCs w:val="24"/>
        </w:rPr>
        <w:t>盖公章</w:t>
      </w:r>
      <w:r>
        <w:rPr>
          <w:rFonts w:hint="eastAsia" w:ascii="宋体" w:hAnsi="宋体" w:cs="宋体"/>
          <w:spacing w:val="4"/>
          <w:sz w:val="24"/>
          <w:szCs w:val="24"/>
          <w:lang w:eastAsia="zh-CN"/>
        </w:rPr>
        <w:t>）</w:t>
      </w:r>
      <w:r>
        <w:rPr>
          <w:rFonts w:hint="eastAsia" w:ascii="宋体" w:hAnsi="宋体" w:eastAsia="宋体" w:cs="宋体"/>
          <w:spacing w:val="4"/>
          <w:sz w:val="24"/>
          <w:szCs w:val="24"/>
        </w:rPr>
        <w:t>：</w:t>
      </w:r>
    </w:p>
    <w:p>
      <w:pPr>
        <w:rPr>
          <w:rFonts w:hint="eastAsia" w:ascii="宋体" w:hAnsi="宋体" w:eastAsia="宋体" w:cs="宋体"/>
          <w:spacing w:val="4"/>
          <w:sz w:val="24"/>
          <w:szCs w:val="24"/>
        </w:rPr>
      </w:pPr>
    </w:p>
    <w:p>
      <w:pPr>
        <w:spacing w:line="520" w:lineRule="exact"/>
        <w:rPr>
          <w:rFonts w:hint="eastAsia" w:ascii="宋体" w:hAnsi="宋体" w:eastAsia="宋体" w:cs="宋体"/>
          <w:spacing w:val="4"/>
          <w:sz w:val="24"/>
          <w:szCs w:val="24"/>
        </w:rPr>
      </w:pPr>
      <w:r>
        <w:rPr>
          <w:rFonts w:hint="eastAsia" w:ascii="宋体" w:hAnsi="宋体" w:eastAsia="宋体" w:cs="宋体"/>
          <w:sz w:val="24"/>
          <w:szCs w:val="24"/>
        </w:rPr>
        <w:t>法定代表人或响应供应商授权代表</w:t>
      </w:r>
      <w:r>
        <w:rPr>
          <w:rFonts w:hint="eastAsia" w:ascii="宋体" w:hAnsi="宋体" w:cs="宋体"/>
          <w:sz w:val="24"/>
          <w:szCs w:val="24"/>
          <w:lang w:eastAsia="zh-CN"/>
        </w:rPr>
        <w:t>（</w:t>
      </w:r>
      <w:r>
        <w:rPr>
          <w:rFonts w:hint="eastAsia" w:ascii="宋体" w:hAnsi="宋体" w:eastAsia="宋体" w:cs="宋体"/>
          <w:sz w:val="24"/>
          <w:szCs w:val="24"/>
        </w:rPr>
        <w:t>签名或盖章</w:t>
      </w:r>
      <w:r>
        <w:rPr>
          <w:rFonts w:hint="eastAsia" w:ascii="宋体" w:hAnsi="宋体" w:cs="宋体"/>
          <w:sz w:val="24"/>
          <w:szCs w:val="24"/>
          <w:lang w:eastAsia="zh-CN"/>
        </w:rPr>
        <w:t>）</w:t>
      </w:r>
      <w:r>
        <w:rPr>
          <w:rFonts w:hint="eastAsia" w:ascii="宋体" w:hAnsi="宋体" w:eastAsia="宋体" w:cs="宋体"/>
          <w:sz w:val="24"/>
          <w:szCs w:val="24"/>
        </w:rPr>
        <w:t>：</w:t>
      </w:r>
    </w:p>
    <w:p>
      <w:pPr>
        <w:spacing w:line="520" w:lineRule="exact"/>
        <w:rPr>
          <w:rFonts w:hint="eastAsia" w:ascii="宋体" w:hAnsi="宋体" w:eastAsia="宋体" w:cs="宋体"/>
          <w:spacing w:val="4"/>
          <w:sz w:val="24"/>
          <w:szCs w:val="24"/>
          <w:u w:val="single"/>
        </w:rPr>
      </w:pPr>
      <w:r>
        <w:rPr>
          <w:rFonts w:hint="eastAsia" w:ascii="宋体" w:hAnsi="宋体" w:eastAsia="宋体" w:cs="宋体"/>
          <w:spacing w:val="4"/>
          <w:sz w:val="24"/>
          <w:szCs w:val="24"/>
        </w:rPr>
        <w:t>日期：</w:t>
      </w:r>
    </w:p>
    <w:p>
      <w:pPr>
        <w:rPr>
          <w:rFonts w:ascii="宋体" w:hAnsi="宋体" w:cs="宋体"/>
          <w:sz w:val="24"/>
        </w:rPr>
      </w:pPr>
      <w:r>
        <w:rPr>
          <w:rFonts w:hint="eastAsia" w:ascii="宋体" w:hAnsi="宋体" w:cs="宋体"/>
          <w:sz w:val="24"/>
        </w:rPr>
        <w:br w:type="page"/>
      </w:r>
    </w:p>
    <w:bookmarkEnd w:id="844"/>
    <w:p>
      <w:pPr>
        <w:spacing w:line="360" w:lineRule="auto"/>
        <w:jc w:val="both"/>
        <w:outlineLvl w:val="2"/>
        <w:rPr>
          <w:rFonts w:hint="eastAsia" w:ascii="宋体" w:hAnsi="宋体" w:cs="宋体"/>
          <w:b/>
          <w:bCs/>
          <w:sz w:val="36"/>
          <w:szCs w:val="44"/>
          <w:lang w:eastAsia="zh-CN"/>
        </w:rPr>
      </w:pPr>
      <w:bookmarkStart w:id="904" w:name="_Toc10012"/>
      <w:bookmarkStart w:id="905" w:name="_Toc6415"/>
      <w:r>
        <w:rPr>
          <w:rFonts w:hint="eastAsia" w:ascii="宋体" w:hAnsi="宋体" w:cs="宋体"/>
          <w:b/>
          <w:bCs/>
          <w:sz w:val="36"/>
          <w:szCs w:val="44"/>
        </w:rPr>
        <w:t>三、技术</w:t>
      </w:r>
      <w:r>
        <w:rPr>
          <w:rFonts w:hint="eastAsia" w:ascii="宋体" w:hAnsi="宋体" w:cs="宋体"/>
          <w:b/>
          <w:bCs/>
          <w:sz w:val="36"/>
          <w:szCs w:val="44"/>
          <w:lang w:val="en-US" w:eastAsia="zh-CN"/>
        </w:rPr>
        <w:t>文件</w:t>
      </w:r>
      <w:bookmarkEnd w:id="904"/>
    </w:p>
    <w:p>
      <w:pPr>
        <w:numPr>
          <w:ilvl w:val="0"/>
          <w:numId w:val="0"/>
        </w:numPr>
        <w:spacing w:line="360" w:lineRule="auto"/>
        <w:outlineLvl w:val="2"/>
        <w:rPr>
          <w:rFonts w:hint="eastAsia" w:ascii="宋体" w:hAnsi="宋体" w:eastAsia="宋体" w:cs="宋体"/>
          <w:b/>
          <w:szCs w:val="21"/>
          <w:lang w:eastAsia="zh-CN"/>
        </w:rPr>
      </w:pPr>
      <w:bookmarkStart w:id="906" w:name="_Toc1406"/>
      <w:r>
        <w:rPr>
          <w:rFonts w:hint="eastAsia" w:ascii="宋体" w:hAnsi="宋体" w:eastAsia="宋体" w:cs="宋体"/>
          <w:b/>
          <w:szCs w:val="21"/>
          <w:lang w:val="en-US" w:eastAsia="zh-CN"/>
        </w:rPr>
        <w:t>3.1</w:t>
      </w:r>
      <w:r>
        <w:rPr>
          <w:rFonts w:hint="eastAsia" w:ascii="宋体" w:hAnsi="宋体" w:eastAsia="宋体" w:cs="宋体"/>
          <w:b/>
          <w:szCs w:val="21"/>
        </w:rPr>
        <w:t>实质性响应技术条款</w:t>
      </w:r>
      <w:r>
        <w:rPr>
          <w:rFonts w:hint="eastAsia" w:ascii="宋体" w:hAnsi="宋体" w:cs="宋体"/>
          <w:b/>
          <w:szCs w:val="21"/>
          <w:lang w:eastAsia="zh-CN"/>
        </w:rPr>
        <w:t>（</w:t>
      </w:r>
      <w:r>
        <w:rPr>
          <w:rFonts w:hint="eastAsia" w:ascii="宋体" w:hAnsi="宋体" w:eastAsia="宋体" w:cs="宋体"/>
          <w:b/>
          <w:szCs w:val="21"/>
        </w:rPr>
        <w:t>“★”项</w:t>
      </w:r>
      <w:r>
        <w:rPr>
          <w:rFonts w:hint="eastAsia" w:ascii="宋体" w:hAnsi="宋体" w:cs="宋体"/>
          <w:b/>
          <w:szCs w:val="21"/>
          <w:lang w:eastAsia="zh-CN"/>
        </w:rPr>
        <w:t>）</w:t>
      </w:r>
      <w:r>
        <w:rPr>
          <w:rFonts w:hint="eastAsia" w:ascii="宋体" w:hAnsi="宋体" w:eastAsia="宋体" w:cs="宋体"/>
          <w:b/>
          <w:szCs w:val="21"/>
        </w:rPr>
        <w:t>响应表</w:t>
      </w:r>
      <w:bookmarkEnd w:id="906"/>
    </w:p>
    <w:p>
      <w:pPr>
        <w:spacing w:line="360" w:lineRule="auto"/>
        <w:rPr>
          <w:rFonts w:hint="eastAsia" w:ascii="宋体" w:hAnsi="宋体" w:eastAsia="宋体" w:cs="宋体"/>
          <w:b/>
          <w:szCs w:val="21"/>
        </w:rPr>
      </w:pPr>
    </w:p>
    <w:p>
      <w:pPr>
        <w:spacing w:line="360" w:lineRule="auto"/>
        <w:rPr>
          <w:rFonts w:hint="eastAsia" w:ascii="宋体" w:hAnsi="宋体" w:eastAsia="宋体" w:cs="宋体"/>
          <w:b/>
          <w:szCs w:val="21"/>
        </w:rPr>
      </w:pPr>
      <w:r>
        <w:rPr>
          <w:rFonts w:hint="eastAsia" w:ascii="宋体" w:hAnsi="宋体" w:eastAsia="宋体" w:cs="宋体"/>
          <w:b/>
          <w:szCs w:val="21"/>
        </w:rPr>
        <w:t>项目名称：</w:t>
      </w:r>
      <w:r>
        <w:rPr>
          <w:rFonts w:hint="eastAsia" w:ascii="宋体" w:hAnsi="宋体" w:eastAsia="宋体" w:cs="宋体"/>
          <w:b/>
          <w:szCs w:val="21"/>
          <w:u w:val="single"/>
        </w:rPr>
        <w:t xml:space="preserve">           </w:t>
      </w:r>
      <w:r>
        <w:rPr>
          <w:rFonts w:hint="eastAsia" w:ascii="宋体" w:hAnsi="宋体" w:eastAsia="宋体" w:cs="宋体"/>
          <w:b/>
          <w:szCs w:val="21"/>
          <w:u w:val="single"/>
          <w:lang w:val="en-US" w:eastAsia="zh-CN"/>
        </w:rPr>
        <w:t xml:space="preserve">    </w:t>
      </w:r>
      <w:r>
        <w:rPr>
          <w:rFonts w:hint="eastAsia" w:ascii="宋体" w:hAnsi="宋体" w:eastAsia="宋体" w:cs="宋体"/>
          <w:b/>
          <w:szCs w:val="21"/>
          <w:u w:val="single"/>
        </w:rPr>
        <w:t xml:space="preserve">    </w:t>
      </w:r>
      <w:r>
        <w:rPr>
          <w:rFonts w:hint="eastAsia" w:ascii="宋体" w:hAnsi="宋体" w:eastAsia="宋体" w:cs="宋体"/>
          <w:b/>
          <w:szCs w:val="21"/>
        </w:rPr>
        <w:t xml:space="preserve">       项目编号：</w:t>
      </w:r>
      <w:r>
        <w:rPr>
          <w:rFonts w:hint="eastAsia" w:ascii="宋体" w:hAnsi="宋体" w:eastAsia="宋体" w:cs="宋体"/>
          <w:b/>
          <w:szCs w:val="21"/>
          <w:u w:val="single"/>
        </w:rPr>
        <w:t xml:space="preserve">            </w:t>
      </w:r>
      <w:r>
        <w:rPr>
          <w:rFonts w:hint="eastAsia" w:ascii="宋体" w:hAnsi="宋体" w:eastAsia="宋体" w:cs="宋体"/>
          <w:b/>
          <w:szCs w:val="21"/>
          <w:u w:val="single"/>
          <w:lang w:val="en-US" w:eastAsia="zh-CN"/>
        </w:rPr>
        <w:t xml:space="preserve">    </w:t>
      </w:r>
      <w:r>
        <w:rPr>
          <w:rFonts w:hint="eastAsia" w:ascii="宋体" w:hAnsi="宋体" w:eastAsia="宋体" w:cs="宋体"/>
          <w:b/>
          <w:szCs w:val="21"/>
          <w:u w:val="single"/>
        </w:rPr>
        <w:t xml:space="preserve">     </w:t>
      </w:r>
      <w:r>
        <w:rPr>
          <w:rFonts w:hint="eastAsia" w:ascii="宋体" w:hAnsi="宋体" w:eastAsia="宋体" w:cs="宋体"/>
          <w:b/>
          <w:szCs w:val="21"/>
        </w:rPr>
        <w:t xml:space="preserve"> </w:t>
      </w:r>
    </w:p>
    <w:tbl>
      <w:tblPr>
        <w:tblStyle w:val="7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138"/>
        <w:gridCol w:w="2785"/>
        <w:gridCol w:w="189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2138"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采购规格/要求</w:t>
            </w:r>
          </w:p>
        </w:tc>
        <w:tc>
          <w:tcPr>
            <w:tcW w:w="2785" w:type="dxa"/>
            <w:noWrap w:val="0"/>
            <w:vAlign w:val="center"/>
          </w:tcPr>
          <w:p>
            <w:pPr>
              <w:jc w:val="center"/>
              <w:rPr>
                <w:rFonts w:hint="eastAsia" w:ascii="宋体" w:hAnsi="宋体" w:eastAsia="宋体" w:cs="宋体"/>
                <w:b/>
                <w:szCs w:val="21"/>
              </w:rPr>
            </w:pPr>
            <w:r>
              <w:rPr>
                <w:rFonts w:hint="eastAsia" w:ascii="宋体" w:hAnsi="宋体" w:eastAsia="宋体" w:cs="宋体"/>
                <w:b/>
                <w:bCs/>
                <w:szCs w:val="21"/>
              </w:rPr>
              <w:t>供应商响应描述</w:t>
            </w:r>
          </w:p>
        </w:tc>
        <w:tc>
          <w:tcPr>
            <w:tcW w:w="1890"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偏离</w:t>
            </w:r>
          </w:p>
        </w:tc>
        <w:tc>
          <w:tcPr>
            <w:tcW w:w="1414"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1</w:t>
            </w:r>
          </w:p>
        </w:tc>
        <w:tc>
          <w:tcPr>
            <w:tcW w:w="2138" w:type="dxa"/>
            <w:noWrap w:val="0"/>
            <w:vAlign w:val="top"/>
          </w:tcPr>
          <w:p>
            <w:pPr>
              <w:jc w:val="center"/>
              <w:rPr>
                <w:rFonts w:hint="eastAsia" w:ascii="宋体" w:hAnsi="宋体" w:eastAsia="宋体" w:cs="宋体"/>
                <w:szCs w:val="21"/>
              </w:rPr>
            </w:pPr>
          </w:p>
        </w:tc>
        <w:tc>
          <w:tcPr>
            <w:tcW w:w="2785"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14"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2</w:t>
            </w:r>
          </w:p>
        </w:tc>
        <w:tc>
          <w:tcPr>
            <w:tcW w:w="2138" w:type="dxa"/>
            <w:noWrap w:val="0"/>
            <w:vAlign w:val="top"/>
          </w:tcPr>
          <w:p>
            <w:pPr>
              <w:jc w:val="center"/>
              <w:rPr>
                <w:rFonts w:hint="eastAsia" w:ascii="宋体" w:hAnsi="宋体" w:eastAsia="宋体" w:cs="宋体"/>
                <w:szCs w:val="21"/>
              </w:rPr>
            </w:pPr>
          </w:p>
        </w:tc>
        <w:tc>
          <w:tcPr>
            <w:tcW w:w="2785"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14"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3</w:t>
            </w:r>
          </w:p>
        </w:tc>
        <w:tc>
          <w:tcPr>
            <w:tcW w:w="2138" w:type="dxa"/>
            <w:noWrap w:val="0"/>
            <w:vAlign w:val="top"/>
          </w:tcPr>
          <w:p>
            <w:pPr>
              <w:jc w:val="center"/>
              <w:rPr>
                <w:rFonts w:hint="eastAsia" w:ascii="宋体" w:hAnsi="宋体" w:eastAsia="宋体" w:cs="宋体"/>
                <w:szCs w:val="21"/>
              </w:rPr>
            </w:pPr>
          </w:p>
        </w:tc>
        <w:tc>
          <w:tcPr>
            <w:tcW w:w="2785"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14"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4</w:t>
            </w:r>
          </w:p>
        </w:tc>
        <w:tc>
          <w:tcPr>
            <w:tcW w:w="2138" w:type="dxa"/>
            <w:noWrap w:val="0"/>
            <w:vAlign w:val="top"/>
          </w:tcPr>
          <w:p>
            <w:pPr>
              <w:jc w:val="center"/>
              <w:rPr>
                <w:rFonts w:hint="eastAsia" w:ascii="宋体" w:hAnsi="宋体" w:eastAsia="宋体" w:cs="宋体"/>
                <w:szCs w:val="21"/>
              </w:rPr>
            </w:pPr>
          </w:p>
        </w:tc>
        <w:tc>
          <w:tcPr>
            <w:tcW w:w="2785"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14"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1" w:type="dxa"/>
            <w:noWrap w:val="0"/>
            <w:vAlign w:val="top"/>
          </w:tcPr>
          <w:p>
            <w:pPr>
              <w:jc w:val="center"/>
              <w:rPr>
                <w:rFonts w:hint="eastAsia" w:ascii="宋体" w:hAnsi="宋体" w:eastAsia="宋体" w:cs="宋体"/>
                <w:szCs w:val="21"/>
              </w:rPr>
            </w:pPr>
            <w:r>
              <w:rPr>
                <w:rFonts w:hint="eastAsia" w:ascii="宋体" w:hAnsi="宋体" w:cs="宋体"/>
                <w:bCs/>
              </w:rPr>
              <w:t>┇</w:t>
            </w:r>
          </w:p>
        </w:tc>
        <w:tc>
          <w:tcPr>
            <w:tcW w:w="2138" w:type="dxa"/>
            <w:noWrap w:val="0"/>
            <w:vAlign w:val="top"/>
          </w:tcPr>
          <w:p>
            <w:pPr>
              <w:jc w:val="center"/>
              <w:rPr>
                <w:rFonts w:hint="eastAsia" w:ascii="宋体" w:hAnsi="宋体" w:eastAsia="宋体" w:cs="宋体"/>
                <w:szCs w:val="21"/>
              </w:rPr>
            </w:pPr>
          </w:p>
        </w:tc>
        <w:tc>
          <w:tcPr>
            <w:tcW w:w="2785"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14" w:type="dxa"/>
            <w:noWrap w:val="0"/>
            <w:vAlign w:val="top"/>
          </w:tcPr>
          <w:p>
            <w:pPr>
              <w:rPr>
                <w:rFonts w:hint="eastAsia" w:ascii="宋体" w:hAnsi="宋体" w:eastAsia="宋体" w:cs="宋体"/>
                <w:szCs w:val="21"/>
              </w:rPr>
            </w:pPr>
          </w:p>
        </w:tc>
      </w:tr>
    </w:tbl>
    <w:p>
      <w:pPr>
        <w:spacing w:line="480" w:lineRule="exact"/>
        <w:rPr>
          <w:rFonts w:hint="eastAsia" w:ascii="宋体" w:hAnsi="宋体" w:eastAsia="宋体" w:cs="宋体"/>
          <w:szCs w:val="21"/>
        </w:rPr>
      </w:pPr>
      <w:r>
        <w:rPr>
          <w:rFonts w:hint="eastAsia" w:ascii="宋体" w:hAnsi="宋体" w:eastAsia="宋体" w:cs="宋体"/>
          <w:szCs w:val="21"/>
        </w:rPr>
        <w:t>说明：</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1、根据用户需求书“★”条款要求须逐条响应，未响应条款视为“负偏离”。对“偏离”一栏，填写“无偏离、正偏离、负偏离”。其中正偏离是指所提供货物、服务优于磋商文件所要求的；负偏离是指所提供货物、服务低于磋商文件所要求的。</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2、用户需求书中打“★”号条款为实质性条款，供应商如有任何一条负偏离或未响应则导致响应无效。</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3、如本表格式内容不能满足需要，供应商可根据本表格格式自行划表填写，但必须体现以上内容。</w:t>
      </w:r>
    </w:p>
    <w:p>
      <w:pPr>
        <w:spacing w:line="360" w:lineRule="auto"/>
        <w:ind w:left="-78" w:leftChars="-37" w:right="-80" w:rightChars="-38"/>
        <w:rPr>
          <w:rFonts w:hint="eastAsia" w:ascii="宋体" w:hAnsi="宋体" w:eastAsia="宋体" w:cs="宋体"/>
          <w:b/>
          <w:bCs/>
          <w:szCs w:val="21"/>
        </w:rPr>
      </w:pPr>
      <w:r>
        <w:rPr>
          <w:rFonts w:hint="eastAsia" w:ascii="宋体" w:hAnsi="宋体" w:eastAsia="宋体" w:cs="宋体"/>
          <w:szCs w:val="21"/>
        </w:rPr>
        <w:t>4、当磋商文件中未设置“★”项技术条款时，应在此表中直接填写：</w:t>
      </w:r>
      <w:r>
        <w:rPr>
          <w:rFonts w:hint="eastAsia" w:ascii="宋体" w:hAnsi="宋体" w:eastAsia="宋体" w:cs="宋体"/>
          <w:b/>
          <w:bCs/>
          <w:szCs w:val="21"/>
        </w:rPr>
        <w:t>本项目未设置“★”项技术条款。</w:t>
      </w:r>
    </w:p>
    <w:p>
      <w:pPr>
        <w:adjustRightInd w:val="0"/>
        <w:snapToGrid w:val="0"/>
        <w:spacing w:line="300" w:lineRule="auto"/>
        <w:ind w:firstLine="470" w:firstLineChars="224"/>
        <w:rPr>
          <w:rFonts w:hint="eastAsia" w:ascii="宋体" w:hAnsi="宋体" w:eastAsia="宋体" w:cs="宋体"/>
          <w:szCs w:val="21"/>
        </w:rPr>
      </w:pPr>
    </w:p>
    <w:p>
      <w:pPr>
        <w:spacing w:line="360" w:lineRule="auto"/>
        <w:rPr>
          <w:rFonts w:hint="eastAsia" w:ascii="宋体" w:hAnsi="宋体" w:eastAsia="宋体" w:cs="宋体"/>
          <w:sz w:val="24"/>
          <w:szCs w:val="24"/>
        </w:rPr>
      </w:pPr>
    </w:p>
    <w:p>
      <w:pPr>
        <w:adjustRightInd w:val="0"/>
        <w:snapToGrid w:val="0"/>
        <w:spacing w:line="360" w:lineRule="auto"/>
        <w:rPr>
          <w:rFonts w:ascii="宋体" w:hAnsi="宋体" w:cs="宋体"/>
          <w:u w:val="single"/>
        </w:rPr>
      </w:pPr>
      <w:r>
        <w:rPr>
          <w:rFonts w:hint="eastAsia" w:ascii="宋体" w:hAnsi="宋体" w:cs="宋体"/>
        </w:rPr>
        <w:t>供应商代表签字：</w:t>
      </w:r>
      <w:r>
        <w:rPr>
          <w:rFonts w:hint="eastAsia" w:ascii="宋体" w:hAnsi="宋体" w:cs="宋体"/>
          <w:u w:val="single"/>
        </w:rPr>
        <w:t xml:space="preserve">                   </w:t>
      </w:r>
    </w:p>
    <w:p>
      <w:pPr>
        <w:pStyle w:val="28"/>
        <w:rPr>
          <w:rFonts w:cs="宋体"/>
          <w:sz w:val="21"/>
        </w:rPr>
      </w:pPr>
      <w:r>
        <w:rPr>
          <w:rFonts w:hint="eastAsia" w:cs="宋体"/>
          <w:sz w:val="21"/>
        </w:rPr>
        <w:t>供应商名称</w:t>
      </w:r>
      <w:r>
        <w:rPr>
          <w:rFonts w:hint="eastAsia" w:cs="宋体"/>
          <w:sz w:val="21"/>
          <w:lang w:eastAsia="zh-CN"/>
        </w:rPr>
        <w:t>（</w:t>
      </w:r>
      <w:r>
        <w:rPr>
          <w:rFonts w:hint="eastAsia" w:cs="宋体"/>
          <w:sz w:val="21"/>
        </w:rPr>
        <w:t>加盖公章</w:t>
      </w:r>
      <w:r>
        <w:rPr>
          <w:rFonts w:hint="eastAsia" w:cs="宋体"/>
          <w:sz w:val="21"/>
          <w:lang w:eastAsia="zh-CN"/>
        </w:rPr>
        <w:t>）</w:t>
      </w:r>
      <w:r>
        <w:rPr>
          <w:rFonts w:hint="eastAsia" w:cs="宋体"/>
          <w:sz w:val="21"/>
        </w:rPr>
        <w:t>：</w:t>
      </w:r>
      <w:r>
        <w:rPr>
          <w:rFonts w:hint="eastAsia" w:cs="宋体"/>
          <w:sz w:val="21"/>
          <w:u w:val="single"/>
        </w:rPr>
        <w:t xml:space="preserve">                  </w:t>
      </w:r>
    </w:p>
    <w:p>
      <w:pPr>
        <w:pStyle w:val="28"/>
        <w:spacing w:line="360" w:lineRule="auto"/>
        <w:rPr>
          <w:rFonts w:hint="eastAsia" w:ascii="宋体" w:hAnsi="宋体" w:eastAsia="宋体" w:cs="宋体"/>
          <w:spacing w:val="0"/>
          <w:kern w:val="0"/>
          <w:sz w:val="24"/>
        </w:rPr>
      </w:pPr>
      <w:r>
        <w:rPr>
          <w:rFonts w:hint="eastAsia" w:cs="宋体"/>
          <w:sz w:val="21"/>
        </w:rPr>
        <w:t>日期：     年      月      日</w:t>
      </w:r>
    </w:p>
    <w:p>
      <w:pPr>
        <w:numPr>
          <w:ilvl w:val="0"/>
          <w:numId w:val="0"/>
        </w:numPr>
        <w:spacing w:line="360" w:lineRule="auto"/>
        <w:outlineLvl w:val="2"/>
        <w:rPr>
          <w:rFonts w:hint="eastAsia" w:ascii="宋体" w:hAnsi="宋体" w:eastAsia="宋体" w:cs="宋体"/>
          <w:b/>
          <w:szCs w:val="21"/>
        </w:rPr>
      </w:pPr>
      <w:r>
        <w:rPr>
          <w:rFonts w:hint="eastAsia" w:ascii="宋体" w:hAnsi="宋体" w:eastAsia="宋体" w:cs="宋体"/>
          <w:b/>
          <w:bCs/>
          <w:szCs w:val="21"/>
        </w:rPr>
        <w:br w:type="page"/>
      </w:r>
      <w:bookmarkStart w:id="907" w:name="_Toc19337"/>
      <w:r>
        <w:rPr>
          <w:rFonts w:hint="eastAsia" w:ascii="宋体" w:hAnsi="宋体" w:eastAsia="宋体" w:cs="宋体"/>
          <w:b/>
          <w:bCs/>
          <w:szCs w:val="21"/>
          <w:lang w:val="en-US" w:eastAsia="zh-CN"/>
        </w:rPr>
        <w:t>3.2</w:t>
      </w:r>
      <w:r>
        <w:rPr>
          <w:rFonts w:hint="eastAsia" w:ascii="宋体" w:hAnsi="宋体" w:eastAsia="宋体" w:cs="宋体"/>
          <w:b/>
          <w:bCs/>
          <w:szCs w:val="21"/>
        </w:rPr>
        <w:t>重要技术条款</w:t>
      </w:r>
      <w:r>
        <w:rPr>
          <w:rFonts w:hint="eastAsia" w:ascii="宋体" w:hAnsi="宋体" w:cs="宋体"/>
          <w:b/>
          <w:bCs/>
          <w:szCs w:val="21"/>
          <w:lang w:eastAsia="zh-CN"/>
        </w:rPr>
        <w:t>（</w:t>
      </w:r>
      <w:r>
        <w:rPr>
          <w:rFonts w:hint="eastAsia" w:ascii="宋体" w:hAnsi="宋体" w:eastAsia="宋体" w:cs="宋体"/>
          <w:b/>
          <w:bCs/>
          <w:szCs w:val="21"/>
        </w:rPr>
        <w:t>“▲”项</w:t>
      </w:r>
      <w:r>
        <w:rPr>
          <w:rFonts w:hint="eastAsia" w:ascii="宋体" w:hAnsi="宋体" w:cs="宋体"/>
          <w:b/>
          <w:bCs/>
          <w:szCs w:val="21"/>
          <w:lang w:eastAsia="zh-CN"/>
        </w:rPr>
        <w:t>）</w:t>
      </w:r>
      <w:r>
        <w:rPr>
          <w:rFonts w:hint="eastAsia" w:ascii="宋体" w:hAnsi="宋体" w:eastAsia="宋体" w:cs="宋体"/>
          <w:b/>
          <w:bCs/>
          <w:szCs w:val="21"/>
        </w:rPr>
        <w:t>响应表</w:t>
      </w:r>
      <w:bookmarkEnd w:id="907"/>
    </w:p>
    <w:p>
      <w:pPr>
        <w:spacing w:line="360" w:lineRule="auto"/>
        <w:rPr>
          <w:rFonts w:hint="eastAsia" w:ascii="宋体" w:hAnsi="宋体" w:eastAsia="宋体" w:cs="宋体"/>
          <w:b/>
          <w:szCs w:val="21"/>
        </w:rPr>
      </w:pPr>
    </w:p>
    <w:p>
      <w:pPr>
        <w:spacing w:line="360" w:lineRule="auto"/>
        <w:rPr>
          <w:rFonts w:hint="eastAsia" w:ascii="宋体" w:hAnsi="宋体" w:eastAsia="宋体" w:cs="宋体"/>
          <w:b/>
          <w:szCs w:val="21"/>
        </w:rPr>
      </w:pPr>
      <w:r>
        <w:rPr>
          <w:rFonts w:hint="eastAsia" w:ascii="宋体" w:hAnsi="宋体" w:eastAsia="宋体" w:cs="宋体"/>
          <w:b/>
          <w:szCs w:val="21"/>
        </w:rPr>
        <w:t>项目名称：</w:t>
      </w:r>
      <w:r>
        <w:rPr>
          <w:rFonts w:hint="eastAsia" w:ascii="宋体" w:hAnsi="宋体" w:eastAsia="宋体" w:cs="宋体"/>
          <w:b/>
          <w:szCs w:val="21"/>
          <w:u w:val="single"/>
        </w:rPr>
        <w:t xml:space="preserve">               </w:t>
      </w:r>
      <w:r>
        <w:rPr>
          <w:rFonts w:hint="eastAsia" w:ascii="宋体" w:hAnsi="宋体" w:eastAsia="宋体" w:cs="宋体"/>
          <w:b/>
          <w:szCs w:val="21"/>
        </w:rPr>
        <w:t xml:space="preserve">       项目编号：</w:t>
      </w:r>
      <w:r>
        <w:rPr>
          <w:rFonts w:hint="eastAsia" w:ascii="宋体" w:hAnsi="宋体" w:eastAsia="宋体" w:cs="宋体"/>
          <w:b/>
          <w:szCs w:val="21"/>
          <w:u w:val="single"/>
        </w:rPr>
        <w:t xml:space="preserve">                 </w:t>
      </w:r>
      <w:r>
        <w:rPr>
          <w:rFonts w:hint="eastAsia" w:ascii="宋体" w:hAnsi="宋体" w:eastAsia="宋体" w:cs="宋体"/>
          <w:b/>
          <w:szCs w:val="21"/>
        </w:rPr>
        <w:t xml:space="preserve"> </w:t>
      </w:r>
    </w:p>
    <w:tbl>
      <w:tblPr>
        <w:tblStyle w:val="70"/>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102"/>
        <w:gridCol w:w="2821"/>
        <w:gridCol w:w="189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2102"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采购规格/要求</w:t>
            </w:r>
          </w:p>
        </w:tc>
        <w:tc>
          <w:tcPr>
            <w:tcW w:w="2821"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供应商响应描述</w:t>
            </w:r>
          </w:p>
        </w:tc>
        <w:tc>
          <w:tcPr>
            <w:tcW w:w="1890"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偏离</w:t>
            </w:r>
          </w:p>
        </w:tc>
        <w:tc>
          <w:tcPr>
            <w:tcW w:w="1479"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1</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2</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3</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4</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rPr>
                <w:rFonts w:hint="eastAsia" w:ascii="宋体" w:hAnsi="宋体" w:eastAsia="宋体" w:cs="宋体"/>
                <w:szCs w:val="21"/>
              </w:rPr>
            </w:pPr>
          </w:p>
        </w:tc>
      </w:tr>
    </w:tbl>
    <w:p>
      <w:pPr>
        <w:rPr>
          <w:rFonts w:hint="eastAsia" w:ascii="宋体" w:hAnsi="宋体" w:eastAsia="宋体" w:cs="宋体"/>
          <w:szCs w:val="21"/>
        </w:rPr>
      </w:pPr>
    </w:p>
    <w:p>
      <w:pPr>
        <w:spacing w:line="480" w:lineRule="exact"/>
        <w:rPr>
          <w:rFonts w:hint="eastAsia" w:ascii="宋体" w:hAnsi="宋体" w:eastAsia="宋体" w:cs="宋体"/>
          <w:szCs w:val="21"/>
        </w:rPr>
      </w:pPr>
      <w:r>
        <w:rPr>
          <w:rFonts w:hint="eastAsia" w:ascii="宋体" w:hAnsi="宋体" w:eastAsia="宋体" w:cs="宋体"/>
          <w:szCs w:val="21"/>
        </w:rPr>
        <w:t>说明：</w:t>
      </w:r>
    </w:p>
    <w:p>
      <w:pPr>
        <w:numPr>
          <w:ilvl w:val="0"/>
          <w:numId w:val="8"/>
        </w:num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根据用户需求书“</w:t>
      </w:r>
      <w:r>
        <w:rPr>
          <w:rFonts w:hint="eastAsia" w:ascii="宋体" w:hAnsi="宋体" w:eastAsia="宋体" w:cs="宋体"/>
          <w:b/>
          <w:bCs/>
          <w:szCs w:val="21"/>
        </w:rPr>
        <w:t>▲</w:t>
      </w:r>
      <w:r>
        <w:rPr>
          <w:rFonts w:hint="eastAsia" w:ascii="宋体" w:hAnsi="宋体" w:eastAsia="宋体" w:cs="宋体"/>
          <w:szCs w:val="21"/>
        </w:rPr>
        <w:t>”条款要求须逐条响应，未响应条款视为“负偏离”。对“偏离”一栏，填写“无偏离、正偏离、负偏离”。其中正偏离是指所提供货物、服务优于磋商文件所要求的；负偏离是指所提供货物、服务低于磋商文件所要求的。</w:t>
      </w:r>
    </w:p>
    <w:p>
      <w:pPr>
        <w:pStyle w:val="28"/>
        <w:rPr>
          <w:rFonts w:hint="eastAsia" w:ascii="宋体" w:hAnsi="宋体" w:eastAsia="宋体" w:cs="宋体"/>
          <w:spacing w:val="0"/>
          <w:kern w:val="0"/>
          <w:sz w:val="21"/>
          <w:szCs w:val="21"/>
        </w:rPr>
      </w:pPr>
      <w:r>
        <w:rPr>
          <w:rFonts w:hint="eastAsia" w:ascii="宋体" w:hAnsi="宋体" w:eastAsia="宋体" w:cs="宋体"/>
          <w:spacing w:val="0"/>
          <w:kern w:val="0"/>
          <w:sz w:val="21"/>
          <w:szCs w:val="21"/>
        </w:rPr>
        <w:t>2、用户需求书中打“▲”号条款为重要条款，供应商如有任何一条负偏离或未响应则导致重大扣分，请供应商特别注意。</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3、如本表格式内容不能满足需要，供应商可根据本表格格式自行划表填写，但必须体现以上内容。</w:t>
      </w:r>
    </w:p>
    <w:p>
      <w:pPr>
        <w:spacing w:line="360" w:lineRule="auto"/>
        <w:ind w:left="-78" w:leftChars="-37" w:right="-80" w:rightChars="-38"/>
        <w:rPr>
          <w:rFonts w:hint="eastAsia" w:ascii="宋体" w:hAnsi="宋体" w:eastAsia="宋体" w:cs="宋体"/>
          <w:b/>
          <w:bCs/>
          <w:szCs w:val="21"/>
        </w:rPr>
      </w:pPr>
      <w:r>
        <w:rPr>
          <w:rFonts w:hint="eastAsia" w:ascii="宋体" w:hAnsi="宋体" w:eastAsia="宋体" w:cs="宋体"/>
          <w:szCs w:val="21"/>
        </w:rPr>
        <w:t>4、当磋商文件中未设置“</w:t>
      </w:r>
      <w:r>
        <w:rPr>
          <w:rFonts w:hint="eastAsia" w:ascii="宋体" w:hAnsi="宋体" w:eastAsia="宋体" w:cs="宋体"/>
          <w:b/>
          <w:bCs/>
          <w:szCs w:val="21"/>
        </w:rPr>
        <w:t>▲</w:t>
      </w:r>
      <w:r>
        <w:rPr>
          <w:rFonts w:hint="eastAsia" w:ascii="宋体" w:hAnsi="宋体" w:eastAsia="宋体" w:cs="宋体"/>
          <w:szCs w:val="21"/>
        </w:rPr>
        <w:t>”项技术条款时，应在此表中直接填写：</w:t>
      </w:r>
      <w:r>
        <w:rPr>
          <w:rFonts w:hint="eastAsia" w:ascii="宋体" w:hAnsi="宋体" w:eastAsia="宋体" w:cs="宋体"/>
          <w:b/>
          <w:bCs/>
          <w:szCs w:val="21"/>
        </w:rPr>
        <w:t>本项目未设置“▲”项技术条款。</w:t>
      </w:r>
    </w:p>
    <w:p>
      <w:pPr>
        <w:pStyle w:val="18"/>
        <w:spacing w:line="360" w:lineRule="auto"/>
        <w:ind w:firstLine="0"/>
        <w:rPr>
          <w:rFonts w:hint="eastAsia" w:ascii="宋体" w:hAnsi="宋体" w:eastAsia="宋体" w:cs="宋体"/>
          <w:sz w:val="21"/>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hint="eastAsia" w:ascii="宋体" w:hAnsi="宋体" w:eastAsia="宋体" w:cs="宋体"/>
          <w:szCs w:val="21"/>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pStyle w:val="28"/>
        <w:spacing w:line="360" w:lineRule="auto"/>
        <w:rPr>
          <w:rFonts w:hint="eastAsia" w:ascii="宋体" w:hAnsi="宋体" w:eastAsia="宋体" w:cs="宋体"/>
          <w:spacing w:val="0"/>
          <w:kern w:val="0"/>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adjustRightInd w:val="0"/>
        <w:snapToGrid w:val="0"/>
        <w:spacing w:line="360" w:lineRule="auto"/>
        <w:jc w:val="right"/>
        <w:rPr>
          <w:rFonts w:hint="eastAsia" w:ascii="宋体" w:hAnsi="宋体" w:eastAsia="宋体" w:cs="宋体"/>
          <w:szCs w:val="21"/>
          <w:u w:val="single"/>
        </w:rPr>
      </w:pPr>
    </w:p>
    <w:p>
      <w:pPr>
        <w:spacing w:line="360" w:lineRule="auto"/>
        <w:jc w:val="both"/>
        <w:outlineLvl w:val="2"/>
        <w:rPr>
          <w:rFonts w:hint="eastAsia" w:ascii="宋体" w:hAnsi="宋体" w:eastAsia="宋体" w:cs="宋体"/>
          <w:b/>
          <w:bCs/>
          <w:szCs w:val="21"/>
          <w:lang w:val="en-US" w:eastAsia="zh-CN"/>
        </w:rPr>
      </w:pPr>
      <w:r>
        <w:rPr>
          <w:rFonts w:hint="eastAsia" w:ascii="宋体" w:hAnsi="宋体" w:eastAsia="宋体" w:cs="宋体"/>
          <w:b/>
          <w:bCs/>
          <w:szCs w:val="21"/>
        </w:rPr>
        <w:br w:type="page"/>
      </w:r>
      <w:bookmarkStart w:id="908" w:name="_Toc19010"/>
      <w:r>
        <w:rPr>
          <w:rFonts w:hint="eastAsia" w:ascii="宋体" w:hAnsi="宋体" w:eastAsia="宋体" w:cs="宋体"/>
          <w:b/>
          <w:bCs/>
          <w:szCs w:val="21"/>
          <w:lang w:val="en-US" w:eastAsia="zh-CN"/>
        </w:rPr>
        <w:t>3.3《技术和服务要求响应表》</w:t>
      </w:r>
      <w:bookmarkEnd w:id="908"/>
    </w:p>
    <w:p>
      <w:pPr>
        <w:pStyle w:val="2"/>
        <w:rPr>
          <w:rFonts w:hint="eastAsia"/>
          <w:lang w:val="en-US" w:eastAsia="zh-CN"/>
        </w:rPr>
      </w:pPr>
    </w:p>
    <w:p>
      <w:pPr>
        <w:spacing w:line="360" w:lineRule="auto"/>
        <w:rPr>
          <w:rFonts w:hint="eastAsia" w:ascii="宋体" w:hAnsi="宋体" w:eastAsia="宋体" w:cs="宋体"/>
          <w:b/>
          <w:szCs w:val="21"/>
        </w:rPr>
      </w:pPr>
      <w:r>
        <w:rPr>
          <w:rFonts w:hint="eastAsia" w:ascii="宋体" w:hAnsi="宋体" w:eastAsia="宋体" w:cs="宋体"/>
          <w:b/>
          <w:szCs w:val="21"/>
        </w:rPr>
        <w:t>项目名称：</w:t>
      </w:r>
      <w:r>
        <w:rPr>
          <w:rFonts w:hint="eastAsia" w:ascii="宋体" w:hAnsi="宋体" w:eastAsia="宋体" w:cs="宋体"/>
          <w:b/>
          <w:szCs w:val="21"/>
          <w:u w:val="single"/>
        </w:rPr>
        <w:t xml:space="preserve">               </w:t>
      </w:r>
      <w:r>
        <w:rPr>
          <w:rFonts w:hint="eastAsia" w:ascii="宋体" w:hAnsi="宋体" w:eastAsia="宋体" w:cs="宋体"/>
          <w:b/>
          <w:szCs w:val="21"/>
        </w:rPr>
        <w:t xml:space="preserve">       项目编号：</w:t>
      </w:r>
      <w:r>
        <w:rPr>
          <w:rFonts w:hint="eastAsia" w:ascii="宋体" w:hAnsi="宋体" w:eastAsia="宋体" w:cs="宋体"/>
          <w:b/>
          <w:szCs w:val="21"/>
          <w:u w:val="single"/>
        </w:rPr>
        <w:t xml:space="preserve">                 </w:t>
      </w:r>
      <w:r>
        <w:rPr>
          <w:rFonts w:hint="eastAsia" w:ascii="宋体" w:hAnsi="宋体" w:eastAsia="宋体" w:cs="宋体"/>
          <w:b/>
          <w:szCs w:val="21"/>
        </w:rPr>
        <w:t xml:space="preserve"> </w:t>
      </w:r>
    </w:p>
    <w:tbl>
      <w:tblPr>
        <w:tblStyle w:val="70"/>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102"/>
        <w:gridCol w:w="2821"/>
        <w:gridCol w:w="189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2102"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采购规格/要求</w:t>
            </w:r>
          </w:p>
        </w:tc>
        <w:tc>
          <w:tcPr>
            <w:tcW w:w="2821"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供应商响应描述</w:t>
            </w:r>
          </w:p>
        </w:tc>
        <w:tc>
          <w:tcPr>
            <w:tcW w:w="1890"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偏离</w:t>
            </w:r>
          </w:p>
        </w:tc>
        <w:tc>
          <w:tcPr>
            <w:tcW w:w="1479" w:type="dxa"/>
            <w:noWrap w:val="0"/>
            <w:vAlign w:val="center"/>
          </w:tcPr>
          <w:p>
            <w:pPr>
              <w:jc w:val="center"/>
              <w:rPr>
                <w:rFonts w:hint="eastAsia" w:ascii="宋体" w:hAnsi="宋体" w:eastAsia="宋体" w:cs="宋体"/>
                <w:b/>
                <w:szCs w:val="21"/>
              </w:rPr>
            </w:pPr>
            <w:r>
              <w:rPr>
                <w:rFonts w:hint="eastAsia" w:ascii="宋体" w:hAnsi="宋体" w:eastAsia="宋体" w:cs="宋体"/>
                <w:b/>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1</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2</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3</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4</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jc w:val="center"/>
              <w:rPr>
                <w:rFonts w:hint="eastAsia" w:ascii="宋体" w:hAnsi="宋体" w:eastAsia="宋体" w:cs="宋体"/>
                <w:szCs w:val="21"/>
              </w:rPr>
            </w:pPr>
            <w:r>
              <w:rPr>
                <w:rFonts w:hint="eastAsia" w:ascii="宋体" w:hAnsi="宋体" w:eastAsia="宋体" w:cs="宋体"/>
                <w:szCs w:val="21"/>
              </w:rPr>
              <w:t>见响应文件</w:t>
            </w:r>
          </w:p>
          <w:p>
            <w:pPr>
              <w:rPr>
                <w:rFonts w:hint="eastAsia" w:ascii="宋体" w:hAnsi="宋体" w:eastAsia="宋体" w:cs="宋体"/>
                <w:szCs w:val="21"/>
              </w:rPr>
            </w:pPr>
            <w:r>
              <w:rPr>
                <w:rFonts w:hint="eastAsia" w:ascii="宋体" w:hAnsi="宋体" w:eastAsia="宋体" w:cs="宋体"/>
                <w:szCs w:val="21"/>
              </w:rPr>
              <w:t>第</w:t>
            </w:r>
            <w:r>
              <w:rPr>
                <w:rFonts w:hint="eastAsia" w:ascii="宋体" w:hAnsi="宋体" w:cs="宋体"/>
                <w:szCs w:val="21"/>
                <w:lang w:eastAsia="zh-CN"/>
              </w:rPr>
              <w:t>（</w:t>
            </w:r>
            <w:r>
              <w:rPr>
                <w:rFonts w:hint="eastAsia" w:ascii="宋体" w:hAnsi="宋体" w:eastAsia="宋体" w:cs="宋体"/>
                <w:szCs w:val="21"/>
              </w:rPr>
              <w:t xml:space="preserve">   </w:t>
            </w:r>
            <w:r>
              <w:rPr>
                <w:rFonts w:hint="eastAsia" w:ascii="宋体" w:hAnsi="宋体" w:cs="宋体"/>
                <w:szCs w:val="21"/>
                <w:lang w:eastAsia="zh-CN"/>
              </w:rPr>
              <w:t>）</w:t>
            </w:r>
            <w:r>
              <w:rPr>
                <w:rFonts w:hint="eastAsia" w:ascii="宋体" w:hAnsi="宋体" w:eastAsia="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1" w:type="dxa"/>
            <w:noWrap w:val="0"/>
            <w:vAlign w:val="top"/>
          </w:tcPr>
          <w:p>
            <w:pPr>
              <w:jc w:val="center"/>
              <w:rPr>
                <w:rFonts w:hint="eastAsia" w:ascii="宋体" w:hAnsi="宋体" w:eastAsia="宋体" w:cs="宋体"/>
                <w:szCs w:val="21"/>
              </w:rPr>
            </w:pPr>
            <w:r>
              <w:rPr>
                <w:rFonts w:hint="eastAsia" w:ascii="宋体" w:hAnsi="宋体" w:eastAsia="宋体" w:cs="宋体"/>
                <w:szCs w:val="21"/>
              </w:rPr>
              <w:t>…</w:t>
            </w:r>
          </w:p>
        </w:tc>
        <w:tc>
          <w:tcPr>
            <w:tcW w:w="2102" w:type="dxa"/>
            <w:noWrap w:val="0"/>
            <w:vAlign w:val="top"/>
          </w:tcPr>
          <w:p>
            <w:pPr>
              <w:jc w:val="center"/>
              <w:rPr>
                <w:rFonts w:hint="eastAsia" w:ascii="宋体" w:hAnsi="宋体" w:eastAsia="宋体" w:cs="宋体"/>
                <w:szCs w:val="21"/>
              </w:rPr>
            </w:pPr>
          </w:p>
        </w:tc>
        <w:tc>
          <w:tcPr>
            <w:tcW w:w="2821" w:type="dxa"/>
            <w:noWrap w:val="0"/>
            <w:vAlign w:val="top"/>
          </w:tcPr>
          <w:p>
            <w:pPr>
              <w:rPr>
                <w:rFonts w:hint="eastAsia" w:ascii="宋体" w:hAnsi="宋体" w:eastAsia="宋体" w:cs="宋体"/>
                <w:szCs w:val="21"/>
              </w:rPr>
            </w:pPr>
          </w:p>
        </w:tc>
        <w:tc>
          <w:tcPr>
            <w:tcW w:w="1890" w:type="dxa"/>
            <w:noWrap w:val="0"/>
            <w:vAlign w:val="top"/>
          </w:tcPr>
          <w:p>
            <w:pPr>
              <w:rPr>
                <w:rFonts w:hint="eastAsia" w:ascii="宋体" w:hAnsi="宋体" w:eastAsia="宋体" w:cs="宋体"/>
                <w:szCs w:val="21"/>
              </w:rPr>
            </w:pPr>
          </w:p>
        </w:tc>
        <w:tc>
          <w:tcPr>
            <w:tcW w:w="1479" w:type="dxa"/>
            <w:noWrap w:val="0"/>
            <w:vAlign w:val="top"/>
          </w:tcPr>
          <w:p>
            <w:pPr>
              <w:rPr>
                <w:rFonts w:hint="eastAsia" w:ascii="宋体" w:hAnsi="宋体" w:eastAsia="宋体" w:cs="宋体"/>
                <w:szCs w:val="21"/>
              </w:rPr>
            </w:pPr>
          </w:p>
        </w:tc>
      </w:tr>
    </w:tbl>
    <w:p>
      <w:pPr>
        <w:pStyle w:val="2"/>
        <w:rPr>
          <w:rFonts w:hint="eastAsia" w:ascii="宋体" w:hAnsi="宋体" w:cs="宋体"/>
          <w:b/>
          <w:bCs/>
          <w:szCs w:val="21"/>
          <w:lang w:val="en-US" w:eastAsia="zh-CN"/>
        </w:rPr>
      </w:pPr>
    </w:p>
    <w:p>
      <w:pPr>
        <w:spacing w:line="480" w:lineRule="exact"/>
        <w:rPr>
          <w:rFonts w:hint="eastAsia" w:ascii="宋体" w:hAnsi="宋体" w:eastAsia="宋体" w:cs="宋体"/>
          <w:szCs w:val="21"/>
        </w:rPr>
      </w:pPr>
      <w:r>
        <w:rPr>
          <w:rFonts w:hint="eastAsia" w:ascii="宋体" w:hAnsi="宋体" w:eastAsia="宋体" w:cs="宋体"/>
          <w:szCs w:val="21"/>
        </w:rPr>
        <w:t>说明：</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1、根据用户需求书</w:t>
      </w:r>
      <w:r>
        <w:rPr>
          <w:rFonts w:hint="eastAsia" w:ascii="宋体" w:hAnsi="宋体"/>
          <w:lang w:eastAsia="zh-CN"/>
        </w:rPr>
        <w:t>（</w:t>
      </w:r>
      <w:r>
        <w:rPr>
          <w:rFonts w:hint="eastAsia" w:ascii="宋体" w:hAnsi="宋体" w:eastAsia="宋体"/>
        </w:rPr>
        <w:t>非</w:t>
      </w:r>
      <w:r>
        <w:rPr>
          <w:rFonts w:ascii="宋体" w:hAnsi="宋体" w:eastAsia="宋体"/>
        </w:rPr>
        <w:t>“★、▲”参</w:t>
      </w:r>
      <w:r>
        <w:rPr>
          <w:rFonts w:hint="eastAsia" w:ascii="宋体" w:hAnsi="宋体" w:eastAsia="宋体"/>
        </w:rPr>
        <w:t>数</w:t>
      </w:r>
      <w:r>
        <w:rPr>
          <w:rFonts w:hint="eastAsia" w:ascii="宋体" w:hAnsi="宋体"/>
          <w:lang w:eastAsia="zh-CN"/>
        </w:rPr>
        <w:t>）</w:t>
      </w:r>
      <w:r>
        <w:rPr>
          <w:rFonts w:hint="eastAsia" w:ascii="宋体" w:hAnsi="宋体" w:eastAsia="宋体" w:cs="宋体"/>
          <w:szCs w:val="21"/>
        </w:rPr>
        <w:t>要求须逐条响应，未响应条款视为“负偏离”。对“偏离”一栏，填写“无偏离、正偏离、负偏离”。其中正偏离是指所提供货物、服务优于磋商文件所要求的；负偏离是指所提供货物、服务低于磋商文件所要求的。</w:t>
      </w:r>
    </w:p>
    <w:p>
      <w:pPr>
        <w:spacing w:line="360" w:lineRule="auto"/>
        <w:ind w:left="-78" w:leftChars="-37" w:right="-80" w:rightChars="-38"/>
        <w:rPr>
          <w:rFonts w:hint="eastAsia" w:ascii="宋体" w:hAnsi="宋体" w:eastAsia="宋体" w:cs="宋体"/>
          <w:szCs w:val="21"/>
        </w:rPr>
      </w:pPr>
      <w:r>
        <w:rPr>
          <w:rFonts w:hint="eastAsia" w:ascii="宋体" w:hAnsi="宋体" w:eastAsia="宋体" w:cs="宋体"/>
          <w:szCs w:val="21"/>
        </w:rPr>
        <w:t>2、如本表格式内容不能满足需要，供应商可根据本表格格式自行划表填写，但必须体现以上内容。</w:t>
      </w:r>
    </w:p>
    <w:p>
      <w:pPr>
        <w:pStyle w:val="2"/>
        <w:rPr>
          <w:rFonts w:hint="eastAsia" w:ascii="宋体" w:hAnsi="宋体" w:cs="宋体"/>
          <w:b/>
          <w:bCs/>
          <w:szCs w:val="21"/>
          <w:lang w:val="en-US" w:eastAsia="zh-CN"/>
        </w:rPr>
      </w:pPr>
    </w:p>
    <w:p>
      <w:pPr>
        <w:pStyle w:val="2"/>
        <w:rPr>
          <w:rFonts w:hint="eastAsia" w:ascii="宋体" w:hAnsi="宋体" w:cs="宋体"/>
          <w:b/>
          <w:bCs/>
          <w:szCs w:val="21"/>
          <w:lang w:val="en-US" w:eastAsia="zh-CN"/>
        </w:rPr>
      </w:pPr>
    </w:p>
    <w:p>
      <w:pPr>
        <w:pStyle w:val="2"/>
        <w:rPr>
          <w:rFonts w:hint="eastAsia" w:ascii="宋体" w:hAnsi="宋体" w:cs="宋体"/>
          <w:b/>
          <w:bCs/>
          <w:szCs w:val="21"/>
          <w:lang w:val="en-US" w:eastAsia="zh-CN"/>
        </w:rPr>
      </w:pPr>
    </w:p>
    <w:p>
      <w:pPr>
        <w:pStyle w:val="2"/>
        <w:rPr>
          <w:rFonts w:hint="eastAsia" w:ascii="宋体" w:hAnsi="宋体" w:cs="宋体"/>
          <w:b/>
          <w:bCs/>
          <w:szCs w:val="21"/>
          <w:lang w:val="en-US" w:eastAsia="zh-CN"/>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pStyle w:val="2"/>
        <w:rPr>
          <w:rFonts w:hint="eastAsia" w:ascii="宋体" w:hAnsi="宋体" w:cs="宋体"/>
          <w:b/>
          <w:bCs/>
          <w:szCs w:val="21"/>
          <w:lang w:val="en-US" w:eastAsia="zh-CN"/>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rPr>
          <w:rFonts w:hint="eastAsia" w:ascii="宋体" w:hAnsi="宋体" w:eastAsia="宋体"/>
        </w:rPr>
      </w:pPr>
      <w:r>
        <w:rPr>
          <w:rFonts w:hint="eastAsia" w:ascii="宋体" w:hAnsi="宋体" w:eastAsia="宋体"/>
        </w:rPr>
        <w:br w:type="page"/>
      </w:r>
    </w:p>
    <w:p>
      <w:pPr>
        <w:spacing w:line="360" w:lineRule="auto"/>
        <w:jc w:val="both"/>
        <w:outlineLvl w:val="2"/>
        <w:rPr>
          <w:rFonts w:hint="eastAsia" w:ascii="宋体" w:hAnsi="宋体" w:eastAsia="宋体" w:cs="宋体"/>
          <w:b/>
          <w:sz w:val="28"/>
          <w:szCs w:val="28"/>
        </w:rPr>
      </w:pPr>
      <w:bookmarkStart w:id="909" w:name="_Toc15932"/>
      <w:r>
        <w:rPr>
          <w:rFonts w:hint="eastAsia" w:ascii="宋体" w:hAnsi="宋体" w:cs="宋体"/>
          <w:b/>
          <w:sz w:val="28"/>
          <w:szCs w:val="28"/>
          <w:lang w:val="en-US" w:eastAsia="zh-CN"/>
        </w:rPr>
        <w:t>3</w:t>
      </w:r>
      <w:r>
        <w:rPr>
          <w:rFonts w:hint="eastAsia" w:ascii="宋体" w:hAnsi="宋体" w:eastAsia="宋体" w:cs="宋体"/>
          <w:b/>
          <w:sz w:val="28"/>
          <w:szCs w:val="28"/>
        </w:rPr>
        <w:t>.</w:t>
      </w:r>
      <w:r>
        <w:rPr>
          <w:rFonts w:hint="eastAsia" w:ascii="宋体" w:hAnsi="宋体" w:cs="宋体"/>
          <w:b/>
          <w:sz w:val="28"/>
          <w:szCs w:val="28"/>
          <w:lang w:val="en-US" w:eastAsia="zh-CN"/>
        </w:rPr>
        <w:t>4</w:t>
      </w:r>
      <w:r>
        <w:rPr>
          <w:rFonts w:hint="eastAsia" w:ascii="宋体" w:hAnsi="宋体" w:eastAsia="宋体" w:cs="宋体"/>
          <w:b/>
          <w:sz w:val="28"/>
          <w:szCs w:val="28"/>
        </w:rPr>
        <w:t>技术方案</w:t>
      </w:r>
      <w:bookmarkEnd w:id="909"/>
    </w:p>
    <w:p>
      <w:pPr>
        <w:spacing w:line="400" w:lineRule="exact"/>
        <w:rPr>
          <w:rFonts w:hint="eastAsia" w:ascii="宋体" w:hAnsi="宋体" w:eastAsia="宋体" w:cs="宋体"/>
          <w:sz w:val="24"/>
          <w:szCs w:val="24"/>
        </w:rPr>
      </w:pPr>
    </w:p>
    <w:p>
      <w:pPr>
        <w:spacing w:line="400" w:lineRule="exact"/>
        <w:rPr>
          <w:rFonts w:hint="default" w:ascii="宋体" w:hAnsi="宋体" w:eastAsia="宋体" w:cs="宋体"/>
          <w:sz w:val="24"/>
          <w:szCs w:val="24"/>
          <w:u w:val="single"/>
          <w:lang w:val="en-US" w:eastAsia="zh-CN"/>
        </w:rPr>
      </w:pPr>
      <w:r>
        <w:rPr>
          <w:rFonts w:hint="eastAsia" w:ascii="宋体" w:hAnsi="宋体" w:cs="宋体"/>
          <w:sz w:val="24"/>
          <w:szCs w:val="24"/>
          <w:lang w:val="en-US" w:eastAsia="zh-CN"/>
        </w:rPr>
        <w:t>项目</w:t>
      </w:r>
      <w:r>
        <w:rPr>
          <w:rFonts w:hint="eastAsia" w:ascii="宋体" w:hAnsi="宋体" w:eastAsia="宋体" w:cs="宋体"/>
          <w:sz w:val="24"/>
          <w:szCs w:val="24"/>
        </w:rPr>
        <w:t>名称：</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rPr>
        <w:t>项目编号：</w:t>
      </w:r>
      <w:r>
        <w:rPr>
          <w:rFonts w:hint="eastAsia" w:ascii="宋体" w:hAnsi="宋体" w:eastAsia="宋体" w:cs="宋体"/>
          <w:sz w:val="24"/>
          <w:szCs w:val="24"/>
          <w:u w:val="single"/>
          <w:lang w:val="en-US" w:eastAsia="zh-CN"/>
        </w:rPr>
        <w:t xml:space="preserve">                    </w:t>
      </w:r>
    </w:p>
    <w:p>
      <w:pPr>
        <w:spacing w:line="500" w:lineRule="exact"/>
        <w:rPr>
          <w:rFonts w:hint="eastAsia" w:ascii="宋体" w:hAnsi="宋体" w:eastAsia="宋体" w:cs="宋体"/>
          <w:bCs/>
          <w:sz w:val="24"/>
          <w:szCs w:val="24"/>
        </w:rPr>
      </w:pPr>
    </w:p>
    <w:p>
      <w:pPr>
        <w:outlineLvl w:val="9"/>
        <w:rPr>
          <w:rFonts w:hint="eastAsia"/>
        </w:rPr>
      </w:pPr>
    </w:p>
    <w:p>
      <w:pPr>
        <w:spacing w:line="400" w:lineRule="exact"/>
        <w:rPr>
          <w:rFonts w:hint="eastAsia" w:ascii="宋体" w:hAnsi="宋体" w:eastAsia="宋体" w:cs="宋体"/>
          <w:sz w:val="24"/>
          <w:szCs w:val="24"/>
        </w:rPr>
      </w:pPr>
      <w:r>
        <w:rPr>
          <w:rFonts w:hint="eastAsia" w:ascii="宋体" w:hAnsi="宋体" w:eastAsia="宋体" w:cs="宋体"/>
          <w:bCs/>
          <w:sz w:val="24"/>
          <w:szCs w:val="24"/>
        </w:rPr>
        <w:t>备注：根据评分细则的技术部分要求提交相应资料。</w:t>
      </w: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spacing w:line="500" w:lineRule="exact"/>
        <w:rPr>
          <w:rFonts w:hint="eastAsia" w:ascii="宋体" w:hAnsi="宋体" w:eastAsia="宋体" w:cs="宋体"/>
          <w:bCs/>
          <w:sz w:val="24"/>
          <w:szCs w:val="24"/>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spacing w:line="360" w:lineRule="auto"/>
        <w:rPr>
          <w:rFonts w:hint="eastAsia" w:ascii="宋体" w:hAnsi="宋体" w:eastAsia="宋体" w:cs="宋体"/>
          <w:spacing w:val="4"/>
          <w:sz w:val="24"/>
          <w:szCs w:val="24"/>
          <w:u w:val="single"/>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rPr>
          <w:rFonts w:hint="eastAsia" w:ascii="宋体" w:hAnsi="宋体" w:eastAsia="宋体" w:cs="宋体"/>
          <w:spacing w:val="4"/>
          <w:sz w:val="24"/>
          <w:szCs w:val="24"/>
        </w:rPr>
      </w:pPr>
      <w:r>
        <w:rPr>
          <w:rFonts w:hint="eastAsia" w:ascii="宋体" w:hAnsi="宋体" w:eastAsia="宋体" w:cs="宋体"/>
          <w:b/>
          <w:sz w:val="32"/>
          <w:szCs w:val="32"/>
        </w:rPr>
        <w:br w:type="page"/>
      </w:r>
      <w:bookmarkEnd w:id="905"/>
      <w:bookmarkStart w:id="910" w:name="_Toc24205"/>
    </w:p>
    <w:p>
      <w:pPr>
        <w:spacing w:line="360" w:lineRule="auto"/>
        <w:rPr>
          <w:rFonts w:hint="eastAsia" w:ascii="宋体" w:hAnsi="宋体" w:eastAsia="宋体" w:cs="宋体"/>
          <w:spacing w:val="4"/>
          <w:sz w:val="24"/>
          <w:szCs w:val="24"/>
        </w:rPr>
      </w:pPr>
    </w:p>
    <w:p>
      <w:pPr>
        <w:spacing w:line="360" w:lineRule="auto"/>
        <w:jc w:val="center"/>
        <w:outlineLvl w:val="1"/>
        <w:rPr>
          <w:rFonts w:hint="eastAsia" w:ascii="宋体" w:hAnsi="宋体" w:eastAsia="宋体" w:cs="宋体"/>
          <w:b/>
          <w:sz w:val="32"/>
          <w:szCs w:val="32"/>
        </w:rPr>
      </w:pPr>
      <w:bookmarkStart w:id="911" w:name="_Toc10701"/>
      <w:r>
        <w:rPr>
          <w:rFonts w:hint="eastAsia" w:ascii="宋体" w:hAnsi="宋体" w:eastAsia="宋体" w:cs="宋体"/>
          <w:b/>
          <w:sz w:val="32"/>
          <w:szCs w:val="32"/>
          <w:lang w:val="en-US" w:eastAsia="zh-CN"/>
        </w:rPr>
        <w:t>四</w:t>
      </w:r>
      <w:r>
        <w:rPr>
          <w:rFonts w:hint="eastAsia" w:ascii="宋体" w:hAnsi="宋体" w:eastAsia="宋体" w:cs="宋体"/>
          <w:b/>
          <w:sz w:val="32"/>
          <w:szCs w:val="32"/>
        </w:rPr>
        <w:t>、</w:t>
      </w:r>
      <w:bookmarkEnd w:id="910"/>
      <w:r>
        <w:rPr>
          <w:rFonts w:hint="eastAsia" w:ascii="宋体" w:hAnsi="宋体" w:cs="宋体"/>
          <w:b/>
          <w:bCs/>
          <w:sz w:val="36"/>
          <w:szCs w:val="44"/>
        </w:rPr>
        <w:t>经济价格文件</w:t>
      </w:r>
      <w:bookmarkEnd w:id="911"/>
    </w:p>
    <w:p>
      <w:pPr>
        <w:pStyle w:val="68"/>
        <w:keepNext w:val="0"/>
        <w:keepLines w:val="0"/>
        <w:pageBreakBefore w:val="0"/>
        <w:widowControl w:val="0"/>
        <w:kinsoku/>
        <w:wordWrap/>
        <w:overflowPunct/>
        <w:topLinePunct w:val="0"/>
        <w:autoSpaceDE/>
        <w:autoSpaceDN/>
        <w:bidi w:val="0"/>
        <w:adjustRightInd/>
        <w:snapToGrid/>
        <w:spacing w:after="0" w:line="360" w:lineRule="auto"/>
        <w:ind w:left="1279" w:leftChars="0" w:hanging="1279" w:hangingChars="455"/>
        <w:jc w:val="left"/>
        <w:textAlignment w:val="auto"/>
        <w:outlineLvl w:val="2"/>
        <w:rPr>
          <w:rFonts w:hint="eastAsia" w:ascii="宋体" w:hAnsi="宋体" w:eastAsia="宋体" w:cs="宋体"/>
          <w:b/>
          <w:bCs/>
          <w:kern w:val="2"/>
          <w:sz w:val="28"/>
          <w:szCs w:val="28"/>
          <w:lang w:val="en-US" w:eastAsia="zh-CN" w:bidi="ar-SA"/>
        </w:rPr>
      </w:pPr>
      <w:bookmarkStart w:id="912" w:name="_Toc2249"/>
      <w:r>
        <w:rPr>
          <w:rFonts w:hint="eastAsia" w:ascii="宋体" w:hAnsi="宋体" w:eastAsia="宋体" w:cs="宋体"/>
          <w:b/>
          <w:bCs/>
          <w:kern w:val="2"/>
          <w:sz w:val="28"/>
          <w:szCs w:val="28"/>
          <w:lang w:val="en-US" w:eastAsia="zh-CN" w:bidi="ar-SA"/>
        </w:rPr>
        <w:t>4.1第一次报价一览表</w:t>
      </w:r>
      <w:bookmarkEnd w:id="912"/>
    </w:p>
    <w:p>
      <w:pPr>
        <w:pStyle w:val="68"/>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955" w:leftChars="0" w:hanging="955" w:hangingChars="455"/>
        <w:textAlignment w:val="auto"/>
        <w:rPr>
          <w:rFonts w:hint="default" w:ascii="宋体" w:hAnsi="宋体" w:eastAsia="宋体" w:cs="宋体"/>
          <w:szCs w:val="21"/>
          <w:lang w:val="en-US"/>
        </w:rPr>
      </w:pPr>
      <w:r>
        <w:rPr>
          <w:rFonts w:hint="eastAsia" w:ascii="宋体" w:hAnsi="宋体" w:eastAsia="宋体" w:cs="宋体"/>
          <w:szCs w:val="21"/>
        </w:rPr>
        <w:t>项目名称：</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rPr>
        <w:t>项目编号：</w:t>
      </w:r>
      <w:r>
        <w:rPr>
          <w:rFonts w:hint="eastAsia" w:ascii="宋体" w:hAnsi="宋体" w:eastAsia="宋体" w:cs="宋体"/>
          <w:szCs w:val="21"/>
          <w:u w:val="single"/>
          <w:lang w:val="en-US" w:eastAsia="zh-CN"/>
        </w:rPr>
        <w:t xml:space="preserve">                        </w:t>
      </w:r>
    </w:p>
    <w:tbl>
      <w:tblPr>
        <w:tblStyle w:val="70"/>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5"/>
        <w:gridCol w:w="294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pacing w:val="20"/>
                <w:kern w:val="2"/>
                <w:szCs w:val="21"/>
                <w:lang w:eastAsia="zh-CN"/>
              </w:rPr>
            </w:pPr>
            <w:r>
              <w:rPr>
                <w:rFonts w:hint="eastAsia" w:ascii="宋体" w:hAnsi="宋体" w:cs="宋体"/>
                <w:b/>
                <w:bCs/>
                <w:sz w:val="24"/>
              </w:rPr>
              <w:t>报价总价</w:t>
            </w:r>
            <w:r>
              <w:rPr>
                <w:rFonts w:hint="eastAsia" w:ascii="宋体" w:hAnsi="宋体" w:cs="宋体"/>
                <w:b/>
                <w:bCs/>
                <w:sz w:val="24"/>
                <w:lang w:eastAsia="zh-CN"/>
              </w:rPr>
              <w:t>（</w:t>
            </w:r>
            <w:r>
              <w:rPr>
                <w:rFonts w:hint="eastAsia" w:ascii="宋体" w:hAnsi="宋体" w:cs="宋体"/>
                <w:b/>
                <w:bCs/>
                <w:sz w:val="24"/>
              </w:rPr>
              <w:t>元</w:t>
            </w:r>
            <w:r>
              <w:rPr>
                <w:rFonts w:hint="eastAsia" w:ascii="宋体" w:hAnsi="宋体" w:cs="宋体"/>
                <w:b/>
                <w:bCs/>
                <w:sz w:val="24"/>
                <w:lang w:val="en-US" w:eastAsia="zh-CN"/>
              </w:rPr>
              <w:t>/</w:t>
            </w:r>
            <w:r>
              <w:rPr>
                <w:rFonts w:hint="eastAsia" w:ascii="宋体" w:hAnsi="宋体" w:cs="宋体"/>
                <w:b/>
                <w:bCs/>
                <w:sz w:val="24"/>
              </w:rPr>
              <w:t>人民币</w:t>
            </w:r>
            <w:r>
              <w:rPr>
                <w:rFonts w:hint="eastAsia" w:ascii="宋体" w:hAnsi="宋体" w:cs="宋体"/>
                <w:b/>
                <w:bCs/>
                <w:sz w:val="24"/>
                <w:lang w:eastAsia="zh-CN"/>
              </w:rPr>
              <w:t>）</w:t>
            </w:r>
          </w:p>
        </w:tc>
        <w:tc>
          <w:tcPr>
            <w:tcW w:w="2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rPr>
            </w:pPr>
            <w:r>
              <w:rPr>
                <w:rFonts w:hint="eastAsia" w:ascii="宋体" w:hAnsi="宋体" w:eastAsia="宋体" w:cs="宋体"/>
                <w:b/>
                <w:bCs/>
                <w:sz w:val="24"/>
              </w:rPr>
              <w:t>服务期限</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rPr>
            </w:pPr>
            <w:r>
              <w:rPr>
                <w:rFonts w:hint="eastAsia" w:ascii="宋体" w:hAnsi="宋体" w:eastAsia="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4935" w:type="dxa"/>
            <w:noWrap w:val="0"/>
            <w:vAlign w:val="center"/>
          </w:tcPr>
          <w:p>
            <w:pPr>
              <w:keepLines/>
              <w:widowControl/>
              <w:spacing w:line="360" w:lineRule="auto"/>
              <w:rPr>
                <w:rFonts w:hint="eastAsia" w:ascii="宋体" w:hAnsi="宋体" w:eastAsia="宋体" w:cs="宋体"/>
                <w:sz w:val="24"/>
              </w:rPr>
            </w:pPr>
            <w:r>
              <w:rPr>
                <w:rFonts w:hint="eastAsia" w:ascii="宋体" w:hAnsi="宋体" w:eastAsia="宋体" w:cs="宋体"/>
                <w:sz w:val="24"/>
              </w:rPr>
              <w:t>大写：人民币</w:t>
            </w:r>
          </w:p>
          <w:p>
            <w:pPr>
              <w:keepLines/>
              <w:widowControl/>
              <w:spacing w:line="360" w:lineRule="auto"/>
              <w:rPr>
                <w:rFonts w:hint="eastAsia" w:ascii="宋体" w:hAnsi="宋体" w:eastAsia="宋体" w:cs="宋体"/>
                <w:sz w:val="24"/>
              </w:rPr>
            </w:pPr>
          </w:p>
          <w:p>
            <w:pPr>
              <w:keepLines/>
              <w:widowControl/>
              <w:spacing w:line="360" w:lineRule="auto"/>
              <w:rPr>
                <w:rFonts w:hint="eastAsia" w:ascii="宋体" w:hAnsi="宋体" w:eastAsia="宋体" w:cs="宋体"/>
                <w:spacing w:val="20"/>
                <w:kern w:val="2"/>
                <w:szCs w:val="21"/>
              </w:rPr>
            </w:pPr>
            <w:r>
              <w:rPr>
                <w:rFonts w:hint="eastAsia" w:ascii="宋体" w:hAnsi="宋体" w:eastAsia="宋体" w:cs="宋体"/>
                <w:sz w:val="24"/>
              </w:rPr>
              <w:t>小写：¥</w:t>
            </w:r>
          </w:p>
        </w:tc>
        <w:tc>
          <w:tcPr>
            <w:tcW w:w="2943" w:type="dxa"/>
            <w:noWrap w:val="0"/>
            <w:vAlign w:val="center"/>
          </w:tcPr>
          <w:p>
            <w:pPr>
              <w:spacing w:after="160" w:line="360" w:lineRule="auto"/>
              <w:jc w:val="center"/>
              <w:rPr>
                <w:rFonts w:hint="eastAsia" w:ascii="宋体" w:hAnsi="宋体" w:eastAsia="宋体" w:cs="宋体"/>
                <w:spacing w:val="20"/>
                <w:kern w:val="2"/>
                <w:szCs w:val="21"/>
              </w:rPr>
            </w:pPr>
            <w:r>
              <w:rPr>
                <w:rFonts w:hint="eastAsia" w:ascii="宋体" w:hAnsi="宋体" w:eastAsia="宋体" w:cs="宋体"/>
                <w:sz w:val="24"/>
              </w:rPr>
              <w:t>按采购文件要求执行。</w:t>
            </w:r>
          </w:p>
        </w:tc>
        <w:tc>
          <w:tcPr>
            <w:tcW w:w="1013" w:type="dxa"/>
            <w:noWrap w:val="0"/>
            <w:vAlign w:val="center"/>
          </w:tcPr>
          <w:p>
            <w:pPr>
              <w:spacing w:after="160" w:line="360" w:lineRule="auto"/>
              <w:jc w:val="center"/>
              <w:rPr>
                <w:rFonts w:hint="eastAsia" w:ascii="宋体" w:hAnsi="宋体" w:eastAsia="宋体" w:cs="宋体"/>
                <w:spacing w:val="20"/>
                <w:kern w:val="2"/>
                <w:szCs w:val="21"/>
              </w:rPr>
            </w:pPr>
          </w:p>
        </w:tc>
      </w:tr>
    </w:tbl>
    <w:p>
      <w:pPr>
        <w:pStyle w:val="68"/>
        <w:ind w:firstLine="250"/>
        <w:rPr>
          <w:rFonts w:hint="eastAsia" w:ascii="宋体" w:hAnsi="宋体" w:eastAsia="宋体" w:cs="宋体"/>
          <w:szCs w:val="21"/>
        </w:rPr>
      </w:pPr>
    </w:p>
    <w:p>
      <w:pPr>
        <w:snapToGrid w:val="0"/>
        <w:spacing w:line="360" w:lineRule="auto"/>
        <w:rPr>
          <w:rFonts w:hint="eastAsia" w:ascii="宋体" w:hAnsi="宋体" w:eastAsia="宋体" w:cs="宋体"/>
          <w:szCs w:val="21"/>
        </w:rPr>
      </w:pPr>
      <w:r>
        <w:rPr>
          <w:rFonts w:hint="eastAsia" w:ascii="宋体" w:hAnsi="宋体" w:eastAsia="宋体" w:cs="宋体"/>
          <w:szCs w:val="21"/>
        </w:rPr>
        <w:t>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1、供应商不按以上要求报价的，作无效报价文件处理。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2、供应商须按要求填写所有信息，不得随意更改本表格式。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3、中文大写金额用汉字，如壹、贰、叁、肆、伍、陆、柒、捌、玖、拾、佰、仟、万、亿、元、角、分、零、整</w:t>
      </w:r>
      <w:r>
        <w:rPr>
          <w:rFonts w:hint="eastAsia" w:ascii="宋体" w:hAnsi="宋体" w:cs="宋体"/>
          <w:szCs w:val="21"/>
          <w:lang w:val="en-US" w:eastAsia="zh-CN"/>
        </w:rPr>
        <w:t>（</w:t>
      </w:r>
      <w:r>
        <w:rPr>
          <w:rFonts w:hint="eastAsia" w:ascii="宋体" w:hAnsi="宋体" w:eastAsia="宋体" w:cs="宋体"/>
          <w:szCs w:val="21"/>
          <w:lang w:val="en-US" w:eastAsia="zh-CN"/>
        </w:rPr>
        <w:t>正</w:t>
      </w:r>
      <w:r>
        <w:rPr>
          <w:rFonts w:hint="eastAsia" w:ascii="宋体" w:hAnsi="宋体" w:cs="宋体"/>
          <w:szCs w:val="21"/>
          <w:lang w:val="en-US" w:eastAsia="zh-CN"/>
        </w:rPr>
        <w:t>）</w:t>
      </w:r>
      <w:r>
        <w:rPr>
          <w:rFonts w:hint="eastAsia" w:ascii="宋体" w:hAnsi="宋体" w:eastAsia="宋体" w:cs="宋体"/>
          <w:szCs w:val="21"/>
          <w:lang w:val="en-US" w:eastAsia="zh-CN"/>
        </w:rPr>
        <w:t>等。</w:t>
      </w:r>
    </w:p>
    <w:p>
      <w:pPr>
        <w:spacing w:line="360" w:lineRule="auto"/>
        <w:ind w:firstLine="420" w:firstLineChars="200"/>
        <w:rPr>
          <w:rFonts w:hint="eastAsia"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lang w:eastAsia="zh-CN"/>
        </w:rPr>
        <w:t>、</w:t>
      </w:r>
      <w:r>
        <w:rPr>
          <w:rFonts w:hint="eastAsia" w:ascii="宋体" w:hAnsi="宋体" w:eastAsia="宋体" w:cs="宋体"/>
          <w:szCs w:val="21"/>
        </w:rPr>
        <w:t>此表是响应文件的必要文件，是响应文件的组成部分。</w:t>
      </w:r>
    </w:p>
    <w:p>
      <w:pPr>
        <w:spacing w:line="360" w:lineRule="auto"/>
        <w:rPr>
          <w:rFonts w:hint="eastAsia" w:ascii="宋体" w:hAnsi="宋体" w:eastAsia="宋体" w:cs="宋体"/>
          <w:b/>
          <w:szCs w:val="21"/>
        </w:rPr>
      </w:pPr>
    </w:p>
    <w:p>
      <w:pPr>
        <w:outlineLvl w:val="9"/>
        <w:rPr>
          <w:rFonts w:hint="eastAsia"/>
        </w:rPr>
      </w:pPr>
    </w:p>
    <w:p>
      <w:pPr>
        <w:adjustRightInd w:val="0"/>
        <w:snapToGrid w:val="0"/>
        <w:spacing w:line="30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adjustRightInd w:val="0"/>
        <w:snapToGrid w:val="0"/>
        <w:spacing w:line="360" w:lineRule="auto"/>
        <w:rPr>
          <w:rFonts w:ascii="宋体" w:hAnsi="宋体" w:cs="宋体"/>
          <w:sz w:val="24"/>
          <w:u w:val="single"/>
        </w:rPr>
      </w:pPr>
      <w:r>
        <w:rPr>
          <w:rFonts w:hint="eastAsia" w:ascii="宋体" w:hAnsi="宋体" w:cs="宋体"/>
          <w:sz w:val="24"/>
        </w:rPr>
        <w:t>供应商名称</w:t>
      </w:r>
      <w:r>
        <w:rPr>
          <w:rFonts w:hint="eastAsia" w:ascii="宋体" w:hAnsi="宋体" w:cs="宋体"/>
          <w:sz w:val="24"/>
          <w:lang w:eastAsia="zh-CN"/>
        </w:rPr>
        <w:t>（</w:t>
      </w:r>
      <w:r>
        <w:rPr>
          <w:rFonts w:hint="eastAsia" w:ascii="宋体" w:hAnsi="宋体" w:cs="宋体"/>
          <w:sz w:val="24"/>
        </w:rPr>
        <w:t>加盖公章</w:t>
      </w:r>
      <w:r>
        <w:rPr>
          <w:rFonts w:hint="eastAsia" w:ascii="宋体" w:hAnsi="宋体" w:cs="宋体"/>
          <w:sz w:val="24"/>
          <w:lang w:eastAsia="zh-CN"/>
        </w:rPr>
        <w:t>）</w:t>
      </w:r>
      <w:r>
        <w:rPr>
          <w:rFonts w:hint="eastAsia" w:ascii="宋体" w:hAnsi="宋体" w:cs="宋体"/>
          <w:sz w:val="24"/>
        </w:rPr>
        <w:t>：</w:t>
      </w:r>
      <w:r>
        <w:rPr>
          <w:rFonts w:hint="eastAsia" w:ascii="宋体" w:hAnsi="宋体" w:cs="宋体"/>
          <w:sz w:val="24"/>
          <w:u w:val="single"/>
        </w:rPr>
        <w:t xml:space="preserve">                        </w:t>
      </w:r>
    </w:p>
    <w:p>
      <w:pPr>
        <w:spacing w:line="520" w:lineRule="exact"/>
        <w:rPr>
          <w:rFonts w:hint="eastAsia" w:ascii="宋体" w:hAnsi="宋体" w:eastAsia="宋体" w:cs="宋体"/>
          <w:spacing w:val="4"/>
          <w:szCs w:val="21"/>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 xml:space="preserve"> 日</w:t>
      </w:r>
    </w:p>
    <w:p>
      <w:pPr>
        <w:widowControl w:val="0"/>
        <w:snapToGrid w:val="0"/>
        <w:spacing w:line="360" w:lineRule="auto"/>
        <w:jc w:val="left"/>
        <w:outlineLvl w:val="2"/>
        <w:rPr>
          <w:rFonts w:hint="eastAsia" w:ascii="宋体" w:hAnsi="宋体" w:eastAsia="宋体" w:cs="宋体"/>
          <w:b/>
          <w:bCs/>
          <w:kern w:val="2"/>
          <w:sz w:val="28"/>
          <w:szCs w:val="28"/>
          <w:lang w:val="en-US" w:eastAsia="zh-CN" w:bidi="ar-SA"/>
        </w:rPr>
      </w:pPr>
      <w:r>
        <w:rPr>
          <w:rFonts w:hint="eastAsia" w:ascii="宋体" w:hAnsi="宋体" w:eastAsia="宋体" w:cs="宋体"/>
          <w:b/>
          <w:sz w:val="24"/>
          <w:szCs w:val="24"/>
        </w:rPr>
        <w:br w:type="page"/>
      </w:r>
      <w:bookmarkStart w:id="913" w:name="_Toc24120"/>
      <w:r>
        <w:rPr>
          <w:rFonts w:hint="eastAsia" w:ascii="宋体" w:hAnsi="宋体" w:eastAsia="宋体" w:cs="宋体"/>
          <w:b/>
          <w:bCs/>
          <w:kern w:val="2"/>
          <w:sz w:val="28"/>
          <w:szCs w:val="28"/>
          <w:lang w:val="en-US" w:eastAsia="zh-CN" w:bidi="ar-SA"/>
        </w:rPr>
        <w:t>4.2分项报价表</w:t>
      </w:r>
      <w:bookmarkEnd w:id="913"/>
    </w:p>
    <w:p>
      <w:pPr>
        <w:rPr>
          <w:rFonts w:hint="eastAsia" w:ascii="宋体" w:hAnsi="宋体" w:eastAsia="宋体" w:cs="宋体"/>
        </w:rPr>
      </w:pPr>
    </w:p>
    <w:p>
      <w:pPr>
        <w:pStyle w:val="68"/>
        <w:ind w:left="1250" w:hanging="1050" w:hangingChars="500"/>
        <w:rPr>
          <w:rFonts w:hint="eastAsia" w:ascii="宋体" w:hAnsi="宋体" w:eastAsia="宋体" w:cs="宋体"/>
          <w:szCs w:val="21"/>
        </w:rPr>
      </w:pPr>
      <w:r>
        <w:rPr>
          <w:rFonts w:hint="eastAsia" w:ascii="宋体" w:hAnsi="宋体" w:eastAsia="宋体" w:cs="宋体"/>
          <w:szCs w:val="21"/>
        </w:rPr>
        <w:t>项目名称：</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pStyle w:val="68"/>
        <w:ind w:firstLine="0" w:firstLineChars="0"/>
        <w:rPr>
          <w:rFonts w:hint="eastAsia" w:ascii="宋体" w:hAnsi="宋体" w:eastAsia="宋体" w:cs="宋体"/>
          <w:szCs w:val="21"/>
        </w:rPr>
      </w:pPr>
      <w:r>
        <w:rPr>
          <w:rFonts w:hint="eastAsia" w:ascii="宋体" w:hAnsi="宋体" w:eastAsia="宋体" w:cs="宋体"/>
          <w:szCs w:val="21"/>
        </w:rPr>
        <w:t>项目编号：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 xml:space="preserve"> </w:t>
      </w:r>
    </w:p>
    <w:p>
      <w:pPr>
        <w:rPr>
          <w:rFonts w:hint="eastAsia" w:ascii="宋体" w:hAnsi="宋体" w:eastAsia="宋体" w:cs="宋体"/>
        </w:rPr>
      </w:pPr>
    </w:p>
    <w:p>
      <w:pPr>
        <w:pStyle w:val="28"/>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Cs w:val="21"/>
        </w:rPr>
      </w:pPr>
      <w:r>
        <w:rPr>
          <w:rFonts w:hint="eastAsia" w:ascii="宋体" w:hAnsi="宋体" w:eastAsia="宋体" w:cs="宋体"/>
          <w:szCs w:val="21"/>
        </w:rPr>
        <w:t>注：1、供应商根据自身实际情况制作分项报价表，格式不</w:t>
      </w:r>
      <w:r>
        <w:rPr>
          <w:rFonts w:hint="eastAsia" w:ascii="宋体" w:hAnsi="宋体" w:cs="宋体"/>
          <w:szCs w:val="21"/>
          <w:lang w:eastAsia="zh-CN"/>
        </w:rPr>
        <w:t>作</w:t>
      </w:r>
      <w:r>
        <w:rPr>
          <w:rFonts w:hint="eastAsia" w:ascii="宋体" w:hAnsi="宋体" w:eastAsia="宋体" w:cs="宋体"/>
          <w:szCs w:val="21"/>
        </w:rPr>
        <w:t>限定。</w:t>
      </w:r>
    </w:p>
    <w:p>
      <w:pPr>
        <w:ind w:firstLine="420" w:firstLineChars="200"/>
        <w:rPr>
          <w:rFonts w:hint="eastAsia" w:ascii="宋体" w:hAnsi="宋体" w:eastAsia="宋体" w:cs="宋体"/>
          <w:szCs w:val="21"/>
        </w:rPr>
      </w:pPr>
      <w:r>
        <w:rPr>
          <w:rFonts w:hint="eastAsia" w:ascii="宋体" w:hAnsi="宋体" w:eastAsia="宋体" w:cs="宋体"/>
          <w:szCs w:val="21"/>
        </w:rPr>
        <w:t>2、供应商不提供分项报价的，作无效报价文件处理。</w:t>
      </w:r>
    </w:p>
    <w:p>
      <w:pPr>
        <w:ind w:firstLine="420" w:firstLineChars="200"/>
        <w:rPr>
          <w:rFonts w:hint="eastAsia" w:ascii="宋体" w:hAnsi="宋体" w:eastAsia="宋体" w:cs="宋体"/>
          <w:szCs w:val="21"/>
        </w:rPr>
      </w:pPr>
      <w:r>
        <w:rPr>
          <w:rFonts w:hint="eastAsia" w:ascii="宋体" w:hAnsi="宋体" w:eastAsia="宋体" w:cs="宋体"/>
          <w:szCs w:val="21"/>
        </w:rPr>
        <w:t>3、总计应等于“第一次报价一览表”中的报价总价。</w:t>
      </w:r>
    </w:p>
    <w:p>
      <w:pPr>
        <w:ind w:firstLine="420" w:firstLineChars="200"/>
        <w:rPr>
          <w:rFonts w:hint="eastAsia" w:ascii="宋体" w:hAnsi="宋体" w:eastAsia="宋体" w:cs="宋体"/>
          <w:spacing w:val="4"/>
          <w:szCs w:val="21"/>
          <w:lang w:val="en-US" w:eastAsia="zh-CN"/>
        </w:rPr>
      </w:pPr>
      <w:r>
        <w:rPr>
          <w:rFonts w:hint="eastAsia" w:ascii="宋体" w:hAnsi="宋体" w:eastAsia="宋体" w:cs="宋体"/>
          <w:szCs w:val="21"/>
          <w:lang w:val="en-US" w:eastAsia="zh-CN"/>
        </w:rPr>
        <w:t>4、</w:t>
      </w:r>
      <w:r>
        <w:rPr>
          <w:rFonts w:hint="eastAsia" w:ascii="宋体" w:hAnsi="宋体" w:eastAsia="宋体" w:cs="宋体"/>
          <w:szCs w:val="21"/>
        </w:rPr>
        <w:t>报价的小数点后保留两位有效数。此表须附在正、副本的响应文件中。</w:t>
      </w:r>
    </w:p>
    <w:p>
      <w:pPr>
        <w:outlineLvl w:val="9"/>
        <w:rPr>
          <w:rFonts w:hint="eastAsia" w:ascii="宋体" w:hAnsi="宋体" w:eastAsia="宋体" w:cs="宋体"/>
          <w:spacing w:val="4"/>
          <w:szCs w:val="21"/>
        </w:rPr>
      </w:pPr>
    </w:p>
    <w:p>
      <w:pPr>
        <w:outlineLvl w:val="9"/>
        <w:rPr>
          <w:rFonts w:hint="eastAsia" w:ascii="宋体" w:hAnsi="宋体" w:eastAsia="宋体" w:cs="宋体"/>
          <w:spacing w:val="4"/>
          <w:szCs w:val="21"/>
          <w:lang w:val="en-US" w:eastAsia="zh-CN"/>
        </w:rPr>
      </w:pPr>
      <w:r>
        <w:rPr>
          <w:rFonts w:hint="eastAsia" w:ascii="宋体" w:hAnsi="宋体" w:eastAsia="宋体" w:cs="宋体"/>
          <w:spacing w:val="4"/>
          <w:szCs w:val="21"/>
          <w:lang w:val="en-US" w:eastAsia="zh-CN"/>
        </w:rPr>
        <w:t xml:space="preserve">   </w:t>
      </w:r>
    </w:p>
    <w:p>
      <w:pPr>
        <w:outlineLvl w:val="9"/>
        <w:rPr>
          <w:rFonts w:hint="eastAsia" w:ascii="宋体" w:hAnsi="宋体" w:eastAsia="宋体" w:cs="宋体"/>
          <w:spacing w:val="4"/>
          <w:szCs w:val="21"/>
          <w:lang w:val="en-US" w:eastAsia="zh-CN"/>
        </w:rPr>
      </w:pPr>
    </w:p>
    <w:p>
      <w:pPr>
        <w:outlineLvl w:val="9"/>
        <w:rPr>
          <w:rFonts w:hint="default"/>
          <w:lang w:val="en-US" w:eastAsia="zh-CN"/>
        </w:rPr>
      </w:pPr>
    </w:p>
    <w:p>
      <w:pPr>
        <w:outlineLvl w:val="9"/>
        <w:rPr>
          <w:rFonts w:hint="eastAsia"/>
        </w:rPr>
      </w:pPr>
    </w:p>
    <w:p>
      <w:pPr>
        <w:adjustRightInd w:val="0"/>
        <w:snapToGrid w:val="0"/>
        <w:spacing w:line="360" w:lineRule="auto"/>
        <w:rPr>
          <w:rFonts w:ascii="宋体" w:hAnsi="宋体" w:cs="宋体"/>
          <w:sz w:val="21"/>
          <w:szCs w:val="21"/>
        </w:rPr>
      </w:pPr>
      <w:r>
        <w:rPr>
          <w:rFonts w:hint="eastAsia" w:ascii="宋体" w:hAnsi="宋体" w:cs="宋体"/>
          <w:sz w:val="21"/>
          <w:szCs w:val="21"/>
        </w:rPr>
        <w:t>供应商代表签字：</w:t>
      </w:r>
      <w:r>
        <w:rPr>
          <w:rFonts w:hint="eastAsia" w:ascii="宋体" w:hAnsi="宋体" w:cs="宋体"/>
          <w:sz w:val="21"/>
          <w:szCs w:val="21"/>
          <w:u w:val="single"/>
        </w:rPr>
        <w:t xml:space="preserve">                   </w:t>
      </w:r>
    </w:p>
    <w:p>
      <w:pPr>
        <w:adjustRightInd w:val="0"/>
        <w:snapToGrid w:val="0"/>
        <w:spacing w:line="360" w:lineRule="auto"/>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lang w:eastAsia="zh-CN"/>
        </w:rPr>
        <w:t>（</w:t>
      </w:r>
      <w:r>
        <w:rPr>
          <w:rFonts w:hint="eastAsia" w:ascii="宋体" w:hAnsi="宋体" w:cs="宋体"/>
          <w:sz w:val="21"/>
          <w:szCs w:val="21"/>
        </w:rPr>
        <w:t>加盖公章</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u w:val="single"/>
        </w:rPr>
        <w:t xml:space="preserve">                        </w:t>
      </w:r>
    </w:p>
    <w:p>
      <w:pPr>
        <w:spacing w:line="360" w:lineRule="auto"/>
        <w:rPr>
          <w:rFonts w:hint="eastAsia" w:ascii="宋体" w:hAnsi="宋体" w:eastAsia="宋体" w:cs="宋体"/>
          <w:spacing w:val="4"/>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 xml:space="preserve"> 月</w:t>
      </w:r>
      <w:r>
        <w:rPr>
          <w:rFonts w:hint="eastAsia" w:ascii="宋体" w:hAnsi="宋体" w:cs="宋体"/>
          <w:sz w:val="21"/>
          <w:szCs w:val="21"/>
          <w:u w:val="single"/>
        </w:rPr>
        <w:t xml:space="preserve">    </w:t>
      </w:r>
      <w:r>
        <w:rPr>
          <w:rFonts w:hint="eastAsia" w:ascii="宋体" w:hAnsi="宋体" w:cs="宋体"/>
          <w:sz w:val="21"/>
          <w:szCs w:val="21"/>
        </w:rPr>
        <w:t xml:space="preserve"> 日</w:t>
      </w:r>
    </w:p>
    <w:p>
      <w:pPr>
        <w:pStyle w:val="28"/>
        <w:rPr>
          <w:rFonts w:hint="eastAsia"/>
        </w:rPr>
      </w:pPr>
    </w:p>
    <w:p>
      <w:pPr>
        <w:widowControl w:val="0"/>
        <w:snapToGrid w:val="0"/>
        <w:spacing w:line="360" w:lineRule="auto"/>
        <w:jc w:val="left"/>
        <w:outlineLvl w:val="2"/>
        <w:rPr>
          <w:rFonts w:hint="eastAsia" w:ascii="宋体" w:hAnsi="宋体" w:eastAsia="宋体" w:cs="宋体"/>
          <w:b/>
          <w:bCs/>
          <w:kern w:val="2"/>
          <w:sz w:val="28"/>
          <w:szCs w:val="28"/>
          <w:lang w:val="en-US" w:eastAsia="zh-CN" w:bidi="ar-SA"/>
        </w:rPr>
      </w:pPr>
      <w:r>
        <w:rPr>
          <w:rFonts w:hint="eastAsia" w:ascii="宋体" w:hAnsi="宋体" w:eastAsia="宋体" w:cs="宋体"/>
          <w:b/>
          <w:sz w:val="24"/>
          <w:szCs w:val="24"/>
        </w:rPr>
        <w:br w:type="page"/>
      </w:r>
      <w:bookmarkStart w:id="914" w:name="_Toc16500"/>
      <w:r>
        <w:rPr>
          <w:rFonts w:hint="eastAsia" w:ascii="宋体" w:hAnsi="宋体" w:eastAsia="宋体" w:cs="宋体"/>
          <w:b/>
          <w:bCs/>
          <w:kern w:val="2"/>
          <w:sz w:val="28"/>
          <w:szCs w:val="28"/>
          <w:lang w:val="en-US" w:eastAsia="zh-CN" w:bidi="ar-SA"/>
        </w:rPr>
        <w:t>4.3最终报价一览表</w:t>
      </w:r>
      <w:bookmarkEnd w:id="914"/>
    </w:p>
    <w:p>
      <w:pPr>
        <w:widowControl w:val="0"/>
        <w:snapToGrid w:val="0"/>
        <w:spacing w:line="360" w:lineRule="auto"/>
        <w:jc w:val="center"/>
        <w:rPr>
          <w:rFonts w:hint="eastAsia" w:ascii="宋体" w:hAnsi="宋体" w:eastAsia="宋体" w:cs="宋体"/>
        </w:rPr>
      </w:pPr>
    </w:p>
    <w:p>
      <w:pPr>
        <w:pStyle w:val="68"/>
        <w:ind w:left="972" w:leftChars="0" w:hanging="972" w:hangingChars="463"/>
        <w:rPr>
          <w:rFonts w:hint="default" w:ascii="宋体" w:hAnsi="宋体" w:eastAsia="宋体" w:cs="宋体"/>
          <w:szCs w:val="21"/>
          <w:lang w:val="en-US" w:eastAsia="zh-CN"/>
        </w:rPr>
      </w:pPr>
      <w:r>
        <w:rPr>
          <w:rFonts w:hint="eastAsia" w:ascii="宋体" w:hAnsi="宋体" w:eastAsia="宋体" w:cs="宋体"/>
          <w:szCs w:val="21"/>
        </w:rPr>
        <w:t>项目名称：</w:t>
      </w:r>
      <w:r>
        <w:rPr>
          <w:rFonts w:hint="eastAsia" w:ascii="宋体" w:hAnsi="宋体" w:eastAsia="宋体" w:cs="宋体"/>
          <w:szCs w:val="21"/>
          <w:u w:val="single"/>
          <w:lang w:val="en-US" w:eastAsia="zh-CN"/>
        </w:rPr>
        <w:t xml:space="preserve">                      </w:t>
      </w:r>
      <w:r>
        <w:rPr>
          <w:rFonts w:hint="eastAsia" w:ascii="宋体" w:hAnsi="宋体" w:eastAsia="宋体" w:cs="宋体"/>
          <w:szCs w:val="21"/>
          <w:u w:val="none"/>
          <w:lang w:val="en-US" w:eastAsia="zh-CN"/>
        </w:rPr>
        <w:t xml:space="preserve">       </w:t>
      </w:r>
      <w:r>
        <w:rPr>
          <w:rFonts w:hint="eastAsia" w:ascii="宋体" w:hAnsi="宋体" w:eastAsia="宋体" w:cs="宋体"/>
          <w:szCs w:val="21"/>
        </w:rPr>
        <w:t>项目编号：</w:t>
      </w:r>
      <w:r>
        <w:rPr>
          <w:rFonts w:hint="eastAsia" w:ascii="宋体" w:hAnsi="宋体" w:eastAsia="宋体" w:cs="宋体"/>
          <w:szCs w:val="21"/>
          <w:u w:val="single"/>
          <w:lang w:val="en-US" w:eastAsia="zh-CN"/>
        </w:rPr>
        <w:t xml:space="preserve">                           </w:t>
      </w:r>
    </w:p>
    <w:p>
      <w:pPr>
        <w:pStyle w:val="68"/>
        <w:ind w:firstLine="0" w:firstLineChars="0"/>
        <w:rPr>
          <w:rFonts w:hint="eastAsia" w:ascii="宋体" w:hAnsi="宋体" w:eastAsia="宋体" w:cs="宋体"/>
          <w:szCs w:val="21"/>
        </w:rPr>
      </w:pPr>
    </w:p>
    <w:tbl>
      <w:tblPr>
        <w:tblStyle w:val="70"/>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4"/>
        <w:gridCol w:w="203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5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20"/>
                <w:kern w:val="2"/>
                <w:sz w:val="22"/>
                <w:szCs w:val="22"/>
                <w:lang w:eastAsia="zh-CN"/>
              </w:rPr>
            </w:pPr>
            <w:r>
              <w:rPr>
                <w:rFonts w:hint="eastAsia" w:ascii="宋体" w:hAnsi="宋体" w:eastAsia="宋体" w:cs="宋体"/>
                <w:b/>
                <w:bCs/>
                <w:spacing w:val="20"/>
                <w:kern w:val="2"/>
                <w:sz w:val="22"/>
                <w:szCs w:val="22"/>
              </w:rPr>
              <w:t>报价总价</w:t>
            </w:r>
            <w:r>
              <w:rPr>
                <w:rFonts w:hint="eastAsia" w:ascii="宋体" w:hAnsi="宋体" w:cs="宋体"/>
                <w:b/>
                <w:bCs/>
                <w:spacing w:val="20"/>
                <w:kern w:val="2"/>
                <w:sz w:val="22"/>
                <w:szCs w:val="22"/>
                <w:lang w:eastAsia="zh-CN"/>
              </w:rPr>
              <w:t>（</w:t>
            </w:r>
            <w:r>
              <w:rPr>
                <w:rFonts w:hint="eastAsia" w:ascii="宋体" w:hAnsi="宋体" w:eastAsia="宋体" w:cs="宋体"/>
                <w:b/>
                <w:bCs/>
                <w:spacing w:val="20"/>
                <w:kern w:val="2"/>
                <w:sz w:val="22"/>
                <w:szCs w:val="22"/>
              </w:rPr>
              <w:t>元</w:t>
            </w:r>
            <w:r>
              <w:rPr>
                <w:rFonts w:hint="eastAsia" w:ascii="宋体" w:hAnsi="宋体" w:eastAsia="宋体" w:cs="宋体"/>
                <w:b/>
                <w:bCs/>
                <w:spacing w:val="20"/>
                <w:kern w:val="2"/>
                <w:sz w:val="22"/>
                <w:szCs w:val="22"/>
                <w:lang w:val="en-US" w:eastAsia="zh-CN"/>
              </w:rPr>
              <w:t>/</w:t>
            </w:r>
            <w:r>
              <w:rPr>
                <w:rFonts w:hint="eastAsia" w:ascii="宋体" w:hAnsi="宋体" w:eastAsia="宋体" w:cs="宋体"/>
                <w:b/>
                <w:bCs/>
                <w:spacing w:val="20"/>
                <w:kern w:val="2"/>
                <w:sz w:val="22"/>
                <w:szCs w:val="22"/>
              </w:rPr>
              <w:t>人民币</w:t>
            </w:r>
            <w:r>
              <w:rPr>
                <w:rFonts w:hint="eastAsia" w:ascii="宋体" w:hAnsi="宋体" w:cs="宋体"/>
                <w:b/>
                <w:bCs/>
                <w:spacing w:val="20"/>
                <w:kern w:val="2"/>
                <w:sz w:val="22"/>
                <w:szCs w:val="22"/>
                <w:lang w:eastAsia="zh-CN"/>
              </w:rPr>
              <w:t>）</w:t>
            </w:r>
          </w:p>
        </w:tc>
        <w:tc>
          <w:tcPr>
            <w:tcW w:w="20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20"/>
                <w:kern w:val="2"/>
                <w:sz w:val="22"/>
                <w:szCs w:val="22"/>
              </w:rPr>
            </w:pPr>
            <w:r>
              <w:rPr>
                <w:rFonts w:hint="eastAsia" w:ascii="宋体" w:hAnsi="宋体" w:eastAsia="宋体" w:cs="宋体"/>
                <w:b/>
                <w:bCs/>
                <w:spacing w:val="20"/>
                <w:kern w:val="2"/>
                <w:sz w:val="22"/>
                <w:szCs w:val="22"/>
              </w:rPr>
              <w:t>服务期限</w:t>
            </w:r>
          </w:p>
        </w:tc>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20"/>
                <w:kern w:val="2"/>
                <w:sz w:val="22"/>
                <w:szCs w:val="22"/>
              </w:rPr>
            </w:pPr>
            <w:r>
              <w:rPr>
                <w:rFonts w:hint="eastAsia" w:ascii="宋体" w:hAnsi="宋体" w:eastAsia="宋体" w:cs="宋体"/>
                <w:b/>
                <w:bCs/>
                <w:spacing w:val="20"/>
                <w:kern w:val="2"/>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5584" w:type="dxa"/>
            <w:noWrap w:val="0"/>
            <w:vAlign w:val="center"/>
          </w:tcPr>
          <w:p>
            <w:pPr>
              <w:keepNext w:val="0"/>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20"/>
                <w:kern w:val="2"/>
                <w:szCs w:val="21"/>
              </w:rPr>
            </w:pPr>
            <w:r>
              <w:rPr>
                <w:rFonts w:hint="eastAsia" w:ascii="宋体" w:hAnsi="宋体" w:eastAsia="宋体" w:cs="宋体"/>
                <w:spacing w:val="20"/>
                <w:kern w:val="2"/>
                <w:szCs w:val="21"/>
              </w:rPr>
              <w:t>大写：人民币</w:t>
            </w:r>
          </w:p>
          <w:p>
            <w:pPr>
              <w:keepNext w:val="0"/>
              <w:keepLines/>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20"/>
                <w:kern w:val="2"/>
                <w:szCs w:val="21"/>
              </w:rPr>
            </w:pPr>
          </w:p>
          <w:p>
            <w:pPr>
              <w:keepNext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pacing w:val="20"/>
                <w:kern w:val="2"/>
                <w:szCs w:val="21"/>
              </w:rPr>
            </w:pPr>
            <w:r>
              <w:rPr>
                <w:rFonts w:hint="eastAsia" w:ascii="宋体" w:hAnsi="宋体" w:eastAsia="宋体" w:cs="宋体"/>
                <w:spacing w:val="20"/>
                <w:kern w:val="2"/>
                <w:szCs w:val="21"/>
              </w:rPr>
              <w:t>小写：¥</w:t>
            </w:r>
          </w:p>
        </w:tc>
        <w:tc>
          <w:tcPr>
            <w:tcW w:w="2032" w:type="dxa"/>
            <w:noWrap w:val="0"/>
            <w:vAlign w:val="center"/>
          </w:tcPr>
          <w:p>
            <w:pPr>
              <w:keepNext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pacing w:val="20"/>
                <w:kern w:val="2"/>
                <w:szCs w:val="21"/>
              </w:rPr>
            </w:pPr>
            <w:r>
              <w:rPr>
                <w:rFonts w:hint="eastAsia" w:ascii="宋体" w:hAnsi="宋体" w:eastAsia="宋体" w:cs="宋体"/>
                <w:spacing w:val="20"/>
                <w:kern w:val="2"/>
                <w:szCs w:val="21"/>
              </w:rPr>
              <w:t>按采购文件要求执行。</w:t>
            </w:r>
          </w:p>
        </w:tc>
        <w:tc>
          <w:tcPr>
            <w:tcW w:w="887" w:type="dxa"/>
            <w:noWrap w:val="0"/>
            <w:vAlign w:val="center"/>
          </w:tcPr>
          <w:p>
            <w:pPr>
              <w:spacing w:after="160" w:line="360" w:lineRule="auto"/>
              <w:jc w:val="center"/>
              <w:rPr>
                <w:rFonts w:hint="eastAsia" w:ascii="宋体" w:hAnsi="宋体" w:eastAsia="宋体" w:cs="宋体"/>
                <w:spacing w:val="20"/>
                <w:kern w:val="2"/>
                <w:szCs w:val="21"/>
              </w:rPr>
            </w:pPr>
          </w:p>
        </w:tc>
      </w:tr>
    </w:tbl>
    <w:p>
      <w:pPr>
        <w:pStyle w:val="68"/>
        <w:ind w:firstLine="0" w:firstLineChars="0"/>
        <w:rPr>
          <w:rFonts w:hint="eastAsia" w:ascii="宋体" w:hAnsi="宋体" w:eastAsia="宋体" w:cs="宋体"/>
          <w:szCs w:val="21"/>
        </w:rPr>
      </w:pPr>
    </w:p>
    <w:p>
      <w:pPr>
        <w:snapToGrid w:val="0"/>
        <w:spacing w:line="360" w:lineRule="auto"/>
        <w:rPr>
          <w:rFonts w:hint="eastAsia" w:ascii="宋体" w:hAnsi="宋体" w:eastAsia="宋体" w:cs="宋体"/>
          <w:szCs w:val="21"/>
        </w:rPr>
      </w:pPr>
      <w:r>
        <w:rPr>
          <w:rFonts w:hint="eastAsia" w:ascii="宋体" w:hAnsi="宋体" w:eastAsia="宋体" w:cs="宋体"/>
          <w:szCs w:val="21"/>
        </w:rPr>
        <w:t>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1、供应商不按以上要求报价的，作无效报价文件处理。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2、供应商须按要求填写所有信息，不得随意更改本表格式。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3、中文大写金额用汉字，如壹、贰、叁、肆、伍、陆、柒、捌、玖、拾、佰、仟、万、亿、元、角、分、零、整</w:t>
      </w:r>
      <w:r>
        <w:rPr>
          <w:rFonts w:hint="eastAsia" w:ascii="宋体" w:hAnsi="宋体" w:cs="宋体"/>
          <w:szCs w:val="21"/>
          <w:lang w:val="en-US" w:eastAsia="zh-CN"/>
        </w:rPr>
        <w:t>（</w:t>
      </w:r>
      <w:r>
        <w:rPr>
          <w:rFonts w:hint="eastAsia" w:ascii="宋体" w:hAnsi="宋体" w:eastAsia="宋体" w:cs="宋体"/>
          <w:szCs w:val="21"/>
          <w:lang w:val="en-US" w:eastAsia="zh-CN"/>
        </w:rPr>
        <w:t>正</w:t>
      </w:r>
      <w:r>
        <w:rPr>
          <w:rFonts w:hint="eastAsia" w:ascii="宋体" w:hAnsi="宋体" w:cs="宋体"/>
          <w:szCs w:val="21"/>
          <w:lang w:val="en-US" w:eastAsia="zh-CN"/>
        </w:rPr>
        <w:t>）</w:t>
      </w:r>
      <w:r>
        <w:rPr>
          <w:rFonts w:hint="eastAsia" w:ascii="宋体" w:hAnsi="宋体" w:eastAsia="宋体" w:cs="宋体"/>
          <w:szCs w:val="21"/>
          <w:lang w:val="en-US" w:eastAsia="zh-CN"/>
        </w:rPr>
        <w:t>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、此表无须密封在响应文件中，但可准备已签字或盖章的空白表格。此表为进行磋商后，在磋商小组规定的时间内供应商提交的最终报价。</w:t>
      </w:r>
    </w:p>
    <w:p>
      <w:pPr>
        <w:spacing w:line="500" w:lineRule="exact"/>
        <w:rPr>
          <w:rFonts w:hint="eastAsia" w:ascii="宋体" w:hAnsi="宋体" w:eastAsia="宋体" w:cs="宋体"/>
          <w:spacing w:val="4"/>
          <w:szCs w:val="21"/>
        </w:rPr>
      </w:pPr>
    </w:p>
    <w:p>
      <w:pPr>
        <w:spacing w:line="500" w:lineRule="exact"/>
        <w:rPr>
          <w:rFonts w:hint="eastAsia" w:ascii="宋体" w:hAnsi="宋体" w:eastAsia="宋体" w:cs="宋体"/>
          <w:spacing w:val="4"/>
          <w:szCs w:val="21"/>
        </w:rPr>
      </w:pPr>
    </w:p>
    <w:p>
      <w:pPr>
        <w:spacing w:line="500" w:lineRule="exact"/>
        <w:rPr>
          <w:rFonts w:hint="eastAsia" w:ascii="宋体" w:hAnsi="宋体" w:eastAsia="宋体" w:cs="宋体"/>
          <w:spacing w:val="4"/>
          <w:szCs w:val="21"/>
        </w:rPr>
      </w:pPr>
    </w:p>
    <w:p>
      <w:pPr>
        <w:spacing w:line="500" w:lineRule="exact"/>
        <w:rPr>
          <w:rFonts w:hint="eastAsia" w:ascii="宋体" w:hAnsi="宋体" w:eastAsia="宋体" w:cs="宋体"/>
          <w:spacing w:val="4"/>
          <w:szCs w:val="21"/>
        </w:rPr>
      </w:pPr>
    </w:p>
    <w:p>
      <w:pPr>
        <w:spacing w:line="500" w:lineRule="exact"/>
        <w:rPr>
          <w:rFonts w:hint="eastAsia" w:ascii="宋体" w:hAnsi="宋体" w:eastAsia="宋体" w:cs="宋体"/>
          <w:spacing w:val="4"/>
          <w:szCs w:val="21"/>
        </w:rPr>
      </w:pPr>
    </w:p>
    <w:p>
      <w:pPr>
        <w:adjustRightInd w:val="0"/>
        <w:snapToGrid w:val="0"/>
        <w:spacing w:line="360" w:lineRule="auto"/>
        <w:rPr>
          <w:rFonts w:ascii="宋体" w:hAnsi="宋体" w:cs="宋体"/>
          <w:sz w:val="21"/>
          <w:szCs w:val="21"/>
        </w:rPr>
      </w:pPr>
      <w:r>
        <w:rPr>
          <w:rFonts w:hint="eastAsia" w:ascii="宋体" w:hAnsi="宋体" w:cs="宋体"/>
          <w:sz w:val="21"/>
          <w:szCs w:val="21"/>
        </w:rPr>
        <w:t>供应商代表签字：</w:t>
      </w:r>
      <w:r>
        <w:rPr>
          <w:rFonts w:hint="eastAsia" w:ascii="宋体" w:hAnsi="宋体" w:cs="宋体"/>
          <w:sz w:val="21"/>
          <w:szCs w:val="21"/>
          <w:u w:val="single"/>
        </w:rPr>
        <w:t xml:space="preserve">                   </w:t>
      </w:r>
    </w:p>
    <w:p>
      <w:pPr>
        <w:adjustRightInd w:val="0"/>
        <w:snapToGrid w:val="0"/>
        <w:spacing w:line="360" w:lineRule="auto"/>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lang w:eastAsia="zh-CN"/>
        </w:rPr>
        <w:t>（</w:t>
      </w:r>
      <w:r>
        <w:rPr>
          <w:rFonts w:hint="eastAsia" w:ascii="宋体" w:hAnsi="宋体" w:cs="宋体"/>
          <w:sz w:val="21"/>
          <w:szCs w:val="21"/>
        </w:rPr>
        <w:t>加盖公章</w:t>
      </w:r>
      <w:r>
        <w:rPr>
          <w:rFonts w:hint="eastAsia" w:ascii="宋体" w:hAnsi="宋体" w:cs="宋体"/>
          <w:sz w:val="21"/>
          <w:szCs w:val="21"/>
          <w:lang w:eastAsia="zh-CN"/>
        </w:rPr>
        <w:t>）</w:t>
      </w:r>
      <w:r>
        <w:rPr>
          <w:rFonts w:hint="eastAsia" w:ascii="宋体" w:hAnsi="宋体" w:cs="宋体"/>
          <w:sz w:val="21"/>
          <w:szCs w:val="21"/>
        </w:rPr>
        <w:t>：</w:t>
      </w:r>
      <w:r>
        <w:rPr>
          <w:rFonts w:hint="eastAsia" w:ascii="宋体" w:hAnsi="宋体" w:cs="宋体"/>
          <w:sz w:val="21"/>
          <w:szCs w:val="21"/>
          <w:u w:val="single"/>
        </w:rPr>
        <w:t xml:space="preserve">                        </w:t>
      </w:r>
    </w:p>
    <w:p>
      <w:pPr>
        <w:spacing w:line="400" w:lineRule="exact"/>
        <w:rPr>
          <w:rFonts w:hint="eastAsia" w:ascii="宋体" w:hAnsi="宋体" w:eastAsia="宋体" w:cs="宋体"/>
          <w:b/>
          <w:bCs/>
          <w:sz w:val="21"/>
          <w:szCs w:val="21"/>
        </w:rPr>
      </w:pPr>
      <w:r>
        <w:rPr>
          <w:rFonts w:hint="eastAsia" w:ascii="宋体" w:hAnsi="宋体" w:cs="宋体"/>
          <w:sz w:val="21"/>
          <w:szCs w:val="21"/>
        </w:rPr>
        <w:t>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 xml:space="preserve"> 月</w:t>
      </w:r>
      <w:r>
        <w:rPr>
          <w:rFonts w:hint="eastAsia" w:ascii="宋体" w:hAnsi="宋体" w:cs="宋体"/>
          <w:sz w:val="21"/>
          <w:szCs w:val="21"/>
          <w:u w:val="single"/>
        </w:rPr>
        <w:t xml:space="preserve">    </w:t>
      </w:r>
      <w:r>
        <w:rPr>
          <w:rFonts w:hint="eastAsia" w:ascii="宋体" w:hAnsi="宋体" w:cs="宋体"/>
          <w:sz w:val="21"/>
          <w:szCs w:val="21"/>
        </w:rPr>
        <w:t xml:space="preserve"> 日</w:t>
      </w:r>
    </w:p>
    <w:p>
      <w:pPr>
        <w:widowControl w:val="0"/>
        <w:numPr>
          <w:ilvl w:val="0"/>
          <w:numId w:val="0"/>
        </w:numPr>
        <w:spacing w:line="360" w:lineRule="auto"/>
        <w:rPr>
          <w:rFonts w:hint="eastAsia" w:ascii="宋体" w:hAnsi="宋体" w:eastAsia="宋体" w:cs="宋体"/>
          <w:szCs w:val="21"/>
        </w:rPr>
      </w:pPr>
    </w:p>
    <w:p>
      <w:pPr>
        <w:adjustRightInd w:val="0"/>
        <w:snapToGrid w:val="0"/>
        <w:spacing w:line="300" w:lineRule="auto"/>
        <w:ind w:firstLine="562" w:firstLineChars="200"/>
        <w:rPr>
          <w:rFonts w:hint="eastAsia" w:ascii="宋体" w:hAnsi="宋体" w:eastAsia="宋体" w:cs="宋体"/>
          <w:sz w:val="24"/>
          <w:szCs w:val="24"/>
        </w:rPr>
      </w:pPr>
      <w:r>
        <w:rPr>
          <w:rFonts w:hint="eastAsia" w:ascii="宋体" w:hAnsi="宋体" w:eastAsia="宋体" w:cs="宋体"/>
          <w:b/>
          <w:sz w:val="28"/>
          <w:szCs w:val="36"/>
        </w:rPr>
        <w:br w:type="page"/>
      </w:r>
    </w:p>
    <w:p>
      <w:pPr>
        <w:spacing w:line="360" w:lineRule="auto"/>
        <w:outlineLvl w:val="1"/>
        <w:rPr>
          <w:rFonts w:hint="eastAsia" w:ascii="宋体" w:hAnsi="宋体" w:eastAsia="宋体" w:cs="宋体"/>
          <w:b/>
          <w:sz w:val="32"/>
          <w:szCs w:val="32"/>
        </w:rPr>
      </w:pPr>
      <w:bookmarkStart w:id="915" w:name="_Toc6237"/>
      <w:bookmarkStart w:id="916" w:name="_Toc1304"/>
      <w:r>
        <w:rPr>
          <w:rFonts w:hint="eastAsia" w:ascii="宋体" w:hAnsi="宋体" w:cs="宋体"/>
          <w:b/>
          <w:sz w:val="32"/>
          <w:szCs w:val="32"/>
          <w:lang w:val="en-US" w:eastAsia="zh-CN"/>
        </w:rPr>
        <w:t xml:space="preserve">第三节 </w:t>
      </w:r>
      <w:r>
        <w:rPr>
          <w:rFonts w:hint="eastAsia" w:ascii="宋体" w:hAnsi="宋体" w:eastAsia="宋体" w:cs="宋体"/>
          <w:b/>
          <w:sz w:val="32"/>
          <w:szCs w:val="32"/>
        </w:rPr>
        <w:t>通知函</w:t>
      </w:r>
      <w:bookmarkEnd w:id="915"/>
      <w:bookmarkEnd w:id="916"/>
    </w:p>
    <w:p>
      <w:pPr>
        <w:rPr>
          <w:rFonts w:hint="eastAsia" w:ascii="宋体" w:hAnsi="宋体" w:eastAsia="宋体" w:cs="宋体"/>
          <w:sz w:val="28"/>
          <w:szCs w:val="28"/>
        </w:rPr>
      </w:pPr>
    </w:p>
    <w:p>
      <w:pPr>
        <w:jc w:val="center"/>
        <w:rPr>
          <w:rFonts w:hint="eastAsia" w:ascii="宋体" w:hAnsi="宋体" w:eastAsia="宋体" w:cs="宋体"/>
          <w:b/>
          <w:bCs/>
          <w:sz w:val="32"/>
          <w:szCs w:val="32"/>
        </w:rPr>
      </w:pPr>
      <w:bookmarkStart w:id="917" w:name="_Toc55"/>
      <w:bookmarkStart w:id="918" w:name="_Toc1980"/>
      <w:r>
        <w:rPr>
          <w:rFonts w:hint="eastAsia" w:ascii="宋体" w:hAnsi="宋体" w:eastAsia="宋体" w:cs="宋体"/>
          <w:b/>
          <w:bCs/>
          <w:sz w:val="32"/>
          <w:szCs w:val="32"/>
        </w:rPr>
        <w:t>通知函</w:t>
      </w:r>
      <w:bookmarkEnd w:id="917"/>
      <w:bookmarkEnd w:id="918"/>
    </w:p>
    <w:p>
      <w:pPr>
        <w:spacing w:line="360" w:lineRule="auto"/>
        <w:rPr>
          <w:rFonts w:hint="eastAsia" w:ascii="宋体" w:hAnsi="宋体" w:eastAsia="宋体" w:cs="宋体"/>
          <w:szCs w:val="21"/>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致：珠海正诺工程咨询有限公司</w:t>
      </w:r>
    </w:p>
    <w:p>
      <w:pPr>
        <w:spacing w:line="360" w:lineRule="auto"/>
        <w:ind w:firstLine="570"/>
        <w:rPr>
          <w:rFonts w:hint="eastAsia" w:ascii="宋体" w:hAnsi="宋体" w:eastAsia="宋体" w:cs="宋体"/>
          <w:sz w:val="24"/>
          <w:szCs w:val="24"/>
        </w:rPr>
      </w:pPr>
      <w:r>
        <w:rPr>
          <w:rFonts w:hint="eastAsia" w:ascii="宋体" w:hAnsi="宋体" w:eastAsia="宋体" w:cs="宋体"/>
          <w:sz w:val="24"/>
          <w:szCs w:val="24"/>
        </w:rPr>
        <w:t>我公司已完全理解</w:t>
      </w:r>
      <w:r>
        <w:rPr>
          <w:rFonts w:hint="eastAsia" w:ascii="宋体" w:hAnsi="宋体" w:eastAsia="宋体" w:cs="宋体"/>
          <w:sz w:val="24"/>
          <w:szCs w:val="24"/>
          <w:u w:val="single"/>
        </w:rPr>
        <w:t xml:space="preserve">      </w:t>
      </w:r>
      <w:r>
        <w:rPr>
          <w:rFonts w:hint="eastAsia" w:ascii="宋体" w:hAnsi="宋体" w:cs="宋体"/>
          <w:sz w:val="22"/>
          <w:szCs w:val="22"/>
          <w:u w:val="single"/>
          <w:lang w:eastAsia="zh-CN"/>
        </w:rPr>
        <w:t>（</w:t>
      </w:r>
      <w:r>
        <w:rPr>
          <w:rFonts w:hint="eastAsia" w:ascii="宋体" w:hAnsi="宋体" w:cs="宋体"/>
          <w:sz w:val="24"/>
          <w:szCs w:val="24"/>
          <w:u w:val="single"/>
        </w:rPr>
        <w:t>项目名称、采购编号</w:t>
      </w:r>
      <w:r>
        <w:rPr>
          <w:rFonts w:hint="eastAsia" w:ascii="宋体" w:hAnsi="宋体" w:cs="宋体"/>
          <w:sz w:val="22"/>
          <w:szCs w:val="22"/>
          <w:u w:val="single"/>
          <w:lang w:eastAsia="zh-CN"/>
        </w:rPr>
        <w:t>）</w:t>
      </w:r>
      <w:r>
        <w:rPr>
          <w:rFonts w:hint="eastAsia" w:ascii="宋体" w:hAnsi="宋体" w:eastAsia="宋体" w:cs="宋体"/>
          <w:sz w:val="24"/>
          <w:szCs w:val="24"/>
          <w:lang w:val="en-US" w:eastAsia="zh-CN"/>
        </w:rPr>
        <w:t>磋商</w:t>
      </w:r>
      <w:r>
        <w:rPr>
          <w:rFonts w:hint="eastAsia" w:ascii="宋体" w:hAnsi="宋体" w:eastAsia="宋体" w:cs="宋体"/>
          <w:sz w:val="24"/>
          <w:szCs w:val="24"/>
        </w:rPr>
        <w:t>文件的各项规定，经充分考虑决定：</w:t>
      </w:r>
    </w:p>
    <w:p>
      <w:pPr>
        <w:spacing w:line="360" w:lineRule="auto"/>
        <w:ind w:firstLine="570"/>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z w:val="24"/>
          <w:szCs w:val="24"/>
        </w:rPr>
        <w:t>1、按采购文件的各项规定参加本次竞争性磋商采购活动。</w:t>
      </w:r>
    </w:p>
    <w:p>
      <w:pPr>
        <w:spacing w:line="360" w:lineRule="auto"/>
        <w:ind w:left="720"/>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z w:val="24"/>
          <w:szCs w:val="24"/>
        </w:rPr>
        <w:t>2、放弃本次采购活动。</w:t>
      </w:r>
    </w:p>
    <w:p>
      <w:pPr>
        <w:spacing w:line="360" w:lineRule="auto"/>
        <w:ind w:firstLine="720" w:firstLineChars="300"/>
        <w:rPr>
          <w:rFonts w:hint="eastAsia" w:ascii="宋体" w:hAnsi="宋体" w:eastAsia="宋体" w:cs="宋体"/>
          <w:sz w:val="24"/>
          <w:szCs w:val="24"/>
        </w:rPr>
      </w:pPr>
    </w:p>
    <w:p>
      <w:pPr>
        <w:spacing w:line="360" w:lineRule="auto"/>
        <w:ind w:firstLine="482" w:firstLineChars="200"/>
        <w:rPr>
          <w:rFonts w:hint="eastAsia" w:ascii="宋体" w:hAnsi="宋体" w:eastAsia="宋体" w:cs="宋体"/>
          <w:b/>
          <w:bCs/>
          <w:szCs w:val="21"/>
        </w:rPr>
      </w:pPr>
      <w:r>
        <w:rPr>
          <w:rFonts w:hint="eastAsia" w:ascii="宋体" w:hAnsi="宋体" w:eastAsia="宋体" w:cs="宋体"/>
          <w:b/>
          <w:bCs/>
          <w:sz w:val="24"/>
          <w:szCs w:val="24"/>
        </w:rPr>
        <w:t>请各供应商在上述1或2选择“√”并于递交响应文件截止时间前2个工作日书面传真通知至：0756－2897791或以邮件发送至zhzn2020@163.com 。</w:t>
      </w:r>
    </w:p>
    <w:p>
      <w:pPr>
        <w:spacing w:line="360" w:lineRule="auto"/>
        <w:ind w:firstLine="420" w:firstLineChars="200"/>
        <w:rPr>
          <w:rFonts w:hint="eastAsia" w:ascii="宋体" w:hAnsi="宋体" w:eastAsia="宋体" w:cs="宋体"/>
          <w:szCs w:val="21"/>
        </w:rPr>
      </w:pPr>
    </w:p>
    <w:p>
      <w:pPr>
        <w:spacing w:line="360" w:lineRule="auto"/>
        <w:ind w:firstLine="3059" w:firstLineChars="1457"/>
        <w:rPr>
          <w:rFonts w:hint="eastAsia" w:ascii="宋体" w:hAnsi="宋体" w:eastAsia="宋体" w:cs="宋体"/>
          <w:szCs w:val="21"/>
        </w:rPr>
      </w:pPr>
    </w:p>
    <w:p>
      <w:pPr>
        <w:spacing w:line="480" w:lineRule="auto"/>
        <w:ind w:firstLine="3496" w:firstLineChars="1457"/>
        <w:rPr>
          <w:rFonts w:ascii="宋体" w:hAnsi="宋体" w:cs="宋体"/>
          <w:sz w:val="24"/>
          <w:szCs w:val="24"/>
          <w:u w:val="single"/>
        </w:rPr>
      </w:pPr>
      <w:r>
        <w:rPr>
          <w:rFonts w:hint="eastAsia" w:ascii="宋体" w:hAnsi="宋体" w:cs="宋体"/>
          <w:sz w:val="24"/>
          <w:szCs w:val="24"/>
        </w:rPr>
        <w:t>单位名称</w:t>
      </w:r>
      <w:r>
        <w:rPr>
          <w:rFonts w:hint="eastAsia" w:ascii="宋体" w:hAnsi="宋体" w:cs="宋体"/>
          <w:sz w:val="24"/>
          <w:szCs w:val="24"/>
          <w:lang w:eastAsia="zh-CN"/>
        </w:rPr>
        <w:t>（</w:t>
      </w:r>
      <w:r>
        <w:rPr>
          <w:rFonts w:hint="eastAsia" w:ascii="宋体" w:hAnsi="宋体" w:cs="宋体"/>
          <w:sz w:val="24"/>
          <w:szCs w:val="24"/>
        </w:rPr>
        <w:t>公章</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80" w:lineRule="auto"/>
        <w:ind w:firstLine="3496" w:firstLineChars="1457"/>
        <w:rPr>
          <w:rFonts w:ascii="宋体" w:hAnsi="宋体" w:cs="宋体"/>
          <w:sz w:val="24"/>
          <w:szCs w:val="24"/>
        </w:rPr>
      </w:pPr>
      <w:r>
        <w:rPr>
          <w:rFonts w:hint="eastAsia" w:ascii="宋体" w:hAnsi="宋体" w:cs="宋体"/>
          <w:sz w:val="24"/>
          <w:szCs w:val="24"/>
        </w:rPr>
        <w:t>签 字 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80" w:lineRule="auto"/>
        <w:ind w:firstLine="3496" w:firstLineChars="1457"/>
        <w:rPr>
          <w:rFonts w:hint="eastAsia" w:ascii="宋体" w:hAnsi="宋体" w:eastAsia="宋体" w:cs="宋体"/>
          <w:sz w:val="24"/>
          <w:szCs w:val="24"/>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tabs>
          <w:tab w:val="left" w:pos="239"/>
        </w:tabs>
        <w:rPr>
          <w:rFonts w:hint="eastAsia" w:ascii="宋体" w:hAnsi="宋体" w:eastAsia="宋体" w:cs="宋体"/>
          <w:b/>
          <w:sz w:val="32"/>
          <w:szCs w:val="32"/>
        </w:rPr>
      </w:pPr>
      <w:bookmarkStart w:id="919" w:name="_Toc12154"/>
      <w:bookmarkStart w:id="920" w:name="_Toc25966"/>
    </w:p>
    <w:bookmarkEnd w:id="919"/>
    <w:bookmarkEnd w:id="920"/>
    <w:p>
      <w:pPr>
        <w:spacing w:line="360" w:lineRule="auto"/>
        <w:outlineLvl w:val="1"/>
        <w:rPr>
          <w:rFonts w:hint="eastAsia" w:ascii="宋体" w:hAnsi="宋体" w:eastAsia="宋体" w:cs="宋体"/>
          <w:b/>
          <w:sz w:val="21"/>
          <w:szCs w:val="21"/>
        </w:rPr>
      </w:pPr>
      <w:r>
        <w:rPr>
          <w:rFonts w:hint="eastAsia" w:ascii="宋体" w:hAnsi="宋体" w:eastAsia="宋体" w:cs="宋体"/>
          <w:b/>
          <w:sz w:val="28"/>
        </w:rPr>
        <w:br w:type="page"/>
      </w:r>
      <w:bookmarkStart w:id="921" w:name="_Toc31828"/>
      <w:bookmarkStart w:id="922" w:name="_Toc2170"/>
      <w:r>
        <w:rPr>
          <w:rFonts w:hint="eastAsia" w:ascii="宋体" w:hAnsi="宋体" w:eastAsia="宋体" w:cs="宋体"/>
          <w:b/>
          <w:sz w:val="21"/>
          <w:szCs w:val="21"/>
        </w:rPr>
        <w:t>附件：询问函、质疑函、投诉书格式</w:t>
      </w:r>
      <w:bookmarkEnd w:id="921"/>
      <w:bookmarkEnd w:id="922"/>
    </w:p>
    <w:p>
      <w:pPr>
        <w:pStyle w:val="64"/>
        <w:snapToGrid w:val="0"/>
        <w:spacing w:before="0" w:beforeAutospacing="0" w:after="0" w:afterAutospacing="0" w:line="360" w:lineRule="auto"/>
        <w:jc w:val="both"/>
        <w:rPr>
          <w:rFonts w:hint="eastAsia" w:ascii="宋体" w:hAnsi="宋体" w:eastAsia="宋体" w:cs="宋体"/>
          <w:sz w:val="21"/>
          <w:szCs w:val="21"/>
        </w:rPr>
      </w:pPr>
    </w:p>
    <w:p>
      <w:pPr>
        <w:snapToGrid w:val="0"/>
        <w:spacing w:line="360" w:lineRule="auto"/>
        <w:ind w:firstLine="424" w:firstLineChars="201"/>
        <w:rPr>
          <w:rFonts w:hint="eastAsia" w:ascii="宋体" w:hAnsi="宋体" w:eastAsia="宋体" w:cs="宋体"/>
          <w:b/>
          <w:sz w:val="21"/>
          <w:szCs w:val="21"/>
        </w:rPr>
      </w:pPr>
      <w:r>
        <w:rPr>
          <w:rFonts w:hint="eastAsia" w:ascii="宋体" w:hAnsi="宋体" w:eastAsia="宋体" w:cs="宋体"/>
          <w:b/>
          <w:sz w:val="21"/>
          <w:szCs w:val="21"/>
        </w:rPr>
        <w:t>说明：本部分格式为响应供应商提交询问函、质疑函、投诉书时使用，不属于响应文件格式的组成部分。</w:t>
      </w: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询问函范本</w:t>
      </w:r>
    </w:p>
    <w:p>
      <w:pPr>
        <w:tabs>
          <w:tab w:val="left" w:pos="6300"/>
        </w:tabs>
        <w:snapToGrid w:val="0"/>
        <w:spacing w:line="360" w:lineRule="auto"/>
        <w:rPr>
          <w:rFonts w:hint="eastAsia" w:ascii="宋体" w:hAnsi="宋体" w:eastAsia="宋体" w:cs="宋体"/>
          <w:sz w:val="21"/>
          <w:szCs w:val="21"/>
        </w:rPr>
      </w:pPr>
      <w:r>
        <w:rPr>
          <w:rFonts w:hint="eastAsia" w:ascii="宋体" w:hAnsi="宋体" w:eastAsia="宋体" w:cs="宋体"/>
          <w:sz w:val="21"/>
          <w:szCs w:val="21"/>
        </w:rPr>
        <w:t>珠海正诺工程咨询有限公司：</w:t>
      </w:r>
    </w:p>
    <w:p>
      <w:pPr>
        <w:tabs>
          <w:tab w:val="left" w:pos="630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我单位已报名并准备参与</w:t>
      </w:r>
      <w:r>
        <w:rPr>
          <w:rFonts w:hint="eastAsia" w:ascii="宋体" w:hAnsi="宋体" w:cs="宋体"/>
          <w:i/>
          <w:sz w:val="21"/>
          <w:szCs w:val="21"/>
          <w:u w:val="single"/>
          <w:lang w:eastAsia="zh-CN"/>
        </w:rPr>
        <w:t>（</w:t>
      </w:r>
      <w:r>
        <w:rPr>
          <w:rFonts w:hint="eastAsia" w:ascii="宋体" w:hAnsi="宋体" w:eastAsia="宋体" w:cs="宋体"/>
          <w:i/>
          <w:sz w:val="21"/>
          <w:szCs w:val="21"/>
          <w:u w:val="single"/>
        </w:rPr>
        <w:t>项目名称</w:t>
      </w:r>
      <w:r>
        <w:rPr>
          <w:rFonts w:hint="eastAsia" w:ascii="宋体" w:hAnsi="宋体" w:cs="宋体"/>
          <w:i/>
          <w:sz w:val="21"/>
          <w:szCs w:val="21"/>
          <w:u w:val="single"/>
          <w:lang w:eastAsia="zh-CN"/>
        </w:rPr>
        <w:t>）</w:t>
      </w:r>
      <w:r>
        <w:rPr>
          <w:rFonts w:hint="eastAsia" w:ascii="宋体" w:hAnsi="宋体" w:eastAsia="宋体" w:cs="宋体"/>
          <w:sz w:val="21"/>
          <w:szCs w:val="21"/>
        </w:rPr>
        <w:t>项目</w:t>
      </w:r>
      <w:r>
        <w:rPr>
          <w:rFonts w:hint="eastAsia" w:ascii="宋体" w:hAnsi="宋体" w:cs="宋体"/>
          <w:sz w:val="21"/>
          <w:szCs w:val="21"/>
          <w:lang w:eastAsia="zh-CN"/>
        </w:rPr>
        <w:t>（</w:t>
      </w:r>
      <w:r>
        <w:rPr>
          <w:rFonts w:hint="eastAsia" w:ascii="宋体" w:hAnsi="宋体" w:eastAsia="宋体" w:cs="宋体"/>
          <w:sz w:val="21"/>
          <w:szCs w:val="21"/>
        </w:rPr>
        <w:t>采购编号：</w:t>
      </w:r>
      <w:r>
        <w:rPr>
          <w:rFonts w:hint="eastAsia" w:ascii="宋体" w:hAnsi="宋体" w:eastAsia="宋体" w:cs="宋体"/>
          <w:sz w:val="21"/>
          <w:szCs w:val="21"/>
          <w:u w:val="single"/>
        </w:rPr>
        <w:t xml:space="preserve">     </w:t>
      </w:r>
      <w:r>
        <w:rPr>
          <w:rFonts w:hint="eastAsia" w:ascii="宋体" w:hAnsi="宋体" w:cs="宋体"/>
          <w:sz w:val="21"/>
          <w:szCs w:val="21"/>
          <w:lang w:eastAsia="zh-CN"/>
        </w:rPr>
        <w:t>）</w:t>
      </w:r>
      <w:r>
        <w:rPr>
          <w:rFonts w:hint="eastAsia" w:ascii="宋体" w:hAnsi="宋体" w:eastAsia="宋体" w:cs="宋体"/>
          <w:sz w:val="21"/>
          <w:szCs w:val="21"/>
        </w:rPr>
        <w:t>的响应</w:t>
      </w:r>
      <w:r>
        <w:rPr>
          <w:rFonts w:hint="eastAsia" w:ascii="宋体" w:hAnsi="宋体" w:cs="宋体"/>
          <w:sz w:val="21"/>
          <w:szCs w:val="21"/>
          <w:lang w:eastAsia="zh-CN"/>
        </w:rPr>
        <w:t>（</w:t>
      </w:r>
      <w:r>
        <w:rPr>
          <w:rFonts w:hint="eastAsia" w:ascii="宋体" w:hAnsi="宋体" w:eastAsia="宋体" w:cs="宋体"/>
          <w:sz w:val="21"/>
          <w:szCs w:val="21"/>
        </w:rPr>
        <w:t>或报价</w:t>
      </w:r>
      <w:r>
        <w:rPr>
          <w:rFonts w:hint="eastAsia" w:ascii="宋体" w:hAnsi="宋体" w:cs="宋体"/>
          <w:sz w:val="21"/>
          <w:szCs w:val="21"/>
          <w:lang w:eastAsia="zh-CN"/>
        </w:rPr>
        <w:t>）</w:t>
      </w:r>
      <w:r>
        <w:rPr>
          <w:rFonts w:hint="eastAsia" w:ascii="宋体" w:hAnsi="宋体" w:eastAsia="宋体" w:cs="宋体"/>
          <w:sz w:val="21"/>
          <w:szCs w:val="21"/>
        </w:rPr>
        <w:t>活动，现有以下几</w:t>
      </w:r>
      <w:r>
        <w:rPr>
          <w:rFonts w:hint="eastAsia" w:ascii="宋体" w:hAnsi="宋体" w:cs="宋体"/>
          <w:sz w:val="21"/>
          <w:szCs w:val="21"/>
          <w:lang w:eastAsia="zh-CN"/>
        </w:rPr>
        <w:t>项</w:t>
      </w:r>
      <w:r>
        <w:rPr>
          <w:rFonts w:hint="eastAsia" w:ascii="宋体" w:hAnsi="宋体" w:eastAsia="宋体" w:cs="宋体"/>
          <w:sz w:val="21"/>
          <w:szCs w:val="21"/>
        </w:rPr>
        <w:t>内容</w:t>
      </w:r>
      <w:r>
        <w:rPr>
          <w:rFonts w:hint="eastAsia" w:ascii="宋体" w:hAnsi="宋体" w:cs="宋体"/>
          <w:sz w:val="21"/>
          <w:szCs w:val="21"/>
          <w:lang w:eastAsia="zh-CN"/>
        </w:rPr>
        <w:t>（</w:t>
      </w:r>
      <w:r>
        <w:rPr>
          <w:rFonts w:hint="eastAsia" w:ascii="宋体" w:hAnsi="宋体" w:eastAsia="宋体" w:cs="宋体"/>
          <w:sz w:val="21"/>
          <w:szCs w:val="21"/>
        </w:rPr>
        <w:t>或条款</w:t>
      </w:r>
      <w:r>
        <w:rPr>
          <w:rFonts w:hint="eastAsia" w:ascii="宋体" w:hAnsi="宋体" w:cs="宋体"/>
          <w:sz w:val="21"/>
          <w:szCs w:val="21"/>
          <w:lang w:eastAsia="zh-CN"/>
        </w:rPr>
        <w:t>）</w:t>
      </w:r>
      <w:r>
        <w:rPr>
          <w:rFonts w:hint="eastAsia" w:ascii="宋体" w:hAnsi="宋体" w:eastAsia="宋体" w:cs="宋体"/>
          <w:sz w:val="21"/>
          <w:szCs w:val="21"/>
        </w:rPr>
        <w:t>存在疑问</w:t>
      </w:r>
      <w:r>
        <w:rPr>
          <w:rFonts w:hint="eastAsia" w:ascii="宋体" w:hAnsi="宋体" w:cs="宋体"/>
          <w:sz w:val="21"/>
          <w:szCs w:val="21"/>
          <w:lang w:eastAsia="zh-CN"/>
        </w:rPr>
        <w:t>（</w:t>
      </w:r>
      <w:r>
        <w:rPr>
          <w:rFonts w:hint="eastAsia" w:ascii="宋体" w:hAnsi="宋体" w:eastAsia="宋体" w:cs="宋体"/>
          <w:sz w:val="21"/>
          <w:szCs w:val="21"/>
        </w:rPr>
        <w:t>或无法理解</w:t>
      </w:r>
      <w:r>
        <w:rPr>
          <w:rFonts w:hint="eastAsia" w:ascii="宋体" w:hAnsi="宋体" w:cs="宋体"/>
          <w:sz w:val="21"/>
          <w:szCs w:val="21"/>
          <w:lang w:eastAsia="zh-CN"/>
        </w:rPr>
        <w:t>）</w:t>
      </w:r>
      <w:r>
        <w:rPr>
          <w:rFonts w:hint="eastAsia" w:ascii="宋体" w:hAnsi="宋体" w:eastAsia="宋体" w:cs="宋体"/>
          <w:sz w:val="21"/>
          <w:szCs w:val="21"/>
        </w:rPr>
        <w:t>，特提出询问。</w:t>
      </w:r>
    </w:p>
    <w:p>
      <w:pPr>
        <w:tabs>
          <w:tab w:val="left" w:pos="6300"/>
        </w:tabs>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一、_____________________</w:t>
      </w:r>
      <w:r>
        <w:rPr>
          <w:rFonts w:hint="eastAsia" w:ascii="宋体" w:hAnsi="宋体" w:cs="宋体"/>
          <w:sz w:val="21"/>
          <w:szCs w:val="21"/>
          <w:lang w:eastAsia="zh-CN"/>
        </w:rPr>
        <w:t>（</w:t>
      </w:r>
      <w:r>
        <w:rPr>
          <w:rFonts w:hint="eastAsia" w:ascii="宋体" w:hAnsi="宋体" w:eastAsia="宋体" w:cs="宋体"/>
          <w:sz w:val="21"/>
          <w:szCs w:val="21"/>
        </w:rPr>
        <w:t>事项一</w:t>
      </w:r>
      <w:r>
        <w:rPr>
          <w:rFonts w:hint="eastAsia" w:ascii="宋体" w:hAnsi="宋体" w:cs="宋体"/>
          <w:sz w:val="21"/>
          <w:szCs w:val="21"/>
          <w:lang w:eastAsia="zh-CN"/>
        </w:rPr>
        <w:t>）</w:t>
      </w:r>
    </w:p>
    <w:p>
      <w:pPr>
        <w:tabs>
          <w:tab w:val="left" w:pos="6300"/>
        </w:tabs>
        <w:snapToGrid w:val="0"/>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____________________</w:t>
      </w:r>
      <w:r>
        <w:rPr>
          <w:rFonts w:hint="eastAsia" w:ascii="宋体" w:hAnsi="宋体" w:cs="宋体"/>
          <w:sz w:val="21"/>
          <w:szCs w:val="21"/>
          <w:lang w:eastAsia="zh-CN"/>
        </w:rPr>
        <w:t>（</w:t>
      </w:r>
      <w:r>
        <w:rPr>
          <w:rFonts w:hint="eastAsia" w:ascii="宋体" w:hAnsi="宋体" w:eastAsia="宋体" w:cs="宋体"/>
          <w:sz w:val="21"/>
          <w:szCs w:val="21"/>
        </w:rPr>
        <w:t>问题或条款内容</w:t>
      </w:r>
      <w:r>
        <w:rPr>
          <w:rFonts w:hint="eastAsia" w:ascii="宋体" w:hAnsi="宋体" w:cs="宋体"/>
          <w:sz w:val="21"/>
          <w:szCs w:val="21"/>
          <w:lang w:eastAsia="zh-CN"/>
        </w:rPr>
        <w:t>）</w:t>
      </w:r>
    </w:p>
    <w:p>
      <w:pPr>
        <w:tabs>
          <w:tab w:val="left" w:pos="6300"/>
        </w:tabs>
        <w:snapToGrid w:val="0"/>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____________________</w:t>
      </w:r>
      <w:r>
        <w:rPr>
          <w:rFonts w:hint="eastAsia" w:ascii="宋体" w:hAnsi="宋体" w:cs="宋体"/>
          <w:sz w:val="21"/>
          <w:szCs w:val="21"/>
          <w:lang w:eastAsia="zh-CN"/>
        </w:rPr>
        <w:t>（</w:t>
      </w:r>
      <w:r>
        <w:rPr>
          <w:rFonts w:hint="eastAsia" w:ascii="宋体" w:hAnsi="宋体" w:eastAsia="宋体" w:cs="宋体"/>
          <w:sz w:val="21"/>
          <w:szCs w:val="21"/>
        </w:rPr>
        <w:t>说明疑问或无法理解原因</w:t>
      </w:r>
      <w:r>
        <w:rPr>
          <w:rFonts w:hint="eastAsia" w:ascii="宋体" w:hAnsi="宋体" w:cs="宋体"/>
          <w:sz w:val="21"/>
          <w:szCs w:val="21"/>
          <w:lang w:eastAsia="zh-CN"/>
        </w:rPr>
        <w:t>）</w:t>
      </w:r>
    </w:p>
    <w:p>
      <w:pPr>
        <w:tabs>
          <w:tab w:val="left" w:pos="6300"/>
        </w:tabs>
        <w:snapToGrid w:val="0"/>
        <w:spacing w:line="360" w:lineRule="auto"/>
        <w:ind w:firstLine="420" w:firstLineChars="200"/>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____________________</w:t>
      </w:r>
      <w:r>
        <w:rPr>
          <w:rFonts w:hint="eastAsia" w:ascii="宋体" w:hAnsi="宋体" w:cs="宋体"/>
          <w:sz w:val="21"/>
          <w:szCs w:val="21"/>
          <w:lang w:eastAsia="zh-CN"/>
        </w:rPr>
        <w:t>（</w:t>
      </w:r>
      <w:r>
        <w:rPr>
          <w:rFonts w:hint="eastAsia" w:ascii="宋体" w:hAnsi="宋体" w:eastAsia="宋体" w:cs="宋体"/>
          <w:sz w:val="21"/>
          <w:szCs w:val="21"/>
        </w:rPr>
        <w:t>建议</w:t>
      </w:r>
      <w:r>
        <w:rPr>
          <w:rFonts w:hint="eastAsia" w:ascii="宋体" w:hAnsi="宋体" w:cs="宋体"/>
          <w:sz w:val="21"/>
          <w:szCs w:val="21"/>
          <w:lang w:eastAsia="zh-CN"/>
        </w:rPr>
        <w:t>）</w:t>
      </w:r>
    </w:p>
    <w:p>
      <w:pPr>
        <w:tabs>
          <w:tab w:val="left" w:pos="6300"/>
        </w:tabs>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二、_____________________</w:t>
      </w:r>
      <w:r>
        <w:rPr>
          <w:rFonts w:hint="eastAsia" w:ascii="宋体" w:hAnsi="宋体" w:cs="宋体"/>
          <w:sz w:val="21"/>
          <w:szCs w:val="21"/>
          <w:lang w:eastAsia="zh-CN"/>
        </w:rPr>
        <w:t>（</w:t>
      </w:r>
      <w:r>
        <w:rPr>
          <w:rFonts w:hint="eastAsia" w:ascii="宋体" w:hAnsi="宋体" w:eastAsia="宋体" w:cs="宋体"/>
          <w:sz w:val="21"/>
          <w:szCs w:val="21"/>
        </w:rPr>
        <w:t>事项二</w:t>
      </w:r>
      <w:r>
        <w:rPr>
          <w:rFonts w:hint="eastAsia" w:ascii="宋体" w:hAnsi="宋体" w:cs="宋体"/>
          <w:sz w:val="21"/>
          <w:szCs w:val="21"/>
          <w:lang w:eastAsia="zh-CN"/>
        </w:rPr>
        <w:t>）</w:t>
      </w:r>
    </w:p>
    <w:p>
      <w:pPr>
        <w:tabs>
          <w:tab w:val="left" w:pos="630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p>
    <w:p>
      <w:pPr>
        <w:tabs>
          <w:tab w:val="left" w:pos="6300"/>
        </w:tabs>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随附相关证明材料如下：</w:t>
      </w:r>
      <w:r>
        <w:rPr>
          <w:rFonts w:hint="eastAsia" w:ascii="宋体" w:hAnsi="宋体" w:cs="宋体"/>
          <w:sz w:val="21"/>
          <w:szCs w:val="21"/>
          <w:lang w:eastAsia="zh-CN"/>
        </w:rPr>
        <w:t>（</w:t>
      </w:r>
      <w:r>
        <w:rPr>
          <w:rFonts w:hint="eastAsia" w:ascii="宋体" w:hAnsi="宋体" w:eastAsia="宋体" w:cs="宋体"/>
          <w:sz w:val="21"/>
          <w:szCs w:val="21"/>
        </w:rPr>
        <w:t>目录</w:t>
      </w:r>
      <w:r>
        <w:rPr>
          <w:rFonts w:hint="eastAsia" w:ascii="宋体" w:hAnsi="宋体" w:cs="宋体"/>
          <w:sz w:val="21"/>
          <w:szCs w:val="21"/>
          <w:lang w:eastAsia="zh-CN"/>
        </w:rPr>
        <w:t>）</w:t>
      </w:r>
      <w:r>
        <w:rPr>
          <w:rFonts w:hint="eastAsia" w:ascii="宋体" w:hAnsi="宋体" w:eastAsia="宋体" w:cs="宋体"/>
          <w:sz w:val="21"/>
          <w:szCs w:val="21"/>
        </w:rPr>
        <w:t>。</w:t>
      </w:r>
    </w:p>
    <w:p>
      <w:pPr>
        <w:tabs>
          <w:tab w:val="left" w:pos="6300"/>
        </w:tabs>
        <w:snapToGrid w:val="0"/>
        <w:spacing w:line="360" w:lineRule="auto"/>
        <w:ind w:firstLine="1260" w:firstLineChars="600"/>
        <w:rPr>
          <w:rFonts w:hint="eastAsia" w:ascii="宋体" w:hAnsi="宋体" w:eastAsia="宋体" w:cs="宋体"/>
          <w:sz w:val="21"/>
          <w:szCs w:val="21"/>
          <w:lang w:eastAsia="zh-CN"/>
        </w:rPr>
      </w:pPr>
      <w:r>
        <w:rPr>
          <w:rFonts w:hint="eastAsia" w:ascii="宋体" w:hAnsi="宋体" w:eastAsia="宋体" w:cs="宋体"/>
          <w:sz w:val="21"/>
          <w:szCs w:val="21"/>
        </w:rPr>
        <w:t>询问人：</w:t>
      </w:r>
      <w:r>
        <w:rPr>
          <w:rFonts w:hint="eastAsia" w:ascii="宋体" w:hAnsi="宋体" w:cs="宋体"/>
          <w:sz w:val="21"/>
          <w:szCs w:val="21"/>
          <w:lang w:eastAsia="zh-CN"/>
        </w:rPr>
        <w:t>（</w:t>
      </w:r>
      <w:r>
        <w:rPr>
          <w:rFonts w:hint="eastAsia" w:ascii="宋体" w:hAnsi="宋体" w:eastAsia="宋体" w:cs="宋体"/>
          <w:sz w:val="21"/>
          <w:szCs w:val="21"/>
        </w:rPr>
        <w:t>公章</w:t>
      </w:r>
      <w:r>
        <w:rPr>
          <w:rFonts w:hint="eastAsia" w:ascii="宋体" w:hAnsi="宋体" w:cs="宋体"/>
          <w:sz w:val="21"/>
          <w:szCs w:val="21"/>
          <w:lang w:eastAsia="zh-CN"/>
        </w:rPr>
        <w:t>）</w:t>
      </w:r>
    </w:p>
    <w:p>
      <w:pPr>
        <w:tabs>
          <w:tab w:val="left" w:pos="6300"/>
        </w:tabs>
        <w:snapToGrid w:val="0"/>
        <w:spacing w:line="360" w:lineRule="auto"/>
        <w:ind w:firstLine="1260" w:firstLineChars="600"/>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eastAsia="zh-CN"/>
        </w:rPr>
        <w:t>（</w:t>
      </w:r>
      <w:r>
        <w:rPr>
          <w:rFonts w:hint="eastAsia" w:ascii="宋体" w:hAnsi="宋体" w:eastAsia="宋体" w:cs="宋体"/>
          <w:sz w:val="21"/>
          <w:szCs w:val="21"/>
        </w:rPr>
        <w:t>授权代表</w:t>
      </w:r>
      <w:r>
        <w:rPr>
          <w:rFonts w:hint="eastAsia" w:ascii="宋体" w:hAnsi="宋体" w:cs="宋体"/>
          <w:sz w:val="21"/>
          <w:szCs w:val="21"/>
          <w:lang w:eastAsia="zh-CN"/>
        </w:rPr>
        <w:t>）</w:t>
      </w:r>
      <w:r>
        <w:rPr>
          <w:rFonts w:hint="eastAsia" w:ascii="宋体" w:hAnsi="宋体" w:eastAsia="宋体" w:cs="宋体"/>
          <w:sz w:val="21"/>
          <w:szCs w:val="21"/>
        </w:rPr>
        <w:t>：</w:t>
      </w:r>
    </w:p>
    <w:p>
      <w:pPr>
        <w:tabs>
          <w:tab w:val="left" w:pos="6300"/>
        </w:tabs>
        <w:snapToGrid w:val="0"/>
        <w:spacing w:line="360" w:lineRule="auto"/>
        <w:ind w:firstLine="1260" w:firstLineChars="600"/>
        <w:rPr>
          <w:rFonts w:hint="eastAsia" w:ascii="宋体" w:hAnsi="宋体" w:eastAsia="宋体" w:cs="宋体"/>
          <w:sz w:val="21"/>
          <w:szCs w:val="21"/>
        </w:rPr>
      </w:pPr>
      <w:r>
        <w:rPr>
          <w:rFonts w:hint="eastAsia" w:ascii="宋体" w:hAnsi="宋体" w:eastAsia="宋体" w:cs="宋体"/>
          <w:sz w:val="21"/>
          <w:szCs w:val="21"/>
        </w:rPr>
        <w:t>地址/邮编：</w:t>
      </w:r>
    </w:p>
    <w:p>
      <w:pPr>
        <w:tabs>
          <w:tab w:val="left" w:pos="6300"/>
        </w:tabs>
        <w:snapToGrid w:val="0"/>
        <w:spacing w:line="360" w:lineRule="auto"/>
        <w:ind w:firstLine="1260" w:firstLineChars="600"/>
        <w:rPr>
          <w:rFonts w:hint="eastAsia" w:ascii="宋体" w:hAnsi="宋体" w:eastAsia="宋体" w:cs="宋体"/>
          <w:sz w:val="21"/>
          <w:szCs w:val="21"/>
        </w:rPr>
      </w:pPr>
      <w:r>
        <w:rPr>
          <w:rFonts w:hint="eastAsia" w:ascii="宋体" w:hAnsi="宋体" w:eastAsia="宋体" w:cs="宋体"/>
          <w:sz w:val="21"/>
          <w:szCs w:val="21"/>
        </w:rPr>
        <w:t>电话/传真：</w:t>
      </w:r>
    </w:p>
    <w:p>
      <w:pPr>
        <w:spacing w:line="360" w:lineRule="auto"/>
        <w:jc w:val="righ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napToGrid w:val="0"/>
        <w:spacing w:line="360" w:lineRule="auto"/>
        <w:ind w:firstLine="378" w:firstLineChars="180"/>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br w:type="page"/>
      </w: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质疑函范本</w:t>
      </w:r>
    </w:p>
    <w:p>
      <w:pPr>
        <w:adjustRightInd w:val="0"/>
        <w:snapToGrid w:val="0"/>
        <w:spacing w:before="312" w:beforeLines="100" w:line="360" w:lineRule="auto"/>
        <w:rPr>
          <w:rFonts w:hint="eastAsia" w:ascii="宋体" w:hAnsi="宋体" w:eastAsia="宋体" w:cs="宋体"/>
          <w:bCs/>
          <w:sz w:val="21"/>
          <w:szCs w:val="21"/>
        </w:rPr>
      </w:pPr>
      <w:r>
        <w:rPr>
          <w:rFonts w:hint="eastAsia" w:ascii="宋体" w:hAnsi="宋体" w:eastAsia="宋体" w:cs="宋体"/>
          <w:bCs/>
          <w:sz w:val="21"/>
          <w:szCs w:val="21"/>
        </w:rPr>
        <w:t>一、质疑供应商基本信息</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质疑供应商：</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授权代表：</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地址： </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bCs/>
          <w:sz w:val="21"/>
          <w:szCs w:val="21"/>
        </w:rPr>
      </w:pPr>
      <w:r>
        <w:rPr>
          <w:rFonts w:hint="eastAsia" w:ascii="宋体" w:hAnsi="宋体" w:eastAsia="宋体" w:cs="宋体"/>
          <w:bCs/>
          <w:sz w:val="21"/>
          <w:szCs w:val="21"/>
        </w:rPr>
        <w:t>二、质疑项目基本情况</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质疑项目的名称：</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质疑项目的编号：</w:t>
      </w:r>
      <w:r>
        <w:rPr>
          <w:rFonts w:hint="eastAsia" w:ascii="宋体" w:hAnsi="宋体" w:eastAsia="宋体" w:cs="宋体"/>
          <w:sz w:val="21"/>
          <w:szCs w:val="21"/>
          <w:u w:val="dotted"/>
        </w:rPr>
        <w:t xml:space="preserve">               </w:t>
      </w:r>
      <w:r>
        <w:rPr>
          <w:rFonts w:hint="eastAsia" w:ascii="宋体" w:hAnsi="宋体" w:eastAsia="宋体" w:cs="宋体"/>
          <w:sz w:val="21"/>
          <w:szCs w:val="21"/>
        </w:rPr>
        <w:t>包号：</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采购人名称：</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采购文件获取日期：</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bCs/>
          <w:sz w:val="21"/>
          <w:szCs w:val="21"/>
        </w:rPr>
      </w:pPr>
      <w:r>
        <w:rPr>
          <w:rFonts w:hint="eastAsia" w:ascii="宋体" w:hAnsi="宋体" w:eastAsia="宋体" w:cs="宋体"/>
          <w:bCs/>
          <w:sz w:val="21"/>
          <w:szCs w:val="21"/>
        </w:rPr>
        <w:t>三、质疑事项具体内容</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质疑事项1：</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事实依据：</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法律依据：</w:t>
      </w: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质疑事项2</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w:t>
      </w:r>
    </w:p>
    <w:p>
      <w:pPr>
        <w:adjustRightInd w:val="0"/>
        <w:snapToGrid w:val="0"/>
        <w:spacing w:line="360" w:lineRule="auto"/>
        <w:rPr>
          <w:rFonts w:hint="eastAsia" w:ascii="宋体" w:hAnsi="宋体" w:eastAsia="宋体" w:cs="宋体"/>
          <w:bCs/>
          <w:sz w:val="21"/>
          <w:szCs w:val="21"/>
        </w:rPr>
      </w:pPr>
      <w:r>
        <w:rPr>
          <w:rFonts w:hint="eastAsia" w:ascii="宋体" w:hAnsi="宋体" w:eastAsia="宋体" w:cs="宋体"/>
          <w:bCs/>
          <w:sz w:val="21"/>
          <w:szCs w:val="21"/>
        </w:rPr>
        <w:t>四、与质疑事项相关的质疑请求</w:t>
      </w:r>
    </w:p>
    <w:p>
      <w:pPr>
        <w:adjustRightInd w:val="0"/>
        <w:snapToGrid w:val="0"/>
        <w:spacing w:line="360" w:lineRule="auto"/>
        <w:rPr>
          <w:rFonts w:hint="eastAsia" w:ascii="宋体" w:hAnsi="宋体" w:eastAsia="宋体" w:cs="宋体"/>
          <w:sz w:val="21"/>
          <w:szCs w:val="21"/>
          <w:u w:val="dotted"/>
        </w:rPr>
      </w:pPr>
      <w:r>
        <w:rPr>
          <w:rFonts w:hint="eastAsia" w:ascii="宋体" w:hAnsi="宋体" w:eastAsia="宋体" w:cs="宋体"/>
          <w:sz w:val="21"/>
          <w:szCs w:val="21"/>
        </w:rPr>
        <w:t>请求：</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签字</w:t>
      </w:r>
      <w:r>
        <w:rPr>
          <w:rFonts w:hint="eastAsia" w:ascii="宋体" w:hAnsi="宋体" w:cs="宋体"/>
          <w:sz w:val="21"/>
          <w:szCs w:val="21"/>
          <w:lang w:eastAsia="zh-CN"/>
        </w:rPr>
        <w:t>（</w:t>
      </w:r>
      <w:r>
        <w:rPr>
          <w:rFonts w:hint="eastAsia" w:ascii="宋体" w:hAnsi="宋体" w:eastAsia="宋体" w:cs="宋体"/>
          <w:sz w:val="21"/>
          <w:szCs w:val="21"/>
        </w:rPr>
        <w:t>签章</w:t>
      </w:r>
      <w:r>
        <w:rPr>
          <w:rFonts w:hint="eastAsia" w:ascii="宋体" w:hAnsi="宋体" w:cs="宋体"/>
          <w:sz w:val="21"/>
          <w:szCs w:val="21"/>
          <w:lang w:eastAsia="zh-CN"/>
        </w:rPr>
        <w:t>）</w:t>
      </w:r>
      <w:r>
        <w:rPr>
          <w:rFonts w:hint="eastAsia" w:ascii="宋体" w:hAnsi="宋体" w:eastAsia="宋体" w:cs="宋体"/>
          <w:sz w:val="21"/>
          <w:szCs w:val="21"/>
        </w:rPr>
        <w:t xml:space="preserve">：                   公章：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日期：    </w:t>
      </w:r>
    </w:p>
    <w:p>
      <w:pPr>
        <w:rPr>
          <w:rFonts w:hint="eastAsia" w:ascii="宋体" w:hAnsi="宋体" w:eastAsia="宋体" w:cs="宋体"/>
          <w:b/>
          <w:sz w:val="21"/>
          <w:szCs w:val="21"/>
        </w:rPr>
      </w:pPr>
      <w:r>
        <w:rPr>
          <w:rFonts w:hint="eastAsia" w:ascii="宋体" w:hAnsi="宋体" w:eastAsia="宋体" w:cs="宋体"/>
          <w:b/>
          <w:sz w:val="21"/>
          <w:szCs w:val="21"/>
        </w:rPr>
        <w:br w:type="page"/>
      </w:r>
    </w:p>
    <w:p>
      <w:pPr>
        <w:spacing w:line="360" w:lineRule="auto"/>
        <w:rPr>
          <w:rFonts w:hint="eastAsia" w:ascii="宋体" w:hAnsi="宋体" w:eastAsia="宋体" w:cs="宋体"/>
          <w:b/>
          <w:sz w:val="21"/>
          <w:szCs w:val="21"/>
        </w:rPr>
      </w:pPr>
      <w:r>
        <w:rPr>
          <w:rFonts w:hint="eastAsia" w:ascii="宋体" w:hAnsi="宋体" w:eastAsia="宋体" w:cs="宋体"/>
          <w:b/>
          <w:sz w:val="21"/>
          <w:szCs w:val="21"/>
        </w:rPr>
        <w:t>质疑函制作说明：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1.供应商提出质疑时，应提交质疑函和必要的证明材料。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3.质疑供应商若对项目的某一分包进行质疑，质疑函中应列明具体分包号。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4.质疑函的质疑事项应具体、明确，并有必要的事实依据和法律依据。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5.质疑函的质疑请求应与质疑事项相关。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6.质疑供应商为自然人的，质疑函应由本人签字；质疑供应商为法人或者其他组织的，质疑函应由法定代表人、主要负责人，或者其授权代表签字或者盖章，并加盖公章。</w:t>
      </w: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br w:type="page"/>
      </w: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投诉书范本</w:t>
      </w:r>
    </w:p>
    <w:p>
      <w:pPr>
        <w:spacing w:line="360" w:lineRule="auto"/>
        <w:rPr>
          <w:rFonts w:hint="eastAsia" w:ascii="宋体" w:hAnsi="宋体" w:eastAsia="宋体" w:cs="宋体"/>
          <w:sz w:val="21"/>
          <w:szCs w:val="21"/>
        </w:rPr>
      </w:pPr>
      <w:r>
        <w:rPr>
          <w:rFonts w:hint="eastAsia" w:ascii="宋体" w:hAnsi="宋体" w:eastAsia="宋体" w:cs="宋体"/>
          <w:sz w:val="21"/>
          <w:szCs w:val="21"/>
        </w:rPr>
        <w:t>一、投诉相关主体基本情况</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投诉人：</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tabs>
          <w:tab w:val="left" w:pos="6510"/>
        </w:tabs>
        <w:spacing w:line="360" w:lineRule="auto"/>
        <w:rPr>
          <w:rFonts w:hint="eastAsia" w:ascii="宋体" w:hAnsi="宋体" w:eastAsia="宋体" w:cs="宋体"/>
          <w:sz w:val="21"/>
          <w:szCs w:val="21"/>
        </w:rPr>
      </w:pPr>
      <w:r>
        <w:rPr>
          <w:rFonts w:hint="eastAsia" w:ascii="宋体" w:hAnsi="宋体" w:eastAsia="宋体" w:cs="宋体"/>
          <w:sz w:val="21"/>
          <w:szCs w:val="21"/>
        </w:rPr>
        <w:t>法定代表人/主要负责人：</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tabs>
          <w:tab w:val="left" w:pos="6510"/>
        </w:tabs>
        <w:spacing w:line="360" w:lineRule="auto"/>
        <w:rPr>
          <w:rFonts w:hint="eastAsia" w:ascii="宋体" w:hAnsi="宋体" w:eastAsia="宋体" w:cs="宋体"/>
          <w:sz w:val="21"/>
          <w:szCs w:val="21"/>
          <w:u w:val="dotted"/>
        </w:rPr>
      </w:pP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授权代表：</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地     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被投诉人1：</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联系人：</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被投诉人2</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相关供应商：</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dotted"/>
        </w:rPr>
        <w:t xml:space="preserve">                             </w:t>
      </w:r>
      <w:r>
        <w:rPr>
          <w:rFonts w:hint="eastAsia" w:ascii="宋体" w:hAnsi="宋体" w:eastAsia="宋体" w:cs="宋体"/>
          <w:sz w:val="21"/>
          <w:szCs w:val="21"/>
        </w:rPr>
        <w:t>邮编：</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联系人：</w:t>
      </w:r>
      <w:r>
        <w:rPr>
          <w:rFonts w:hint="eastAsia" w:ascii="宋体" w:hAnsi="宋体" w:eastAsia="宋体" w:cs="宋体"/>
          <w:sz w:val="21"/>
          <w:szCs w:val="21"/>
          <w:u w:val="dotted"/>
        </w:rPr>
        <w:t xml:space="preserve">               </w:t>
      </w:r>
      <w:r>
        <w:rPr>
          <w:rFonts w:hint="eastAsia" w:ascii="宋体" w:hAnsi="宋体" w:eastAsia="宋体" w:cs="宋体"/>
          <w:sz w:val="21"/>
          <w:szCs w:val="21"/>
        </w:rPr>
        <w:t>联系电话：</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二、投诉项目基本情况</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采购项目名称：</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采购项目编号：</w:t>
      </w:r>
      <w:r>
        <w:rPr>
          <w:rFonts w:hint="eastAsia" w:ascii="宋体" w:hAnsi="宋体" w:eastAsia="宋体" w:cs="宋体"/>
          <w:sz w:val="21"/>
          <w:szCs w:val="21"/>
          <w:u w:val="dotted"/>
        </w:rPr>
        <w:t xml:space="preserve">                 </w:t>
      </w:r>
      <w:r>
        <w:rPr>
          <w:rFonts w:hint="eastAsia" w:ascii="宋体" w:hAnsi="宋体" w:eastAsia="宋体" w:cs="宋体"/>
          <w:sz w:val="21"/>
          <w:szCs w:val="21"/>
        </w:rPr>
        <w:t>包号：</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采购人名称：</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代理机构名称：</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采购文件公告</w:t>
      </w:r>
      <w:r>
        <w:rPr>
          <w:rFonts w:hint="eastAsia" w:ascii="宋体" w:hAnsi="宋体" w:cs="宋体"/>
          <w:sz w:val="21"/>
          <w:szCs w:val="21"/>
          <w:lang w:eastAsia="zh-CN"/>
        </w:rPr>
        <w:t>：</w:t>
      </w:r>
      <w:r>
        <w:rPr>
          <w:rFonts w:hint="eastAsia" w:ascii="宋体" w:hAnsi="宋体" w:eastAsia="宋体" w:cs="宋体"/>
          <w:sz w:val="21"/>
          <w:szCs w:val="21"/>
          <w:u w:val="dotted"/>
        </w:rPr>
        <w:t xml:space="preserve">是/否 </w:t>
      </w:r>
      <w:r>
        <w:rPr>
          <w:rFonts w:hint="eastAsia" w:ascii="宋体" w:hAnsi="宋体" w:eastAsia="宋体" w:cs="宋体"/>
          <w:sz w:val="21"/>
          <w:szCs w:val="21"/>
        </w:rPr>
        <w:t>公告期限：</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采购结果公告</w:t>
      </w:r>
      <w:r>
        <w:rPr>
          <w:rFonts w:hint="eastAsia" w:ascii="宋体" w:hAnsi="宋体" w:cs="宋体"/>
          <w:sz w:val="21"/>
          <w:szCs w:val="21"/>
          <w:lang w:eastAsia="zh-CN"/>
        </w:rPr>
        <w:t>：</w:t>
      </w:r>
      <w:r>
        <w:rPr>
          <w:rFonts w:hint="eastAsia" w:ascii="宋体" w:hAnsi="宋体" w:eastAsia="宋体" w:cs="宋体"/>
          <w:sz w:val="21"/>
          <w:szCs w:val="21"/>
          <w:u w:val="dotted"/>
        </w:rPr>
        <w:t xml:space="preserve">是/否 </w:t>
      </w:r>
      <w:r>
        <w:rPr>
          <w:rFonts w:hint="eastAsia" w:ascii="宋体" w:hAnsi="宋体" w:eastAsia="宋体" w:cs="宋体"/>
          <w:sz w:val="21"/>
          <w:szCs w:val="21"/>
        </w:rPr>
        <w:t>公告期限：</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三、质疑基本情况</w:t>
      </w:r>
    </w:p>
    <w:p>
      <w:pPr>
        <w:spacing w:line="360" w:lineRule="auto"/>
        <w:ind w:firstLine="420" w:firstLineChars="200"/>
        <w:rPr>
          <w:rFonts w:hint="eastAsia" w:ascii="宋体" w:hAnsi="宋体" w:eastAsia="宋体" w:cs="宋体"/>
          <w:sz w:val="21"/>
          <w:szCs w:val="21"/>
          <w:u w:val="dotted"/>
        </w:rPr>
      </w:pPr>
      <w:r>
        <w:rPr>
          <w:rFonts w:hint="eastAsia" w:ascii="宋体" w:hAnsi="宋体" w:eastAsia="宋体" w:cs="宋体"/>
          <w:sz w:val="21"/>
          <w:szCs w:val="21"/>
        </w:rPr>
        <w:t>投诉人于</w:t>
      </w:r>
      <w:r>
        <w:rPr>
          <w:rFonts w:hint="eastAsia" w:ascii="宋体" w:hAnsi="宋体" w:eastAsia="宋体" w:cs="宋体"/>
          <w:sz w:val="21"/>
          <w:szCs w:val="21"/>
          <w:u w:val="dotted"/>
        </w:rPr>
        <w:t xml:space="preserve">   </w:t>
      </w:r>
      <w:r>
        <w:rPr>
          <w:rFonts w:hint="eastAsia" w:ascii="宋体" w:hAnsi="宋体" w:eastAsia="宋体" w:cs="宋体"/>
          <w:sz w:val="21"/>
          <w:szCs w:val="21"/>
        </w:rPr>
        <w:t>年</w:t>
      </w:r>
      <w:r>
        <w:rPr>
          <w:rFonts w:hint="eastAsia" w:ascii="宋体" w:hAnsi="宋体" w:eastAsia="宋体" w:cs="宋体"/>
          <w:sz w:val="21"/>
          <w:szCs w:val="21"/>
          <w:u w:val="dotted"/>
        </w:rPr>
        <w:t xml:space="preserve">   </w:t>
      </w:r>
      <w:r>
        <w:rPr>
          <w:rFonts w:hint="eastAsia" w:ascii="宋体" w:hAnsi="宋体" w:eastAsia="宋体" w:cs="宋体"/>
          <w:sz w:val="21"/>
          <w:szCs w:val="21"/>
        </w:rPr>
        <w:t>月</w:t>
      </w:r>
      <w:r>
        <w:rPr>
          <w:rFonts w:hint="eastAsia" w:ascii="宋体" w:hAnsi="宋体" w:eastAsia="宋体" w:cs="宋体"/>
          <w:sz w:val="21"/>
          <w:szCs w:val="21"/>
          <w:u w:val="dotted"/>
        </w:rPr>
        <w:t xml:space="preserve">  </w:t>
      </w:r>
      <w:r>
        <w:rPr>
          <w:rFonts w:hint="eastAsia" w:ascii="宋体" w:hAnsi="宋体" w:eastAsia="宋体" w:cs="宋体"/>
          <w:sz w:val="21"/>
          <w:szCs w:val="21"/>
        </w:rPr>
        <w:t>日</w:t>
      </w:r>
      <w:r>
        <w:rPr>
          <w:rFonts w:hint="eastAsia" w:ascii="宋体" w:hAnsi="宋体" w:cs="宋体"/>
          <w:sz w:val="21"/>
          <w:szCs w:val="21"/>
          <w:lang w:eastAsia="zh-CN"/>
        </w:rPr>
        <w:t>，</w:t>
      </w:r>
      <w:r>
        <w:rPr>
          <w:rFonts w:hint="eastAsia" w:ascii="宋体" w:hAnsi="宋体" w:eastAsia="宋体" w:cs="宋体"/>
          <w:sz w:val="21"/>
          <w:szCs w:val="21"/>
        </w:rPr>
        <w:t>向</w:t>
      </w:r>
      <w:r>
        <w:rPr>
          <w:rFonts w:hint="eastAsia" w:ascii="宋体" w:hAnsi="宋体" w:eastAsia="宋体" w:cs="宋体"/>
          <w:sz w:val="21"/>
          <w:szCs w:val="21"/>
          <w:u w:val="dotted"/>
        </w:rPr>
        <w:t xml:space="preserve">                   </w:t>
      </w:r>
      <w:r>
        <w:rPr>
          <w:rFonts w:hint="eastAsia" w:ascii="宋体" w:hAnsi="宋体" w:eastAsia="宋体" w:cs="宋体"/>
          <w:sz w:val="21"/>
          <w:szCs w:val="21"/>
        </w:rPr>
        <w:t>提出质疑，质疑事项为：</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u w:val="dotted"/>
        </w:rPr>
        <w:t>采购人/代理机构</w:t>
      </w:r>
      <w:r>
        <w:rPr>
          <w:rFonts w:hint="eastAsia" w:ascii="宋体" w:hAnsi="宋体" w:eastAsia="宋体" w:cs="宋体"/>
          <w:sz w:val="21"/>
          <w:szCs w:val="21"/>
        </w:rPr>
        <w:t>于</w:t>
      </w:r>
      <w:r>
        <w:rPr>
          <w:rFonts w:hint="eastAsia" w:ascii="宋体" w:hAnsi="宋体" w:eastAsia="宋体" w:cs="宋体"/>
          <w:sz w:val="21"/>
          <w:szCs w:val="21"/>
          <w:u w:val="dotted"/>
        </w:rPr>
        <w:t xml:space="preserve">   </w:t>
      </w:r>
      <w:r>
        <w:rPr>
          <w:rFonts w:hint="eastAsia" w:ascii="宋体" w:hAnsi="宋体" w:eastAsia="宋体" w:cs="宋体"/>
          <w:sz w:val="21"/>
          <w:szCs w:val="21"/>
        </w:rPr>
        <w:t>年</w:t>
      </w:r>
      <w:r>
        <w:rPr>
          <w:rFonts w:hint="eastAsia" w:ascii="宋体" w:hAnsi="宋体" w:eastAsia="宋体" w:cs="宋体"/>
          <w:sz w:val="21"/>
          <w:szCs w:val="21"/>
          <w:u w:val="dotted"/>
        </w:rPr>
        <w:t xml:space="preserve">   </w:t>
      </w:r>
      <w:r>
        <w:rPr>
          <w:rFonts w:hint="eastAsia" w:ascii="宋体" w:hAnsi="宋体" w:eastAsia="宋体" w:cs="宋体"/>
          <w:sz w:val="21"/>
          <w:szCs w:val="21"/>
        </w:rPr>
        <w:t>月</w:t>
      </w:r>
      <w:r>
        <w:rPr>
          <w:rFonts w:hint="eastAsia" w:ascii="宋体" w:hAnsi="宋体" w:eastAsia="宋体" w:cs="宋体"/>
          <w:sz w:val="21"/>
          <w:szCs w:val="21"/>
          <w:u w:val="dotted"/>
        </w:rPr>
        <w:t xml:space="preserve">   </w:t>
      </w:r>
      <w:r>
        <w:rPr>
          <w:rFonts w:hint="eastAsia" w:ascii="宋体" w:hAnsi="宋体" w:eastAsia="宋体" w:cs="宋体"/>
          <w:sz w:val="21"/>
          <w:szCs w:val="21"/>
        </w:rPr>
        <w:t>日</w:t>
      </w:r>
      <w:r>
        <w:rPr>
          <w:rFonts w:hint="eastAsia" w:ascii="宋体" w:hAnsi="宋体" w:cs="宋体"/>
          <w:sz w:val="21"/>
          <w:szCs w:val="21"/>
          <w:lang w:eastAsia="zh-CN"/>
        </w:rPr>
        <w:t>，</w:t>
      </w:r>
      <w:r>
        <w:rPr>
          <w:rFonts w:hint="eastAsia" w:ascii="宋体" w:hAnsi="宋体" w:eastAsia="宋体" w:cs="宋体"/>
          <w:sz w:val="21"/>
          <w:szCs w:val="21"/>
        </w:rPr>
        <w:t>就质疑事项作出了答复/没有在法定期限内作出答复。</w:t>
      </w:r>
    </w:p>
    <w:p>
      <w:pPr>
        <w:spacing w:line="360" w:lineRule="auto"/>
        <w:rPr>
          <w:rFonts w:hint="eastAsia" w:ascii="宋体" w:hAnsi="宋体" w:eastAsia="宋体" w:cs="宋体"/>
          <w:sz w:val="21"/>
          <w:szCs w:val="21"/>
        </w:rPr>
      </w:pPr>
      <w:r>
        <w:rPr>
          <w:rFonts w:hint="eastAsia" w:ascii="宋体" w:hAnsi="宋体" w:eastAsia="宋体" w:cs="宋体"/>
          <w:sz w:val="21"/>
          <w:szCs w:val="21"/>
        </w:rPr>
        <w:t>四、投诉事项具体内容</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投诉事项 1：</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事实依据：</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法律依据：</w:t>
      </w: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u w:val="dotted"/>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投诉事项2</w:t>
      </w:r>
    </w:p>
    <w:p>
      <w:pPr>
        <w:spacing w:line="360" w:lineRule="auto"/>
        <w:rPr>
          <w:rFonts w:hint="eastAsia" w:ascii="宋体" w:hAnsi="宋体" w:eastAsia="宋体" w:cs="宋体"/>
          <w:sz w:val="21"/>
          <w:szCs w:val="21"/>
          <w:u w:val="dotted"/>
        </w:rPr>
      </w:pP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五、与投诉事项相关的投诉请求</w:t>
      </w:r>
    </w:p>
    <w:p>
      <w:pPr>
        <w:spacing w:line="360" w:lineRule="auto"/>
        <w:rPr>
          <w:rFonts w:hint="eastAsia" w:ascii="宋体" w:hAnsi="宋体" w:eastAsia="宋体" w:cs="宋体"/>
          <w:sz w:val="21"/>
          <w:szCs w:val="21"/>
        </w:rPr>
      </w:pPr>
      <w:r>
        <w:rPr>
          <w:rFonts w:hint="eastAsia" w:ascii="宋体" w:hAnsi="宋体" w:eastAsia="宋体" w:cs="宋体"/>
          <w:sz w:val="21"/>
          <w:szCs w:val="21"/>
        </w:rPr>
        <w:t>请求：</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 xml:space="preserve">                                                                    </w:t>
      </w:r>
    </w:p>
    <w:p>
      <w:pPr>
        <w:spacing w:line="360" w:lineRule="auto"/>
        <w:rPr>
          <w:rFonts w:hint="eastAsia" w:ascii="宋体" w:hAnsi="宋体" w:eastAsia="宋体" w:cs="宋体"/>
          <w:sz w:val="21"/>
          <w:szCs w:val="21"/>
        </w:rPr>
      </w:pPr>
      <w:r>
        <w:rPr>
          <w:rFonts w:hint="eastAsia" w:ascii="宋体" w:hAnsi="宋体" w:eastAsia="宋体" w:cs="宋体"/>
          <w:sz w:val="21"/>
          <w:szCs w:val="21"/>
        </w:rPr>
        <w:t>签字</w:t>
      </w:r>
      <w:r>
        <w:rPr>
          <w:rFonts w:hint="eastAsia" w:ascii="宋体" w:hAnsi="宋体" w:cs="宋体"/>
          <w:sz w:val="21"/>
          <w:szCs w:val="21"/>
          <w:lang w:eastAsia="zh-CN"/>
        </w:rPr>
        <w:t>（</w:t>
      </w:r>
      <w:r>
        <w:rPr>
          <w:rFonts w:hint="eastAsia" w:ascii="宋体" w:hAnsi="宋体" w:eastAsia="宋体" w:cs="宋体"/>
          <w:sz w:val="21"/>
          <w:szCs w:val="21"/>
        </w:rPr>
        <w:t>签章</w:t>
      </w:r>
      <w:r>
        <w:rPr>
          <w:rFonts w:hint="eastAsia" w:ascii="宋体" w:hAnsi="宋体" w:cs="宋体"/>
          <w:sz w:val="21"/>
          <w:szCs w:val="21"/>
          <w:lang w:eastAsia="zh-CN"/>
        </w:rPr>
        <w:t>）</w:t>
      </w:r>
      <w:r>
        <w:rPr>
          <w:rFonts w:hint="eastAsia" w:ascii="宋体" w:hAnsi="宋体" w:eastAsia="宋体" w:cs="宋体"/>
          <w:sz w:val="21"/>
          <w:szCs w:val="21"/>
        </w:rPr>
        <w:t xml:space="preserve">：                   公章：                      </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日期：    </w:t>
      </w: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r>
        <w:rPr>
          <w:rFonts w:hint="eastAsia" w:ascii="宋体" w:hAnsi="宋体" w:eastAsia="宋体" w:cs="宋体"/>
          <w:b/>
          <w:sz w:val="21"/>
          <w:szCs w:val="21"/>
        </w:rPr>
        <w:t>投诉书制作说明：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1.投诉人提起投诉时，应当提交投诉书和必要的证明材料，并按照被投诉人和与投诉事项有关的供应商数量提供投诉书副本。</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3.投诉人若对项目的某一分包进行投诉，投诉书应列明具体分包号。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4.投诉书应简要列明质疑事项，质疑函、质疑答复等作为附件材料提供。</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5.投诉书的投诉事项应具体、明确，并有必要的事实依据和法律依据。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6.投诉书的投诉请求应与投诉事项相关。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7.投诉人为自然人的，投诉书应当由本人签字；投诉人为法人或者其他组织的，投诉书应当由法定代表人、主要负责人，或者其授权代表签字或者盖章，并加盖公章。</w:t>
      </w:r>
    </w:p>
    <w:p>
      <w:pPr>
        <w:spacing w:line="500" w:lineRule="exact"/>
        <w:rPr>
          <w:rFonts w:hint="eastAsia" w:ascii="宋体" w:hAnsi="宋体" w:eastAsia="宋体" w:cs="宋体"/>
          <w:sz w:val="21"/>
          <w:szCs w:val="21"/>
        </w:rPr>
      </w:pPr>
    </w:p>
    <w:p>
      <w:pPr>
        <w:pStyle w:val="37"/>
        <w:spacing w:line="480" w:lineRule="auto"/>
        <w:ind w:firstLine="3084" w:firstLineChars="1463"/>
        <w:rPr>
          <w:rFonts w:hint="eastAsia" w:ascii="宋体" w:hAnsi="宋体" w:eastAsia="宋体" w:cs="宋体"/>
          <w:b/>
          <w:sz w:val="21"/>
          <w:szCs w:val="21"/>
          <w:highlight w:val="none"/>
        </w:rPr>
      </w:pPr>
    </w:p>
    <w:sectPr>
      <w:headerReference r:id="rId10" w:type="first"/>
      <w:footerReference r:id="rId12" w:type="first"/>
      <w:headerReference r:id="rId8" w:type="default"/>
      <w:footerReference r:id="rId11" w:type="default"/>
      <w:headerReference r:id="rId9" w:type="even"/>
      <w:pgSz w:w="11906" w:h="16838"/>
      <w:pgMar w:top="1440" w:right="1800" w:bottom="1440" w:left="1800" w:header="851" w:footer="850" w:gutter="0"/>
      <w:paperSrc w:first="7"/>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serif">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体">
    <w:altName w:val="仿宋"/>
    <w:panose1 w:val="02020603050405020304"/>
    <w:charset w:val="86"/>
    <w:family w:val="roma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Arial Unicode MS">
    <w:panose1 w:val="020B0604020202020204"/>
    <w:charset w:val="80"/>
    <w:family w:val="swiss"/>
    <w:pitch w:val="default"/>
    <w:sig w:usb0="FFFFFFFF" w:usb1="E9FFFFFF" w:usb2="0000003F" w:usb3="00000000" w:csb0="603F01FF" w:csb1="FFFF0000"/>
  </w:font>
  <w:font w:name="Trebuchet MS">
    <w:panose1 w:val="020B0603020202020204"/>
    <w:charset w:val="00"/>
    <w:family w:val="swiss"/>
    <w:pitch w:val="default"/>
    <w:sig w:usb0="00000687" w:usb1="00000000" w:usb2="00000000" w:usb3="00000000" w:csb0="2000009F" w:csb1="00000000"/>
  </w:font>
  <w:font w:name="..ì.">
    <w:altName w:val="宋体"/>
    <w:panose1 w:val="00000000000000000000"/>
    <w:charset w:val="86"/>
    <w:family w:val="swiss"/>
    <w:pitch w:val="default"/>
    <w:sig w:usb0="00000000" w:usb1="00000000" w:usb2="00000010" w:usb3="00000000" w:csb0="00040000" w:csb1="00000000"/>
  </w:font>
  <w:font w:name="??">
    <w:altName w:val="宋体"/>
    <w:panose1 w:val="00000000000000000000"/>
    <w:charset w:val="00"/>
    <w:family w:val="roman"/>
    <w:pitch w:val="default"/>
    <w:sig w:usb0="00000000" w:usb1="00000000" w:usb2="00000000" w:usb3="00000000" w:csb0="00040001" w:csb1="00000000"/>
  </w:font>
  <w:font w:name="宋体+Times">
    <w:altName w:val="宋体"/>
    <w:panose1 w:val="00000000000000000000"/>
    <w:charset w:val="86"/>
    <w:family w:val="auto"/>
    <w:pitch w:val="default"/>
    <w:sig w:usb0="00000000" w:usb1="00000000" w:usb2="00000010" w:usb3="00000000" w:csb0="00040000" w:csb1="00000000"/>
  </w:font>
  <w:font w:name="Angsana New">
    <w:altName w:val="Microsoft Sans Serif"/>
    <w:panose1 w:val="02020603050405020304"/>
    <w:charset w:val="DE"/>
    <w:family w:val="roman"/>
    <w:pitch w:val="default"/>
    <w:sig w:usb0="00000000" w:usb1="00000000" w:usb2="00000000" w:usb3="00000000" w:csb0="00010001" w:csb1="00000000"/>
  </w:font>
  <w:font w:name="楷体_GB2312">
    <w:altName w:val="楷体"/>
    <w:panose1 w:val="02010609030101010101"/>
    <w:charset w:val="86"/>
    <w:family w:val="modern"/>
    <w:pitch w:val="default"/>
    <w:sig w:usb0="00000000" w:usb1="00000000" w:usb2="00000000" w:usb3="00000000" w:csb0="00040000" w:csb1="00000000"/>
  </w:font>
  <w:font w:name="Microsoft Sans Serif">
    <w:panose1 w:val="020B0604020202020204"/>
    <w:charset w:val="00"/>
    <w:family w:val="auto"/>
    <w:pitch w:val="default"/>
    <w:sig w:usb0="E5002EFF" w:usb1="C000605B" w:usb2="00000029" w:usb3="00000000" w:csb0="200101FF" w:csb1="20280000"/>
  </w:font>
  <w:font w:name="文鼎CS中黑">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top w:val="single" w:color="auto" w:sz="4" w:space="1"/>
      </w:pBdr>
      <w:rPr>
        <w:rFonts w:hint="eastAsia"/>
      </w:rPr>
    </w:pPr>
    <w:r>
      <w:rPr>
        <w:rFonts w:hint="eastAsia"/>
        <w:lang w:eastAsia="zh-CN"/>
      </w:rPr>
      <w:t>珠海正诺工程咨询有限公司</w:t>
    </w:r>
    <w:r>
      <w:rPr>
        <w:rFonts w:hint="eastAsia"/>
      </w:rPr>
      <w:tab/>
    </w:r>
    <w:r>
      <w:rPr>
        <w:rFonts w:hint="eastAsia"/>
      </w:rPr>
      <w:tab/>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58</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top w:val="single" w:color="auto" w:sz="4" w:space="1"/>
      </w:pBdr>
      <w:rPr>
        <w:rFonts w:hint="eastAsia" w:ascii="宋体" w:hAnsi="宋体"/>
      </w:rPr>
    </w:pPr>
    <w:r>
      <w:rPr>
        <w:rFonts w:hint="eastAsia"/>
        <w:lang w:eastAsia="zh-CN"/>
      </w:rPr>
      <w:t>珠海正诺工程咨询有限公司</w:t>
    </w:r>
    <w:r>
      <w:rPr>
        <w:rFonts w:hint="eastAsia"/>
      </w:rPr>
      <w:tab/>
    </w:r>
    <w:r>
      <w:rPr>
        <w:rFonts w:hint="eastAsia"/>
      </w:rPr>
      <w:tab/>
    </w: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57</w:t>
    </w:r>
    <w:r>
      <w:rPr>
        <w:kern w:val="0"/>
      </w:rPr>
      <w:fldChar w:fldCharType="end"/>
    </w:r>
    <w:r>
      <w:rPr>
        <w:rFonts w:hint="eastAsia"/>
        <w:kern w:val="0"/>
      </w:rPr>
      <w:t xml:space="preserve"> 页 共 </w:t>
    </w:r>
    <w:r>
      <w:rPr>
        <w:kern w:val="0"/>
      </w:rPr>
      <w:fldChar w:fldCharType="begin"/>
    </w:r>
    <w:r>
      <w:rPr>
        <w:kern w:val="0"/>
      </w:rPr>
      <w:instrText xml:space="preserve"> NUMPAGES </w:instrText>
    </w:r>
    <w:r>
      <w:rPr>
        <w:kern w:val="0"/>
      </w:rPr>
      <w:fldChar w:fldCharType="separate"/>
    </w:r>
    <w:r>
      <w:rPr>
        <w:kern w:val="0"/>
      </w:rPr>
      <w:t>58</w:t>
    </w:r>
    <w:r>
      <w:rPr>
        <w:kern w:val="0"/>
      </w:rPr>
      <w:fldChar w:fldCharType="end"/>
    </w:r>
    <w:r>
      <w:rPr>
        <w:rFonts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top w:val="single" w:color="auto" w:sz="4" w:space="1"/>
      </w:pBdr>
    </w:pPr>
    <w:r>
      <w:rPr>
        <w:rFonts w:hint="eastAsia"/>
        <w:lang w:eastAsia="zh-CN"/>
      </w:rPr>
      <w:t>珠海正诺工程咨询有限公司</w:t>
    </w:r>
    <w:r>
      <w:rPr>
        <w:rFonts w:hint="eastAsia"/>
      </w:rPr>
      <w:tab/>
    </w:r>
    <w:r>
      <w:rPr>
        <w:rFonts w:hint="eastAsia"/>
      </w:rPr>
      <w:tab/>
    </w: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57</w:t>
    </w:r>
    <w:r>
      <w:rPr>
        <w:kern w:val="0"/>
      </w:rPr>
      <w:fldChar w:fldCharType="end"/>
    </w:r>
    <w:r>
      <w:rPr>
        <w:rFonts w:hint="eastAsia"/>
        <w:kern w:val="0"/>
      </w:rPr>
      <w:t xml:space="preserve"> 页 共 </w:t>
    </w:r>
    <w:r>
      <w:rPr>
        <w:kern w:val="0"/>
      </w:rPr>
      <w:fldChar w:fldCharType="begin"/>
    </w:r>
    <w:r>
      <w:rPr>
        <w:kern w:val="0"/>
      </w:rPr>
      <w:instrText xml:space="preserve"> NUMPAGES </w:instrText>
    </w:r>
    <w:r>
      <w:rPr>
        <w:kern w:val="0"/>
      </w:rPr>
      <w:fldChar w:fldCharType="separate"/>
    </w:r>
    <w:r>
      <w:rPr>
        <w:kern w:val="0"/>
      </w:rPr>
      <w:t>58</w:t>
    </w:r>
    <w:r>
      <w:rPr>
        <w:kern w:val="0"/>
      </w:rPr>
      <w:fldChar w:fldCharType="end"/>
    </w:r>
    <w:r>
      <w:rPr>
        <w:rFonts w:hint="eastAsia"/>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4" w:space="1"/>
      </w:pBdr>
    </w:pPr>
    <w:r>
      <w:rPr>
        <w:rFonts w:hint="eastAsia"/>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r>
      <w:rPr>
        <w:rFonts w:hint="eastAsia"/>
      </w:rPr>
      <w:t>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4" w:space="1"/>
      </w:pBdr>
    </w:pPr>
    <w:r>
      <w:rPr>
        <w:rFonts w:hint="eastAsia"/>
      </w:rPr>
      <w:t>磋商文件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1">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89A6147"/>
    <w:multiLevelType w:val="multilevel"/>
    <w:tmpl w:val="589A61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662A9E"/>
    <w:multiLevelType w:val="multilevel"/>
    <w:tmpl w:val="5E662A9E"/>
    <w:lvl w:ilvl="0" w:tentative="0">
      <w:start w:val="1"/>
      <w:numFmt w:val="decimal"/>
      <w:lvlText w:val="%1"/>
      <w:lvlJc w:val="left"/>
      <w:pPr>
        <w:tabs>
          <w:tab w:val="left" w:pos="142"/>
        </w:tabs>
        <w:ind w:left="142" w:hanging="142"/>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DBF05BF"/>
    <w:multiLevelType w:val="singleLevel"/>
    <w:tmpl w:val="6DBF05BF"/>
    <w:lvl w:ilvl="0" w:tentative="0">
      <w:start w:val="1"/>
      <w:numFmt w:val="decimal"/>
      <w:suff w:val="nothing"/>
      <w:lvlText w:val="%1、"/>
      <w:lvlJc w:val="left"/>
    </w:lvl>
  </w:abstractNum>
  <w:abstractNum w:abstractNumId="5">
    <w:nsid w:val="78D54744"/>
    <w:multiLevelType w:val="multilevel"/>
    <w:tmpl w:val="78D54744"/>
    <w:lvl w:ilvl="0" w:tentative="0">
      <w:start w:val="1"/>
      <w:numFmt w:val="decimal"/>
      <w:lvlText w:val="%1."/>
      <w:lvlJc w:val="left"/>
      <w:pPr>
        <w:tabs>
          <w:tab w:val="left" w:pos="928"/>
        </w:tabs>
        <w:ind w:left="928" w:hanging="360"/>
      </w:pPr>
      <w:rPr>
        <w:rFonts w:hint="default" w:ascii="宋体" w:hAnsi="宋体" w:eastAsia="宋体" w:cs="Times New Roman"/>
        <w:color w:val="auto"/>
      </w:rPr>
    </w:lvl>
    <w:lvl w:ilvl="1" w:tentative="0">
      <w:start w:val="1"/>
      <w:numFmt w:val="lowerLetter"/>
      <w:lvlText w:val="%2)"/>
      <w:lvlJc w:val="left"/>
      <w:pPr>
        <w:tabs>
          <w:tab w:val="left" w:pos="988"/>
        </w:tabs>
        <w:ind w:left="988" w:hanging="420"/>
      </w:pPr>
    </w:lvl>
    <w:lvl w:ilvl="2" w:tentative="0">
      <w:start w:val="1"/>
      <w:numFmt w:val="lowerRoman"/>
      <w:lvlText w:val="%3."/>
      <w:lvlJc w:val="right"/>
      <w:pPr>
        <w:tabs>
          <w:tab w:val="left" w:pos="1408"/>
        </w:tabs>
        <w:ind w:left="1408" w:hanging="420"/>
      </w:pPr>
    </w:lvl>
    <w:lvl w:ilvl="3" w:tentative="0">
      <w:start w:val="1"/>
      <w:numFmt w:val="decimal"/>
      <w:lvlText w:val="%4."/>
      <w:lvlJc w:val="left"/>
      <w:pPr>
        <w:tabs>
          <w:tab w:val="left" w:pos="1828"/>
        </w:tabs>
        <w:ind w:left="1828" w:hanging="420"/>
      </w:pPr>
    </w:lvl>
    <w:lvl w:ilvl="4" w:tentative="0">
      <w:start w:val="1"/>
      <w:numFmt w:val="lowerLetter"/>
      <w:lvlText w:val="%5)"/>
      <w:lvlJc w:val="left"/>
      <w:pPr>
        <w:tabs>
          <w:tab w:val="left" w:pos="2248"/>
        </w:tabs>
        <w:ind w:left="2248" w:hanging="420"/>
      </w:pPr>
    </w:lvl>
    <w:lvl w:ilvl="5" w:tentative="0">
      <w:start w:val="1"/>
      <w:numFmt w:val="lowerRoman"/>
      <w:lvlText w:val="%6."/>
      <w:lvlJc w:val="right"/>
      <w:pPr>
        <w:tabs>
          <w:tab w:val="left" w:pos="2668"/>
        </w:tabs>
        <w:ind w:left="2668" w:hanging="420"/>
      </w:pPr>
    </w:lvl>
    <w:lvl w:ilvl="6" w:tentative="0">
      <w:start w:val="1"/>
      <w:numFmt w:val="decimal"/>
      <w:lvlText w:val="%7."/>
      <w:lvlJc w:val="left"/>
      <w:pPr>
        <w:tabs>
          <w:tab w:val="left" w:pos="3088"/>
        </w:tabs>
        <w:ind w:left="3088" w:hanging="420"/>
      </w:pPr>
    </w:lvl>
    <w:lvl w:ilvl="7" w:tentative="0">
      <w:start w:val="1"/>
      <w:numFmt w:val="lowerLetter"/>
      <w:lvlText w:val="%8)"/>
      <w:lvlJc w:val="left"/>
      <w:pPr>
        <w:tabs>
          <w:tab w:val="left" w:pos="3508"/>
        </w:tabs>
        <w:ind w:left="3508" w:hanging="420"/>
      </w:pPr>
    </w:lvl>
    <w:lvl w:ilvl="8" w:tentative="0">
      <w:start w:val="1"/>
      <w:numFmt w:val="lowerRoman"/>
      <w:lvlText w:val="%9."/>
      <w:lvlJc w:val="right"/>
      <w:pPr>
        <w:tabs>
          <w:tab w:val="left" w:pos="3928"/>
        </w:tabs>
        <w:ind w:left="3928" w:hanging="420"/>
      </w:pPr>
    </w:lvl>
  </w:abstractNum>
  <w:abstractNum w:abstractNumId="6">
    <w:nsid w:val="7D916B5C"/>
    <w:multiLevelType w:val="multilevel"/>
    <w:tmpl w:val="7D916B5C"/>
    <w:lvl w:ilvl="0" w:tentative="0">
      <w:start w:val="1"/>
      <w:numFmt w:val="decimal"/>
      <w:lvlText w:val="%1"/>
      <w:lvlJc w:val="left"/>
      <w:pPr>
        <w:tabs>
          <w:tab w:val="left" w:pos="142"/>
        </w:tabs>
        <w:ind w:left="142" w:hanging="142"/>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DF75126"/>
    <w:multiLevelType w:val="multilevel"/>
    <w:tmpl w:val="7DF75126"/>
    <w:lvl w:ilvl="0" w:tentative="0">
      <w:start w:val="0"/>
      <w:numFmt w:val="bullet"/>
      <w:lvlText w:val="□"/>
      <w:lvlJc w:val="left"/>
      <w:pPr>
        <w:ind w:left="720" w:hanging="720"/>
      </w:pPr>
      <w:rPr>
        <w:rFonts w:hint="eastAsia" w:ascii="仿宋" w:hAnsi="仿宋" w:eastAsia="仿宋"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CJ">
    <w15:presenceInfo w15:providerId="None" w15:userId="LC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NjEwMzEwMThmMzA0MDAzNmExNGY3NzQyNTNhZGYifQ=="/>
  </w:docVars>
  <w:rsids>
    <w:rsidRoot w:val="00172A27"/>
    <w:rsid w:val="0001300F"/>
    <w:rsid w:val="00014099"/>
    <w:rsid w:val="000145DC"/>
    <w:rsid w:val="00020184"/>
    <w:rsid w:val="000356E3"/>
    <w:rsid w:val="00037B8C"/>
    <w:rsid w:val="000429F0"/>
    <w:rsid w:val="00046397"/>
    <w:rsid w:val="00050E0A"/>
    <w:rsid w:val="00060EF5"/>
    <w:rsid w:val="000624EA"/>
    <w:rsid w:val="00075797"/>
    <w:rsid w:val="000762AB"/>
    <w:rsid w:val="00076660"/>
    <w:rsid w:val="00081081"/>
    <w:rsid w:val="00085EAA"/>
    <w:rsid w:val="0009713E"/>
    <w:rsid w:val="000B1206"/>
    <w:rsid w:val="000B5569"/>
    <w:rsid w:val="000B6A4D"/>
    <w:rsid w:val="000B7FA9"/>
    <w:rsid w:val="000C03E5"/>
    <w:rsid w:val="000C11B7"/>
    <w:rsid w:val="000C620A"/>
    <w:rsid w:val="000C7919"/>
    <w:rsid w:val="000C7F73"/>
    <w:rsid w:val="000D3DBB"/>
    <w:rsid w:val="000D514E"/>
    <w:rsid w:val="000D5C09"/>
    <w:rsid w:val="000F5391"/>
    <w:rsid w:val="000F56C9"/>
    <w:rsid w:val="000F7E25"/>
    <w:rsid w:val="00100A05"/>
    <w:rsid w:val="00103C67"/>
    <w:rsid w:val="00105176"/>
    <w:rsid w:val="00107F19"/>
    <w:rsid w:val="00107FF0"/>
    <w:rsid w:val="00110AD0"/>
    <w:rsid w:val="00114175"/>
    <w:rsid w:val="00114286"/>
    <w:rsid w:val="00115B7D"/>
    <w:rsid w:val="00116192"/>
    <w:rsid w:val="00120E1D"/>
    <w:rsid w:val="00120F5B"/>
    <w:rsid w:val="001271BE"/>
    <w:rsid w:val="00130E4C"/>
    <w:rsid w:val="001439FB"/>
    <w:rsid w:val="00145BE6"/>
    <w:rsid w:val="00146C31"/>
    <w:rsid w:val="00155DC4"/>
    <w:rsid w:val="00160645"/>
    <w:rsid w:val="00175EEB"/>
    <w:rsid w:val="00180E42"/>
    <w:rsid w:val="00194183"/>
    <w:rsid w:val="001957C5"/>
    <w:rsid w:val="001B29F9"/>
    <w:rsid w:val="001B74A6"/>
    <w:rsid w:val="001C1676"/>
    <w:rsid w:val="001D1A68"/>
    <w:rsid w:val="001D2D86"/>
    <w:rsid w:val="001E1110"/>
    <w:rsid w:val="001E3B70"/>
    <w:rsid w:val="001F222E"/>
    <w:rsid w:val="001F4923"/>
    <w:rsid w:val="001F7C43"/>
    <w:rsid w:val="0020057B"/>
    <w:rsid w:val="00204B23"/>
    <w:rsid w:val="0021219F"/>
    <w:rsid w:val="00215489"/>
    <w:rsid w:val="00215F29"/>
    <w:rsid w:val="00220CB8"/>
    <w:rsid w:val="002227B6"/>
    <w:rsid w:val="002235AA"/>
    <w:rsid w:val="00235C69"/>
    <w:rsid w:val="002371D9"/>
    <w:rsid w:val="0023763C"/>
    <w:rsid w:val="0024088E"/>
    <w:rsid w:val="002472A7"/>
    <w:rsid w:val="0024795D"/>
    <w:rsid w:val="002576D4"/>
    <w:rsid w:val="00283B47"/>
    <w:rsid w:val="00295680"/>
    <w:rsid w:val="002A2354"/>
    <w:rsid w:val="002A3571"/>
    <w:rsid w:val="002B2ACD"/>
    <w:rsid w:val="002B7ADE"/>
    <w:rsid w:val="002C7594"/>
    <w:rsid w:val="002D6644"/>
    <w:rsid w:val="002E3754"/>
    <w:rsid w:val="002E390F"/>
    <w:rsid w:val="002F09AC"/>
    <w:rsid w:val="002F10F2"/>
    <w:rsid w:val="002F1C47"/>
    <w:rsid w:val="002F6CDB"/>
    <w:rsid w:val="00303A21"/>
    <w:rsid w:val="00305135"/>
    <w:rsid w:val="00307343"/>
    <w:rsid w:val="00321F49"/>
    <w:rsid w:val="003241CE"/>
    <w:rsid w:val="00325B56"/>
    <w:rsid w:val="00330FFE"/>
    <w:rsid w:val="00351043"/>
    <w:rsid w:val="00352077"/>
    <w:rsid w:val="00355780"/>
    <w:rsid w:val="003574DA"/>
    <w:rsid w:val="003577F9"/>
    <w:rsid w:val="003626BF"/>
    <w:rsid w:val="0036540F"/>
    <w:rsid w:val="00372F76"/>
    <w:rsid w:val="00374652"/>
    <w:rsid w:val="00396732"/>
    <w:rsid w:val="003A08FD"/>
    <w:rsid w:val="003A33C8"/>
    <w:rsid w:val="003C104C"/>
    <w:rsid w:val="003C743F"/>
    <w:rsid w:val="003C7763"/>
    <w:rsid w:val="003D5CB4"/>
    <w:rsid w:val="003D74D5"/>
    <w:rsid w:val="003D7AC5"/>
    <w:rsid w:val="003E0873"/>
    <w:rsid w:val="003E584B"/>
    <w:rsid w:val="003E5DEF"/>
    <w:rsid w:val="00402C3F"/>
    <w:rsid w:val="00405B4E"/>
    <w:rsid w:val="00411A9F"/>
    <w:rsid w:val="0041388E"/>
    <w:rsid w:val="0042172D"/>
    <w:rsid w:val="004307AE"/>
    <w:rsid w:val="00437973"/>
    <w:rsid w:val="00444325"/>
    <w:rsid w:val="00447E6F"/>
    <w:rsid w:val="00451A67"/>
    <w:rsid w:val="004525A2"/>
    <w:rsid w:val="004526E3"/>
    <w:rsid w:val="004571D0"/>
    <w:rsid w:val="004607EE"/>
    <w:rsid w:val="004668CF"/>
    <w:rsid w:val="0047097D"/>
    <w:rsid w:val="00470EE8"/>
    <w:rsid w:val="00483B48"/>
    <w:rsid w:val="0048608C"/>
    <w:rsid w:val="004910D3"/>
    <w:rsid w:val="00493348"/>
    <w:rsid w:val="004A13FB"/>
    <w:rsid w:val="004A2E6B"/>
    <w:rsid w:val="004A7FEF"/>
    <w:rsid w:val="004B31D9"/>
    <w:rsid w:val="004B4A30"/>
    <w:rsid w:val="004C0653"/>
    <w:rsid w:val="004C2A10"/>
    <w:rsid w:val="004C6687"/>
    <w:rsid w:val="004D4E13"/>
    <w:rsid w:val="004D6271"/>
    <w:rsid w:val="004E4E38"/>
    <w:rsid w:val="004E6E50"/>
    <w:rsid w:val="004F5B58"/>
    <w:rsid w:val="0050051C"/>
    <w:rsid w:val="00502732"/>
    <w:rsid w:val="00506DCF"/>
    <w:rsid w:val="00511697"/>
    <w:rsid w:val="00511DFC"/>
    <w:rsid w:val="00520DA7"/>
    <w:rsid w:val="00527578"/>
    <w:rsid w:val="00531CC1"/>
    <w:rsid w:val="005328DA"/>
    <w:rsid w:val="00532A16"/>
    <w:rsid w:val="00541D00"/>
    <w:rsid w:val="00546241"/>
    <w:rsid w:val="00546848"/>
    <w:rsid w:val="005473CA"/>
    <w:rsid w:val="0055006B"/>
    <w:rsid w:val="00557B21"/>
    <w:rsid w:val="00563D99"/>
    <w:rsid w:val="00565351"/>
    <w:rsid w:val="00571245"/>
    <w:rsid w:val="005750B9"/>
    <w:rsid w:val="00587D14"/>
    <w:rsid w:val="005914D3"/>
    <w:rsid w:val="00592A99"/>
    <w:rsid w:val="00593FF2"/>
    <w:rsid w:val="005965EA"/>
    <w:rsid w:val="0059740A"/>
    <w:rsid w:val="005A0416"/>
    <w:rsid w:val="005A12E0"/>
    <w:rsid w:val="005A2D29"/>
    <w:rsid w:val="005B7ADB"/>
    <w:rsid w:val="005C0827"/>
    <w:rsid w:val="005C5BB2"/>
    <w:rsid w:val="005C7519"/>
    <w:rsid w:val="005D1F78"/>
    <w:rsid w:val="005F0D54"/>
    <w:rsid w:val="005F11C9"/>
    <w:rsid w:val="005F481B"/>
    <w:rsid w:val="005F73A5"/>
    <w:rsid w:val="005F764B"/>
    <w:rsid w:val="00607D1E"/>
    <w:rsid w:val="00613504"/>
    <w:rsid w:val="00630CDA"/>
    <w:rsid w:val="006317C6"/>
    <w:rsid w:val="006362E3"/>
    <w:rsid w:val="00637D8C"/>
    <w:rsid w:val="00646D66"/>
    <w:rsid w:val="00651264"/>
    <w:rsid w:val="00670141"/>
    <w:rsid w:val="006718CB"/>
    <w:rsid w:val="006755A5"/>
    <w:rsid w:val="00676D77"/>
    <w:rsid w:val="006957DF"/>
    <w:rsid w:val="006A0878"/>
    <w:rsid w:val="006A41BD"/>
    <w:rsid w:val="006A4E2F"/>
    <w:rsid w:val="006A4F32"/>
    <w:rsid w:val="006A7DB6"/>
    <w:rsid w:val="006B29E5"/>
    <w:rsid w:val="006C0D52"/>
    <w:rsid w:val="006C751D"/>
    <w:rsid w:val="006D2C79"/>
    <w:rsid w:val="006D314B"/>
    <w:rsid w:val="006D32E6"/>
    <w:rsid w:val="006D5DD0"/>
    <w:rsid w:val="006D7CF3"/>
    <w:rsid w:val="006E441C"/>
    <w:rsid w:val="006E47BA"/>
    <w:rsid w:val="006F5F6D"/>
    <w:rsid w:val="00702335"/>
    <w:rsid w:val="00704EC1"/>
    <w:rsid w:val="007062AC"/>
    <w:rsid w:val="00725961"/>
    <w:rsid w:val="0072708B"/>
    <w:rsid w:val="007376C8"/>
    <w:rsid w:val="00740E5C"/>
    <w:rsid w:val="0074237E"/>
    <w:rsid w:val="00743B58"/>
    <w:rsid w:val="007518C3"/>
    <w:rsid w:val="00753258"/>
    <w:rsid w:val="00760147"/>
    <w:rsid w:val="00764522"/>
    <w:rsid w:val="00765604"/>
    <w:rsid w:val="0076639B"/>
    <w:rsid w:val="00772DDB"/>
    <w:rsid w:val="0077378B"/>
    <w:rsid w:val="007907C5"/>
    <w:rsid w:val="00797D68"/>
    <w:rsid w:val="007A0056"/>
    <w:rsid w:val="007A496A"/>
    <w:rsid w:val="007A4C0A"/>
    <w:rsid w:val="007A6EFA"/>
    <w:rsid w:val="007A755E"/>
    <w:rsid w:val="007B00F3"/>
    <w:rsid w:val="007B6E2B"/>
    <w:rsid w:val="007C0192"/>
    <w:rsid w:val="007C4151"/>
    <w:rsid w:val="007D4C4D"/>
    <w:rsid w:val="007E0DD3"/>
    <w:rsid w:val="007E0E40"/>
    <w:rsid w:val="007E6853"/>
    <w:rsid w:val="007E7630"/>
    <w:rsid w:val="007F3171"/>
    <w:rsid w:val="007F7B2D"/>
    <w:rsid w:val="00814123"/>
    <w:rsid w:val="00825728"/>
    <w:rsid w:val="008365A9"/>
    <w:rsid w:val="008443AA"/>
    <w:rsid w:val="00844999"/>
    <w:rsid w:val="00846B1F"/>
    <w:rsid w:val="00847663"/>
    <w:rsid w:val="00852B59"/>
    <w:rsid w:val="0085350A"/>
    <w:rsid w:val="00855111"/>
    <w:rsid w:val="00862726"/>
    <w:rsid w:val="0086333F"/>
    <w:rsid w:val="00881243"/>
    <w:rsid w:val="008816DA"/>
    <w:rsid w:val="00891856"/>
    <w:rsid w:val="00891E98"/>
    <w:rsid w:val="008A53B5"/>
    <w:rsid w:val="008B03F9"/>
    <w:rsid w:val="008B3562"/>
    <w:rsid w:val="008B3F7A"/>
    <w:rsid w:val="008C1FB8"/>
    <w:rsid w:val="008C5513"/>
    <w:rsid w:val="008D236E"/>
    <w:rsid w:val="008D2B88"/>
    <w:rsid w:val="008D4AEA"/>
    <w:rsid w:val="008D70E3"/>
    <w:rsid w:val="008E3CBE"/>
    <w:rsid w:val="008F0FE2"/>
    <w:rsid w:val="008F42F9"/>
    <w:rsid w:val="00900D43"/>
    <w:rsid w:val="009043DD"/>
    <w:rsid w:val="009076E9"/>
    <w:rsid w:val="009149A4"/>
    <w:rsid w:val="009220B2"/>
    <w:rsid w:val="00925C02"/>
    <w:rsid w:val="009269CD"/>
    <w:rsid w:val="00943484"/>
    <w:rsid w:val="009441DA"/>
    <w:rsid w:val="0094445E"/>
    <w:rsid w:val="00945B11"/>
    <w:rsid w:val="00945DFA"/>
    <w:rsid w:val="0095402F"/>
    <w:rsid w:val="00960883"/>
    <w:rsid w:val="0096654A"/>
    <w:rsid w:val="0097335A"/>
    <w:rsid w:val="0098281D"/>
    <w:rsid w:val="00985251"/>
    <w:rsid w:val="00985C93"/>
    <w:rsid w:val="00991AEC"/>
    <w:rsid w:val="00995D13"/>
    <w:rsid w:val="009A0635"/>
    <w:rsid w:val="009B5D83"/>
    <w:rsid w:val="009B7403"/>
    <w:rsid w:val="009C7D7E"/>
    <w:rsid w:val="009D2346"/>
    <w:rsid w:val="009E332A"/>
    <w:rsid w:val="009E51C1"/>
    <w:rsid w:val="009E51F1"/>
    <w:rsid w:val="009E54DD"/>
    <w:rsid w:val="009E6C57"/>
    <w:rsid w:val="009F047C"/>
    <w:rsid w:val="00A02FF5"/>
    <w:rsid w:val="00A0628E"/>
    <w:rsid w:val="00A06635"/>
    <w:rsid w:val="00A13249"/>
    <w:rsid w:val="00A137EB"/>
    <w:rsid w:val="00A2045D"/>
    <w:rsid w:val="00A342F2"/>
    <w:rsid w:val="00A35879"/>
    <w:rsid w:val="00A36867"/>
    <w:rsid w:val="00A413D0"/>
    <w:rsid w:val="00A55EF0"/>
    <w:rsid w:val="00A602A1"/>
    <w:rsid w:val="00A60AC3"/>
    <w:rsid w:val="00A62013"/>
    <w:rsid w:val="00A639CD"/>
    <w:rsid w:val="00A81DE9"/>
    <w:rsid w:val="00A937FB"/>
    <w:rsid w:val="00A9489A"/>
    <w:rsid w:val="00A94A24"/>
    <w:rsid w:val="00A95AAD"/>
    <w:rsid w:val="00AC42FE"/>
    <w:rsid w:val="00AC54B0"/>
    <w:rsid w:val="00AC7F53"/>
    <w:rsid w:val="00AD3802"/>
    <w:rsid w:val="00AD38E7"/>
    <w:rsid w:val="00AF0E96"/>
    <w:rsid w:val="00AF2B0F"/>
    <w:rsid w:val="00B01FD2"/>
    <w:rsid w:val="00B13C36"/>
    <w:rsid w:val="00B16224"/>
    <w:rsid w:val="00B41FA0"/>
    <w:rsid w:val="00B5115C"/>
    <w:rsid w:val="00B627D4"/>
    <w:rsid w:val="00B62DC2"/>
    <w:rsid w:val="00B6596D"/>
    <w:rsid w:val="00B75964"/>
    <w:rsid w:val="00B764FB"/>
    <w:rsid w:val="00B92FE4"/>
    <w:rsid w:val="00B97389"/>
    <w:rsid w:val="00BA3A67"/>
    <w:rsid w:val="00BB3557"/>
    <w:rsid w:val="00BD302A"/>
    <w:rsid w:val="00BD5323"/>
    <w:rsid w:val="00BD6F8E"/>
    <w:rsid w:val="00BE1A63"/>
    <w:rsid w:val="00BE65A0"/>
    <w:rsid w:val="00BE6D8B"/>
    <w:rsid w:val="00BF2011"/>
    <w:rsid w:val="00BF3027"/>
    <w:rsid w:val="00C07884"/>
    <w:rsid w:val="00C15517"/>
    <w:rsid w:val="00C233F9"/>
    <w:rsid w:val="00C3102A"/>
    <w:rsid w:val="00C37377"/>
    <w:rsid w:val="00C37B76"/>
    <w:rsid w:val="00C46B72"/>
    <w:rsid w:val="00C5381A"/>
    <w:rsid w:val="00C55EC6"/>
    <w:rsid w:val="00C617AC"/>
    <w:rsid w:val="00C62816"/>
    <w:rsid w:val="00C83D59"/>
    <w:rsid w:val="00CA1367"/>
    <w:rsid w:val="00CA1C7D"/>
    <w:rsid w:val="00CB2FA9"/>
    <w:rsid w:val="00CB481B"/>
    <w:rsid w:val="00CB6789"/>
    <w:rsid w:val="00CC0A71"/>
    <w:rsid w:val="00CC6608"/>
    <w:rsid w:val="00CD4FDA"/>
    <w:rsid w:val="00CE0CF9"/>
    <w:rsid w:val="00CE461A"/>
    <w:rsid w:val="00CF0F38"/>
    <w:rsid w:val="00CF1256"/>
    <w:rsid w:val="00CF236E"/>
    <w:rsid w:val="00CF33B2"/>
    <w:rsid w:val="00CF6678"/>
    <w:rsid w:val="00D060C0"/>
    <w:rsid w:val="00D069A5"/>
    <w:rsid w:val="00D109ED"/>
    <w:rsid w:val="00D12554"/>
    <w:rsid w:val="00D17A15"/>
    <w:rsid w:val="00D20FD4"/>
    <w:rsid w:val="00D23062"/>
    <w:rsid w:val="00D24F99"/>
    <w:rsid w:val="00D325B0"/>
    <w:rsid w:val="00D32CAE"/>
    <w:rsid w:val="00D40B49"/>
    <w:rsid w:val="00D43073"/>
    <w:rsid w:val="00D4436C"/>
    <w:rsid w:val="00D6022B"/>
    <w:rsid w:val="00D6326F"/>
    <w:rsid w:val="00D6353C"/>
    <w:rsid w:val="00D64F76"/>
    <w:rsid w:val="00D65CD4"/>
    <w:rsid w:val="00D669B5"/>
    <w:rsid w:val="00D67A05"/>
    <w:rsid w:val="00D67D65"/>
    <w:rsid w:val="00D77458"/>
    <w:rsid w:val="00D77B07"/>
    <w:rsid w:val="00D80305"/>
    <w:rsid w:val="00D81191"/>
    <w:rsid w:val="00D91884"/>
    <w:rsid w:val="00D92AC8"/>
    <w:rsid w:val="00D946EE"/>
    <w:rsid w:val="00D97843"/>
    <w:rsid w:val="00DA7C27"/>
    <w:rsid w:val="00DB1B57"/>
    <w:rsid w:val="00DB3031"/>
    <w:rsid w:val="00DB4BF7"/>
    <w:rsid w:val="00DB5BA9"/>
    <w:rsid w:val="00DB5EAC"/>
    <w:rsid w:val="00DC459D"/>
    <w:rsid w:val="00DC6244"/>
    <w:rsid w:val="00DD0A03"/>
    <w:rsid w:val="00DD77B3"/>
    <w:rsid w:val="00DE57D8"/>
    <w:rsid w:val="00DF4EB0"/>
    <w:rsid w:val="00E042ED"/>
    <w:rsid w:val="00E101FA"/>
    <w:rsid w:val="00E110A1"/>
    <w:rsid w:val="00E14388"/>
    <w:rsid w:val="00E33BC6"/>
    <w:rsid w:val="00E4015C"/>
    <w:rsid w:val="00E402FD"/>
    <w:rsid w:val="00E419A4"/>
    <w:rsid w:val="00E5382D"/>
    <w:rsid w:val="00E6171E"/>
    <w:rsid w:val="00E62B50"/>
    <w:rsid w:val="00E63C4D"/>
    <w:rsid w:val="00E6704A"/>
    <w:rsid w:val="00E670C1"/>
    <w:rsid w:val="00E720B2"/>
    <w:rsid w:val="00E722C1"/>
    <w:rsid w:val="00E7504F"/>
    <w:rsid w:val="00E763DA"/>
    <w:rsid w:val="00E826C9"/>
    <w:rsid w:val="00E920B6"/>
    <w:rsid w:val="00E93926"/>
    <w:rsid w:val="00EA130E"/>
    <w:rsid w:val="00EA3D00"/>
    <w:rsid w:val="00EA4D7E"/>
    <w:rsid w:val="00ED0D62"/>
    <w:rsid w:val="00ED7A27"/>
    <w:rsid w:val="00EE39BA"/>
    <w:rsid w:val="00EF1FB9"/>
    <w:rsid w:val="00EF2EDF"/>
    <w:rsid w:val="00F008CB"/>
    <w:rsid w:val="00F0187D"/>
    <w:rsid w:val="00F0782B"/>
    <w:rsid w:val="00F2756E"/>
    <w:rsid w:val="00F33560"/>
    <w:rsid w:val="00F4109A"/>
    <w:rsid w:val="00F449C9"/>
    <w:rsid w:val="00F564EF"/>
    <w:rsid w:val="00F74956"/>
    <w:rsid w:val="00F8625B"/>
    <w:rsid w:val="00F907F1"/>
    <w:rsid w:val="00F93D66"/>
    <w:rsid w:val="00FA074B"/>
    <w:rsid w:val="00FA0E1E"/>
    <w:rsid w:val="00FA33BD"/>
    <w:rsid w:val="00FB21F5"/>
    <w:rsid w:val="00FB2BC8"/>
    <w:rsid w:val="00FC7EA3"/>
    <w:rsid w:val="00FD575C"/>
    <w:rsid w:val="00FE0731"/>
    <w:rsid w:val="00FF0DF6"/>
    <w:rsid w:val="00FF21FF"/>
    <w:rsid w:val="00FF2C0F"/>
    <w:rsid w:val="00FF43D9"/>
    <w:rsid w:val="01020D28"/>
    <w:rsid w:val="011744A1"/>
    <w:rsid w:val="01505BCF"/>
    <w:rsid w:val="01527C8F"/>
    <w:rsid w:val="015F653F"/>
    <w:rsid w:val="0165121E"/>
    <w:rsid w:val="016B4D8B"/>
    <w:rsid w:val="01955D03"/>
    <w:rsid w:val="01A82BD3"/>
    <w:rsid w:val="01BC251A"/>
    <w:rsid w:val="01D4625E"/>
    <w:rsid w:val="02043678"/>
    <w:rsid w:val="02105514"/>
    <w:rsid w:val="021332D9"/>
    <w:rsid w:val="0236335D"/>
    <w:rsid w:val="02694DDC"/>
    <w:rsid w:val="029400A5"/>
    <w:rsid w:val="029B3DB2"/>
    <w:rsid w:val="02B257FF"/>
    <w:rsid w:val="02BD0BFD"/>
    <w:rsid w:val="03510A12"/>
    <w:rsid w:val="03562A44"/>
    <w:rsid w:val="036C5ED3"/>
    <w:rsid w:val="03710641"/>
    <w:rsid w:val="037C5D8E"/>
    <w:rsid w:val="03853A8E"/>
    <w:rsid w:val="038D5822"/>
    <w:rsid w:val="03A34A22"/>
    <w:rsid w:val="03BF06AA"/>
    <w:rsid w:val="03D177E1"/>
    <w:rsid w:val="03FA6D38"/>
    <w:rsid w:val="040F28D1"/>
    <w:rsid w:val="04122B1E"/>
    <w:rsid w:val="0432162A"/>
    <w:rsid w:val="04454DC7"/>
    <w:rsid w:val="044B1D9A"/>
    <w:rsid w:val="046A3A86"/>
    <w:rsid w:val="04817EFE"/>
    <w:rsid w:val="0491352A"/>
    <w:rsid w:val="04AE3EE7"/>
    <w:rsid w:val="04FD574B"/>
    <w:rsid w:val="051E3CDA"/>
    <w:rsid w:val="053E519A"/>
    <w:rsid w:val="057C3418"/>
    <w:rsid w:val="05810107"/>
    <w:rsid w:val="05914E9C"/>
    <w:rsid w:val="059C03AF"/>
    <w:rsid w:val="05A625A8"/>
    <w:rsid w:val="05D232B0"/>
    <w:rsid w:val="06035ED8"/>
    <w:rsid w:val="0646607C"/>
    <w:rsid w:val="06943422"/>
    <w:rsid w:val="06943B4E"/>
    <w:rsid w:val="069F5BD6"/>
    <w:rsid w:val="06A83942"/>
    <w:rsid w:val="06B85757"/>
    <w:rsid w:val="06C40D0F"/>
    <w:rsid w:val="06CD6C27"/>
    <w:rsid w:val="06F141E4"/>
    <w:rsid w:val="06FE5255"/>
    <w:rsid w:val="0705540D"/>
    <w:rsid w:val="07174437"/>
    <w:rsid w:val="07181674"/>
    <w:rsid w:val="07426CA7"/>
    <w:rsid w:val="076C3949"/>
    <w:rsid w:val="076E19E0"/>
    <w:rsid w:val="07913D90"/>
    <w:rsid w:val="079B79E5"/>
    <w:rsid w:val="07A76988"/>
    <w:rsid w:val="07D53835"/>
    <w:rsid w:val="07EC4D8A"/>
    <w:rsid w:val="07ED0A23"/>
    <w:rsid w:val="081E6D59"/>
    <w:rsid w:val="0825173B"/>
    <w:rsid w:val="0828635C"/>
    <w:rsid w:val="08350E51"/>
    <w:rsid w:val="083D3697"/>
    <w:rsid w:val="08492745"/>
    <w:rsid w:val="086F1688"/>
    <w:rsid w:val="0871005F"/>
    <w:rsid w:val="087C5D67"/>
    <w:rsid w:val="0886109E"/>
    <w:rsid w:val="08F86463"/>
    <w:rsid w:val="0904448C"/>
    <w:rsid w:val="090F2D7D"/>
    <w:rsid w:val="09281493"/>
    <w:rsid w:val="09322AD0"/>
    <w:rsid w:val="093F4728"/>
    <w:rsid w:val="094109A3"/>
    <w:rsid w:val="0949138E"/>
    <w:rsid w:val="09585F99"/>
    <w:rsid w:val="09691615"/>
    <w:rsid w:val="098B47D8"/>
    <w:rsid w:val="09A30D95"/>
    <w:rsid w:val="09DA460A"/>
    <w:rsid w:val="0A0C4BC3"/>
    <w:rsid w:val="0A242CE7"/>
    <w:rsid w:val="0AA20035"/>
    <w:rsid w:val="0AA37675"/>
    <w:rsid w:val="0AAA553E"/>
    <w:rsid w:val="0AC25954"/>
    <w:rsid w:val="0AC45DBD"/>
    <w:rsid w:val="0AD07034"/>
    <w:rsid w:val="0AED37C0"/>
    <w:rsid w:val="0AF56E0B"/>
    <w:rsid w:val="0AFB6A38"/>
    <w:rsid w:val="0B0A5387"/>
    <w:rsid w:val="0B33351A"/>
    <w:rsid w:val="0B334802"/>
    <w:rsid w:val="0B4A7C60"/>
    <w:rsid w:val="0B4D18BA"/>
    <w:rsid w:val="0B7569CE"/>
    <w:rsid w:val="0BAF59C2"/>
    <w:rsid w:val="0BCE3AED"/>
    <w:rsid w:val="0BD3620B"/>
    <w:rsid w:val="0BFC3BF0"/>
    <w:rsid w:val="0C1400B1"/>
    <w:rsid w:val="0C1960B9"/>
    <w:rsid w:val="0C2748BC"/>
    <w:rsid w:val="0C4A6D8B"/>
    <w:rsid w:val="0C5C6713"/>
    <w:rsid w:val="0C707012"/>
    <w:rsid w:val="0C8D0DCF"/>
    <w:rsid w:val="0CBC298B"/>
    <w:rsid w:val="0CDE7984"/>
    <w:rsid w:val="0CF55810"/>
    <w:rsid w:val="0D624D8C"/>
    <w:rsid w:val="0D86135D"/>
    <w:rsid w:val="0D8F24DC"/>
    <w:rsid w:val="0DA26875"/>
    <w:rsid w:val="0DA964CF"/>
    <w:rsid w:val="0DAA098D"/>
    <w:rsid w:val="0DED5FCB"/>
    <w:rsid w:val="0E0555A7"/>
    <w:rsid w:val="0E072CAC"/>
    <w:rsid w:val="0E08143C"/>
    <w:rsid w:val="0E2046F9"/>
    <w:rsid w:val="0E300189"/>
    <w:rsid w:val="0E42633E"/>
    <w:rsid w:val="0E4868F2"/>
    <w:rsid w:val="0E7A4BD1"/>
    <w:rsid w:val="0E8F2403"/>
    <w:rsid w:val="0E8F4578"/>
    <w:rsid w:val="0E90300B"/>
    <w:rsid w:val="0EAF097C"/>
    <w:rsid w:val="0EBB70C4"/>
    <w:rsid w:val="0EFC4DD3"/>
    <w:rsid w:val="0F1D4430"/>
    <w:rsid w:val="0F614F45"/>
    <w:rsid w:val="0F77551B"/>
    <w:rsid w:val="0F776771"/>
    <w:rsid w:val="0F930041"/>
    <w:rsid w:val="0FAE0174"/>
    <w:rsid w:val="0FCB1589"/>
    <w:rsid w:val="0FEE2576"/>
    <w:rsid w:val="10150A42"/>
    <w:rsid w:val="10486CE2"/>
    <w:rsid w:val="10495906"/>
    <w:rsid w:val="10722572"/>
    <w:rsid w:val="109A1D43"/>
    <w:rsid w:val="10C8474B"/>
    <w:rsid w:val="10CE2A03"/>
    <w:rsid w:val="10D71A98"/>
    <w:rsid w:val="10FF0BD4"/>
    <w:rsid w:val="111121E5"/>
    <w:rsid w:val="112D75BA"/>
    <w:rsid w:val="11B60404"/>
    <w:rsid w:val="11C36C64"/>
    <w:rsid w:val="11CC6C39"/>
    <w:rsid w:val="11F45015"/>
    <w:rsid w:val="121A2353"/>
    <w:rsid w:val="1282402C"/>
    <w:rsid w:val="12997797"/>
    <w:rsid w:val="12B345EC"/>
    <w:rsid w:val="130A3319"/>
    <w:rsid w:val="132B7E5E"/>
    <w:rsid w:val="1330229C"/>
    <w:rsid w:val="1333549D"/>
    <w:rsid w:val="13603F5F"/>
    <w:rsid w:val="1382484B"/>
    <w:rsid w:val="13950F0C"/>
    <w:rsid w:val="13F844D4"/>
    <w:rsid w:val="142E487F"/>
    <w:rsid w:val="1477210D"/>
    <w:rsid w:val="147C614A"/>
    <w:rsid w:val="148102EC"/>
    <w:rsid w:val="14885C69"/>
    <w:rsid w:val="149363ED"/>
    <w:rsid w:val="14AE583B"/>
    <w:rsid w:val="14C10863"/>
    <w:rsid w:val="14DE26F1"/>
    <w:rsid w:val="15024966"/>
    <w:rsid w:val="155B4529"/>
    <w:rsid w:val="1574683A"/>
    <w:rsid w:val="15787076"/>
    <w:rsid w:val="15B95585"/>
    <w:rsid w:val="15D424D7"/>
    <w:rsid w:val="15FA72A6"/>
    <w:rsid w:val="160E3A48"/>
    <w:rsid w:val="160E7908"/>
    <w:rsid w:val="16340032"/>
    <w:rsid w:val="16356807"/>
    <w:rsid w:val="166D4102"/>
    <w:rsid w:val="169F066D"/>
    <w:rsid w:val="16D41F4C"/>
    <w:rsid w:val="16E113DB"/>
    <w:rsid w:val="16F815F2"/>
    <w:rsid w:val="1722086D"/>
    <w:rsid w:val="172468CE"/>
    <w:rsid w:val="1758341F"/>
    <w:rsid w:val="177D6119"/>
    <w:rsid w:val="177F7C4F"/>
    <w:rsid w:val="178313B2"/>
    <w:rsid w:val="17930109"/>
    <w:rsid w:val="17CA28DD"/>
    <w:rsid w:val="17E92421"/>
    <w:rsid w:val="17FA1F17"/>
    <w:rsid w:val="180C3CE7"/>
    <w:rsid w:val="181A629A"/>
    <w:rsid w:val="18373CED"/>
    <w:rsid w:val="183E3B51"/>
    <w:rsid w:val="1840214C"/>
    <w:rsid w:val="184A0596"/>
    <w:rsid w:val="1863181F"/>
    <w:rsid w:val="187E653C"/>
    <w:rsid w:val="18826B07"/>
    <w:rsid w:val="188E71EF"/>
    <w:rsid w:val="189320EE"/>
    <w:rsid w:val="18951961"/>
    <w:rsid w:val="18AC3F17"/>
    <w:rsid w:val="18B323A4"/>
    <w:rsid w:val="18C21EE3"/>
    <w:rsid w:val="18ED0416"/>
    <w:rsid w:val="193D52A0"/>
    <w:rsid w:val="19A238BE"/>
    <w:rsid w:val="19A83796"/>
    <w:rsid w:val="19B35243"/>
    <w:rsid w:val="1A3838B0"/>
    <w:rsid w:val="1AB24219"/>
    <w:rsid w:val="1AC511C0"/>
    <w:rsid w:val="1AF776D6"/>
    <w:rsid w:val="1B13259A"/>
    <w:rsid w:val="1B1F6C2C"/>
    <w:rsid w:val="1B5E5862"/>
    <w:rsid w:val="1B680783"/>
    <w:rsid w:val="1B795B44"/>
    <w:rsid w:val="1BA11438"/>
    <w:rsid w:val="1BA452A5"/>
    <w:rsid w:val="1BA7395F"/>
    <w:rsid w:val="1BB65693"/>
    <w:rsid w:val="1BD72715"/>
    <w:rsid w:val="1BE350F7"/>
    <w:rsid w:val="1BE87BEE"/>
    <w:rsid w:val="1BF26BD7"/>
    <w:rsid w:val="1C0B13B3"/>
    <w:rsid w:val="1C0E268B"/>
    <w:rsid w:val="1C1C4D3D"/>
    <w:rsid w:val="1C453A3D"/>
    <w:rsid w:val="1C485264"/>
    <w:rsid w:val="1C742BDA"/>
    <w:rsid w:val="1C7F2649"/>
    <w:rsid w:val="1C8A68E2"/>
    <w:rsid w:val="1C8F37C3"/>
    <w:rsid w:val="1C9B23B8"/>
    <w:rsid w:val="1CAD636C"/>
    <w:rsid w:val="1CC947CD"/>
    <w:rsid w:val="1CCA348C"/>
    <w:rsid w:val="1CED3E4F"/>
    <w:rsid w:val="1D4369CD"/>
    <w:rsid w:val="1D7205ED"/>
    <w:rsid w:val="1D7C4465"/>
    <w:rsid w:val="1D831012"/>
    <w:rsid w:val="1D8C3F85"/>
    <w:rsid w:val="1D9A606B"/>
    <w:rsid w:val="1DA63648"/>
    <w:rsid w:val="1DA76EA1"/>
    <w:rsid w:val="1DAC49BD"/>
    <w:rsid w:val="1DB736F4"/>
    <w:rsid w:val="1DB7503D"/>
    <w:rsid w:val="1DC256AB"/>
    <w:rsid w:val="1DDF45A7"/>
    <w:rsid w:val="1DE76968"/>
    <w:rsid w:val="1E2C00B1"/>
    <w:rsid w:val="1E3C6E89"/>
    <w:rsid w:val="1E534AB5"/>
    <w:rsid w:val="1E541822"/>
    <w:rsid w:val="1E5445F2"/>
    <w:rsid w:val="1E60712C"/>
    <w:rsid w:val="1E7A6638"/>
    <w:rsid w:val="1E8F2094"/>
    <w:rsid w:val="1EB340DE"/>
    <w:rsid w:val="1EB81A39"/>
    <w:rsid w:val="1EC93569"/>
    <w:rsid w:val="1F044D66"/>
    <w:rsid w:val="1F3B22B0"/>
    <w:rsid w:val="1F3E7FED"/>
    <w:rsid w:val="1F5A6B89"/>
    <w:rsid w:val="1F5B748D"/>
    <w:rsid w:val="1F8A5C2C"/>
    <w:rsid w:val="1F935810"/>
    <w:rsid w:val="1FA60FD4"/>
    <w:rsid w:val="1FD81174"/>
    <w:rsid w:val="1FEA38F4"/>
    <w:rsid w:val="1FEC0BBC"/>
    <w:rsid w:val="2014292E"/>
    <w:rsid w:val="2049139E"/>
    <w:rsid w:val="205076AD"/>
    <w:rsid w:val="20763245"/>
    <w:rsid w:val="208420BC"/>
    <w:rsid w:val="209A6019"/>
    <w:rsid w:val="20B65E63"/>
    <w:rsid w:val="20E13EDD"/>
    <w:rsid w:val="21131709"/>
    <w:rsid w:val="2135356F"/>
    <w:rsid w:val="213C2994"/>
    <w:rsid w:val="21D21AAB"/>
    <w:rsid w:val="21D71F48"/>
    <w:rsid w:val="21E57E4E"/>
    <w:rsid w:val="21F0274D"/>
    <w:rsid w:val="221954D7"/>
    <w:rsid w:val="223833D5"/>
    <w:rsid w:val="2241706D"/>
    <w:rsid w:val="225A48AD"/>
    <w:rsid w:val="229A51DB"/>
    <w:rsid w:val="22A47E2C"/>
    <w:rsid w:val="22AA2D72"/>
    <w:rsid w:val="22DB4736"/>
    <w:rsid w:val="22E12405"/>
    <w:rsid w:val="22E75841"/>
    <w:rsid w:val="22FE09F4"/>
    <w:rsid w:val="234F1C78"/>
    <w:rsid w:val="236B72B6"/>
    <w:rsid w:val="23844AA8"/>
    <w:rsid w:val="23A178E3"/>
    <w:rsid w:val="23C14729"/>
    <w:rsid w:val="23DA0B12"/>
    <w:rsid w:val="23E40A13"/>
    <w:rsid w:val="23FE2A6F"/>
    <w:rsid w:val="241A1A43"/>
    <w:rsid w:val="241C2C2F"/>
    <w:rsid w:val="2458205A"/>
    <w:rsid w:val="246104FF"/>
    <w:rsid w:val="24880F1E"/>
    <w:rsid w:val="24B85C79"/>
    <w:rsid w:val="24C24B6D"/>
    <w:rsid w:val="24D52223"/>
    <w:rsid w:val="250B5444"/>
    <w:rsid w:val="254C14DE"/>
    <w:rsid w:val="254D5B50"/>
    <w:rsid w:val="255542F3"/>
    <w:rsid w:val="25580A76"/>
    <w:rsid w:val="255845B9"/>
    <w:rsid w:val="25F143CD"/>
    <w:rsid w:val="26131E54"/>
    <w:rsid w:val="262C3F95"/>
    <w:rsid w:val="262F624A"/>
    <w:rsid w:val="263A42C6"/>
    <w:rsid w:val="26414CB2"/>
    <w:rsid w:val="264B2051"/>
    <w:rsid w:val="266206C7"/>
    <w:rsid w:val="267D42B4"/>
    <w:rsid w:val="268E7749"/>
    <w:rsid w:val="269975DD"/>
    <w:rsid w:val="26A2015A"/>
    <w:rsid w:val="26BF33D6"/>
    <w:rsid w:val="26E87510"/>
    <w:rsid w:val="26EC030B"/>
    <w:rsid w:val="272E5EF8"/>
    <w:rsid w:val="273978A1"/>
    <w:rsid w:val="27435B4B"/>
    <w:rsid w:val="27544572"/>
    <w:rsid w:val="27781F25"/>
    <w:rsid w:val="27C80768"/>
    <w:rsid w:val="27D14C34"/>
    <w:rsid w:val="27D35F6C"/>
    <w:rsid w:val="27E71ABF"/>
    <w:rsid w:val="27FF1B87"/>
    <w:rsid w:val="28056196"/>
    <w:rsid w:val="28361763"/>
    <w:rsid w:val="284270C1"/>
    <w:rsid w:val="28642EC8"/>
    <w:rsid w:val="287C7C14"/>
    <w:rsid w:val="288A307B"/>
    <w:rsid w:val="28B174BD"/>
    <w:rsid w:val="28B854B0"/>
    <w:rsid w:val="28E0149D"/>
    <w:rsid w:val="29142B89"/>
    <w:rsid w:val="2930276A"/>
    <w:rsid w:val="29357F08"/>
    <w:rsid w:val="29A61A98"/>
    <w:rsid w:val="2A210BBD"/>
    <w:rsid w:val="2A5032E5"/>
    <w:rsid w:val="2A5E6B5D"/>
    <w:rsid w:val="2A621A6F"/>
    <w:rsid w:val="2A6238FE"/>
    <w:rsid w:val="2A6932A0"/>
    <w:rsid w:val="2A7D74CC"/>
    <w:rsid w:val="2A8657F7"/>
    <w:rsid w:val="2A935793"/>
    <w:rsid w:val="2A990CAC"/>
    <w:rsid w:val="2A9E2BAB"/>
    <w:rsid w:val="2AE21D65"/>
    <w:rsid w:val="2AFB3855"/>
    <w:rsid w:val="2AFD71FE"/>
    <w:rsid w:val="2B315D42"/>
    <w:rsid w:val="2B41188F"/>
    <w:rsid w:val="2B5F72E9"/>
    <w:rsid w:val="2B7232A9"/>
    <w:rsid w:val="2B8A6D21"/>
    <w:rsid w:val="2B8B4D04"/>
    <w:rsid w:val="2B8C5C97"/>
    <w:rsid w:val="2B8D0E2E"/>
    <w:rsid w:val="2B8E0888"/>
    <w:rsid w:val="2BBD6636"/>
    <w:rsid w:val="2BE710A1"/>
    <w:rsid w:val="2BEA2F16"/>
    <w:rsid w:val="2C161D9F"/>
    <w:rsid w:val="2C2A0A0C"/>
    <w:rsid w:val="2C482B35"/>
    <w:rsid w:val="2C482EEA"/>
    <w:rsid w:val="2C83370D"/>
    <w:rsid w:val="2C84416D"/>
    <w:rsid w:val="2CD75B5D"/>
    <w:rsid w:val="2CE71910"/>
    <w:rsid w:val="2CEC710F"/>
    <w:rsid w:val="2D0707C2"/>
    <w:rsid w:val="2D14041E"/>
    <w:rsid w:val="2D361778"/>
    <w:rsid w:val="2D6933F7"/>
    <w:rsid w:val="2DA80049"/>
    <w:rsid w:val="2DBC1F43"/>
    <w:rsid w:val="2DCC181A"/>
    <w:rsid w:val="2DFF098F"/>
    <w:rsid w:val="2E14166F"/>
    <w:rsid w:val="2E562531"/>
    <w:rsid w:val="2E724B82"/>
    <w:rsid w:val="2E83482C"/>
    <w:rsid w:val="2E963BD1"/>
    <w:rsid w:val="2E9B3506"/>
    <w:rsid w:val="2EAC18F5"/>
    <w:rsid w:val="2EC3313F"/>
    <w:rsid w:val="2EED1C01"/>
    <w:rsid w:val="2EED666E"/>
    <w:rsid w:val="2EF86855"/>
    <w:rsid w:val="2EFA5F20"/>
    <w:rsid w:val="2EFD1106"/>
    <w:rsid w:val="2F01627C"/>
    <w:rsid w:val="2F1459CD"/>
    <w:rsid w:val="2F1A3DD9"/>
    <w:rsid w:val="2F3F2A6A"/>
    <w:rsid w:val="2F5433AC"/>
    <w:rsid w:val="2F5C5CBD"/>
    <w:rsid w:val="2F61436B"/>
    <w:rsid w:val="2F635209"/>
    <w:rsid w:val="2F760701"/>
    <w:rsid w:val="2F9264F4"/>
    <w:rsid w:val="2F951249"/>
    <w:rsid w:val="30075E4F"/>
    <w:rsid w:val="3029057D"/>
    <w:rsid w:val="306A426E"/>
    <w:rsid w:val="306B748E"/>
    <w:rsid w:val="3081637B"/>
    <w:rsid w:val="308B05A5"/>
    <w:rsid w:val="30C94168"/>
    <w:rsid w:val="31166B8F"/>
    <w:rsid w:val="312916DD"/>
    <w:rsid w:val="31500F5A"/>
    <w:rsid w:val="31500F83"/>
    <w:rsid w:val="31544E38"/>
    <w:rsid w:val="315A17BC"/>
    <w:rsid w:val="3164517D"/>
    <w:rsid w:val="3182343E"/>
    <w:rsid w:val="31A410DA"/>
    <w:rsid w:val="31AE1A80"/>
    <w:rsid w:val="31CA7439"/>
    <w:rsid w:val="322D4FCE"/>
    <w:rsid w:val="32767C5E"/>
    <w:rsid w:val="327C606C"/>
    <w:rsid w:val="32D80589"/>
    <w:rsid w:val="32E71237"/>
    <w:rsid w:val="332A6C76"/>
    <w:rsid w:val="33330ECC"/>
    <w:rsid w:val="335C1884"/>
    <w:rsid w:val="33635D02"/>
    <w:rsid w:val="337B60D0"/>
    <w:rsid w:val="338611ED"/>
    <w:rsid w:val="33A041CA"/>
    <w:rsid w:val="33B738B1"/>
    <w:rsid w:val="33BF5CF5"/>
    <w:rsid w:val="33D918BB"/>
    <w:rsid w:val="33E102F8"/>
    <w:rsid w:val="33E96BBA"/>
    <w:rsid w:val="33FC44B1"/>
    <w:rsid w:val="34017EA6"/>
    <w:rsid w:val="340F763F"/>
    <w:rsid w:val="341B653E"/>
    <w:rsid w:val="341E2668"/>
    <w:rsid w:val="342F1837"/>
    <w:rsid w:val="346D17DE"/>
    <w:rsid w:val="349171FE"/>
    <w:rsid w:val="34A23588"/>
    <w:rsid w:val="34D65772"/>
    <w:rsid w:val="34EB6205"/>
    <w:rsid w:val="34EE0611"/>
    <w:rsid w:val="34FF2FBF"/>
    <w:rsid w:val="3507026D"/>
    <w:rsid w:val="353E2E87"/>
    <w:rsid w:val="355D1A42"/>
    <w:rsid w:val="356455C8"/>
    <w:rsid w:val="3572438B"/>
    <w:rsid w:val="35822628"/>
    <w:rsid w:val="358C1ACE"/>
    <w:rsid w:val="35B061AF"/>
    <w:rsid w:val="35B934FA"/>
    <w:rsid w:val="35E66A46"/>
    <w:rsid w:val="35E83F69"/>
    <w:rsid w:val="360B67E0"/>
    <w:rsid w:val="36150200"/>
    <w:rsid w:val="36320219"/>
    <w:rsid w:val="363D0C71"/>
    <w:rsid w:val="366A74AF"/>
    <w:rsid w:val="3678695D"/>
    <w:rsid w:val="368158D3"/>
    <w:rsid w:val="36A41EF4"/>
    <w:rsid w:val="36F24ED8"/>
    <w:rsid w:val="3708364F"/>
    <w:rsid w:val="370C3585"/>
    <w:rsid w:val="378C5B99"/>
    <w:rsid w:val="378D5A29"/>
    <w:rsid w:val="379E0E2F"/>
    <w:rsid w:val="37A5178B"/>
    <w:rsid w:val="37A740E6"/>
    <w:rsid w:val="37B71F78"/>
    <w:rsid w:val="37D463E6"/>
    <w:rsid w:val="37DA166B"/>
    <w:rsid w:val="380D6E5C"/>
    <w:rsid w:val="38420405"/>
    <w:rsid w:val="38747E45"/>
    <w:rsid w:val="3878631B"/>
    <w:rsid w:val="38D66547"/>
    <w:rsid w:val="38E4097E"/>
    <w:rsid w:val="38FE58D0"/>
    <w:rsid w:val="390028C0"/>
    <w:rsid w:val="390A5EC8"/>
    <w:rsid w:val="3929742D"/>
    <w:rsid w:val="3948673C"/>
    <w:rsid w:val="39880BC9"/>
    <w:rsid w:val="39DD0245"/>
    <w:rsid w:val="39EB75B4"/>
    <w:rsid w:val="39FC1FC9"/>
    <w:rsid w:val="3A3042B1"/>
    <w:rsid w:val="3A334945"/>
    <w:rsid w:val="3A3D1328"/>
    <w:rsid w:val="3A3F6B21"/>
    <w:rsid w:val="3A465B2C"/>
    <w:rsid w:val="3AA45CB6"/>
    <w:rsid w:val="3AB24FE7"/>
    <w:rsid w:val="3AD318C2"/>
    <w:rsid w:val="3AED6834"/>
    <w:rsid w:val="3B0178CE"/>
    <w:rsid w:val="3B151535"/>
    <w:rsid w:val="3B2D5D5C"/>
    <w:rsid w:val="3B37616C"/>
    <w:rsid w:val="3B497029"/>
    <w:rsid w:val="3B9E38DE"/>
    <w:rsid w:val="3BD066BF"/>
    <w:rsid w:val="3BFD6C64"/>
    <w:rsid w:val="3C0125F5"/>
    <w:rsid w:val="3C075596"/>
    <w:rsid w:val="3C131A08"/>
    <w:rsid w:val="3C54348F"/>
    <w:rsid w:val="3CCB1742"/>
    <w:rsid w:val="3CDD113C"/>
    <w:rsid w:val="3CE668E7"/>
    <w:rsid w:val="3CFE753A"/>
    <w:rsid w:val="3D0E1D1D"/>
    <w:rsid w:val="3D1F6756"/>
    <w:rsid w:val="3D2170FC"/>
    <w:rsid w:val="3D271312"/>
    <w:rsid w:val="3D285473"/>
    <w:rsid w:val="3D6407A3"/>
    <w:rsid w:val="3DD94F53"/>
    <w:rsid w:val="3DEF2589"/>
    <w:rsid w:val="3E007866"/>
    <w:rsid w:val="3E124CD1"/>
    <w:rsid w:val="3E3D61DC"/>
    <w:rsid w:val="3E46448E"/>
    <w:rsid w:val="3E4B490E"/>
    <w:rsid w:val="3E5A4A25"/>
    <w:rsid w:val="3E5F54E2"/>
    <w:rsid w:val="3EA476F1"/>
    <w:rsid w:val="3EAB06E4"/>
    <w:rsid w:val="3EAB41B0"/>
    <w:rsid w:val="3EAC0230"/>
    <w:rsid w:val="3EBE1AAB"/>
    <w:rsid w:val="3F06588A"/>
    <w:rsid w:val="3F39642E"/>
    <w:rsid w:val="3F3F7A88"/>
    <w:rsid w:val="3F431731"/>
    <w:rsid w:val="3F5C3A24"/>
    <w:rsid w:val="3F7112B2"/>
    <w:rsid w:val="3F8319B0"/>
    <w:rsid w:val="3F8C1C92"/>
    <w:rsid w:val="3F9E4EE5"/>
    <w:rsid w:val="3FC9058E"/>
    <w:rsid w:val="3FED21CE"/>
    <w:rsid w:val="40000E09"/>
    <w:rsid w:val="40057350"/>
    <w:rsid w:val="40133599"/>
    <w:rsid w:val="40240FDE"/>
    <w:rsid w:val="40306054"/>
    <w:rsid w:val="403F4CEA"/>
    <w:rsid w:val="40BE71D5"/>
    <w:rsid w:val="40C7197E"/>
    <w:rsid w:val="40DE086C"/>
    <w:rsid w:val="40F25879"/>
    <w:rsid w:val="41017E69"/>
    <w:rsid w:val="410C1CFC"/>
    <w:rsid w:val="411B0BCD"/>
    <w:rsid w:val="41291333"/>
    <w:rsid w:val="4133382B"/>
    <w:rsid w:val="413936AC"/>
    <w:rsid w:val="414D3A89"/>
    <w:rsid w:val="418D591B"/>
    <w:rsid w:val="41A33AE2"/>
    <w:rsid w:val="41CA2B9F"/>
    <w:rsid w:val="41D35657"/>
    <w:rsid w:val="41F10E14"/>
    <w:rsid w:val="424504F3"/>
    <w:rsid w:val="427E26F5"/>
    <w:rsid w:val="427E2EED"/>
    <w:rsid w:val="42A3340A"/>
    <w:rsid w:val="42A449C1"/>
    <w:rsid w:val="42B719A9"/>
    <w:rsid w:val="42C02537"/>
    <w:rsid w:val="42E20B31"/>
    <w:rsid w:val="4334370B"/>
    <w:rsid w:val="4335474B"/>
    <w:rsid w:val="433A4D67"/>
    <w:rsid w:val="434D612A"/>
    <w:rsid w:val="437F1089"/>
    <w:rsid w:val="43A048AD"/>
    <w:rsid w:val="43D36AAA"/>
    <w:rsid w:val="43E143BC"/>
    <w:rsid w:val="43F20AE9"/>
    <w:rsid w:val="440F353A"/>
    <w:rsid w:val="443D2F72"/>
    <w:rsid w:val="444C32F1"/>
    <w:rsid w:val="44703981"/>
    <w:rsid w:val="44D179DB"/>
    <w:rsid w:val="44E0236C"/>
    <w:rsid w:val="44E35F78"/>
    <w:rsid w:val="44E43945"/>
    <w:rsid w:val="452815FC"/>
    <w:rsid w:val="4540770E"/>
    <w:rsid w:val="45490FD1"/>
    <w:rsid w:val="456E2015"/>
    <w:rsid w:val="458367EE"/>
    <w:rsid w:val="458943D7"/>
    <w:rsid w:val="45894FE2"/>
    <w:rsid w:val="45971174"/>
    <w:rsid w:val="45B620B0"/>
    <w:rsid w:val="45D7378D"/>
    <w:rsid w:val="45E342CF"/>
    <w:rsid w:val="45EE6680"/>
    <w:rsid w:val="45FB58E4"/>
    <w:rsid w:val="46074C9C"/>
    <w:rsid w:val="46681373"/>
    <w:rsid w:val="46A01589"/>
    <w:rsid w:val="46AD6C4E"/>
    <w:rsid w:val="46B8215A"/>
    <w:rsid w:val="46C50C97"/>
    <w:rsid w:val="46CE4072"/>
    <w:rsid w:val="46D825B4"/>
    <w:rsid w:val="46D9058E"/>
    <w:rsid w:val="46E17A0C"/>
    <w:rsid w:val="46E347E4"/>
    <w:rsid w:val="46F25637"/>
    <w:rsid w:val="47037B97"/>
    <w:rsid w:val="470E3048"/>
    <w:rsid w:val="47350E38"/>
    <w:rsid w:val="474A6C7C"/>
    <w:rsid w:val="47586EA4"/>
    <w:rsid w:val="475F4E25"/>
    <w:rsid w:val="476D24C1"/>
    <w:rsid w:val="47791ACC"/>
    <w:rsid w:val="47890EB6"/>
    <w:rsid w:val="479D4A4D"/>
    <w:rsid w:val="47A159F0"/>
    <w:rsid w:val="47AB5482"/>
    <w:rsid w:val="47B1678F"/>
    <w:rsid w:val="47B73951"/>
    <w:rsid w:val="47BA48AD"/>
    <w:rsid w:val="480301C8"/>
    <w:rsid w:val="48366E66"/>
    <w:rsid w:val="48424C42"/>
    <w:rsid w:val="484E22F9"/>
    <w:rsid w:val="48612850"/>
    <w:rsid w:val="486529CE"/>
    <w:rsid w:val="487C609F"/>
    <w:rsid w:val="48897F2A"/>
    <w:rsid w:val="48B01AFF"/>
    <w:rsid w:val="48C82DA7"/>
    <w:rsid w:val="48DA11ED"/>
    <w:rsid w:val="48E63A0E"/>
    <w:rsid w:val="491B14B8"/>
    <w:rsid w:val="492C07B4"/>
    <w:rsid w:val="492F1B21"/>
    <w:rsid w:val="49331E14"/>
    <w:rsid w:val="49923D4C"/>
    <w:rsid w:val="49C1316E"/>
    <w:rsid w:val="49E3224C"/>
    <w:rsid w:val="49EE14DE"/>
    <w:rsid w:val="49F73485"/>
    <w:rsid w:val="4A084254"/>
    <w:rsid w:val="4A324B4D"/>
    <w:rsid w:val="4A680358"/>
    <w:rsid w:val="4A6B37C0"/>
    <w:rsid w:val="4A8F00A8"/>
    <w:rsid w:val="4A9E6F65"/>
    <w:rsid w:val="4AA067FB"/>
    <w:rsid w:val="4AA5748A"/>
    <w:rsid w:val="4AEA29BC"/>
    <w:rsid w:val="4AF82279"/>
    <w:rsid w:val="4B296B88"/>
    <w:rsid w:val="4B2D6A25"/>
    <w:rsid w:val="4B31529C"/>
    <w:rsid w:val="4B424940"/>
    <w:rsid w:val="4B42574B"/>
    <w:rsid w:val="4B5227DF"/>
    <w:rsid w:val="4B5D3283"/>
    <w:rsid w:val="4B641A21"/>
    <w:rsid w:val="4B935F02"/>
    <w:rsid w:val="4B9911E6"/>
    <w:rsid w:val="4BA60D4D"/>
    <w:rsid w:val="4BB273C5"/>
    <w:rsid w:val="4BBC5EF3"/>
    <w:rsid w:val="4C060291"/>
    <w:rsid w:val="4C0F0DC1"/>
    <w:rsid w:val="4C312B95"/>
    <w:rsid w:val="4C5C2F8D"/>
    <w:rsid w:val="4CB949CE"/>
    <w:rsid w:val="4CC834EF"/>
    <w:rsid w:val="4CEF6B03"/>
    <w:rsid w:val="4D187B10"/>
    <w:rsid w:val="4D1C40FA"/>
    <w:rsid w:val="4D29493B"/>
    <w:rsid w:val="4D5E5A1C"/>
    <w:rsid w:val="4D6D6674"/>
    <w:rsid w:val="4D78068A"/>
    <w:rsid w:val="4D8D74A2"/>
    <w:rsid w:val="4D906424"/>
    <w:rsid w:val="4DB26C84"/>
    <w:rsid w:val="4DFFCF2D"/>
    <w:rsid w:val="4E075793"/>
    <w:rsid w:val="4E3F04D4"/>
    <w:rsid w:val="4E5612D4"/>
    <w:rsid w:val="4E894396"/>
    <w:rsid w:val="4EA44D47"/>
    <w:rsid w:val="4EAA16E4"/>
    <w:rsid w:val="4ECB2DE2"/>
    <w:rsid w:val="4EFB7E1E"/>
    <w:rsid w:val="4F0D34AD"/>
    <w:rsid w:val="4F0D3AFB"/>
    <w:rsid w:val="4F4E5354"/>
    <w:rsid w:val="4F553DE8"/>
    <w:rsid w:val="4F7A3E56"/>
    <w:rsid w:val="4FAB1887"/>
    <w:rsid w:val="4FD460CE"/>
    <w:rsid w:val="4FEC1BE3"/>
    <w:rsid w:val="501E4E0F"/>
    <w:rsid w:val="50257A41"/>
    <w:rsid w:val="50292171"/>
    <w:rsid w:val="507165CB"/>
    <w:rsid w:val="50997330"/>
    <w:rsid w:val="50AF379D"/>
    <w:rsid w:val="50B02EE7"/>
    <w:rsid w:val="50D807BB"/>
    <w:rsid w:val="50DF0CD6"/>
    <w:rsid w:val="50F0698F"/>
    <w:rsid w:val="510B06B8"/>
    <w:rsid w:val="51152838"/>
    <w:rsid w:val="5116195C"/>
    <w:rsid w:val="511C583C"/>
    <w:rsid w:val="513B0893"/>
    <w:rsid w:val="5147660F"/>
    <w:rsid w:val="516270EA"/>
    <w:rsid w:val="518275BB"/>
    <w:rsid w:val="518503D9"/>
    <w:rsid w:val="51EE4687"/>
    <w:rsid w:val="5212073F"/>
    <w:rsid w:val="5214143D"/>
    <w:rsid w:val="52330516"/>
    <w:rsid w:val="524069DA"/>
    <w:rsid w:val="525372F6"/>
    <w:rsid w:val="527B726F"/>
    <w:rsid w:val="5291580E"/>
    <w:rsid w:val="52EC4C6F"/>
    <w:rsid w:val="52ED1B35"/>
    <w:rsid w:val="53157148"/>
    <w:rsid w:val="53166762"/>
    <w:rsid w:val="533F6A3C"/>
    <w:rsid w:val="53487424"/>
    <w:rsid w:val="534C384E"/>
    <w:rsid w:val="53503B2E"/>
    <w:rsid w:val="535635D1"/>
    <w:rsid w:val="53576418"/>
    <w:rsid w:val="535C417D"/>
    <w:rsid w:val="535D6345"/>
    <w:rsid w:val="539B2E86"/>
    <w:rsid w:val="53E25A6F"/>
    <w:rsid w:val="542A46E4"/>
    <w:rsid w:val="54325617"/>
    <w:rsid w:val="544868DE"/>
    <w:rsid w:val="545A428E"/>
    <w:rsid w:val="545F744C"/>
    <w:rsid w:val="548A480B"/>
    <w:rsid w:val="548F0309"/>
    <w:rsid w:val="54A56347"/>
    <w:rsid w:val="54C32366"/>
    <w:rsid w:val="54CB5EE0"/>
    <w:rsid w:val="54F7019F"/>
    <w:rsid w:val="550A29A3"/>
    <w:rsid w:val="552741AE"/>
    <w:rsid w:val="55751EEF"/>
    <w:rsid w:val="557B40C9"/>
    <w:rsid w:val="559073A0"/>
    <w:rsid w:val="55A66845"/>
    <w:rsid w:val="55B80323"/>
    <w:rsid w:val="55BD5350"/>
    <w:rsid w:val="55C011A0"/>
    <w:rsid w:val="55D248BC"/>
    <w:rsid w:val="55DF6E94"/>
    <w:rsid w:val="55E84DCF"/>
    <w:rsid w:val="56101531"/>
    <w:rsid w:val="565B6D26"/>
    <w:rsid w:val="56692B2D"/>
    <w:rsid w:val="566D0BBB"/>
    <w:rsid w:val="56B258CA"/>
    <w:rsid w:val="56BD36A9"/>
    <w:rsid w:val="56FA6E4F"/>
    <w:rsid w:val="56FD5F74"/>
    <w:rsid w:val="570D746C"/>
    <w:rsid w:val="570F324F"/>
    <w:rsid w:val="572A1D32"/>
    <w:rsid w:val="575B506F"/>
    <w:rsid w:val="576A0ABF"/>
    <w:rsid w:val="579806DE"/>
    <w:rsid w:val="57B10091"/>
    <w:rsid w:val="57B36664"/>
    <w:rsid w:val="57BB2CFC"/>
    <w:rsid w:val="57BC255E"/>
    <w:rsid w:val="57BC544C"/>
    <w:rsid w:val="57D46ECB"/>
    <w:rsid w:val="58095384"/>
    <w:rsid w:val="58162B44"/>
    <w:rsid w:val="582D0478"/>
    <w:rsid w:val="58530FC3"/>
    <w:rsid w:val="588D4FCA"/>
    <w:rsid w:val="58AA65B8"/>
    <w:rsid w:val="58AD704A"/>
    <w:rsid w:val="58B63BA2"/>
    <w:rsid w:val="58B862C7"/>
    <w:rsid w:val="592C57DA"/>
    <w:rsid w:val="592D018B"/>
    <w:rsid w:val="595E08E9"/>
    <w:rsid w:val="596811C3"/>
    <w:rsid w:val="59714D49"/>
    <w:rsid w:val="597F37B3"/>
    <w:rsid w:val="59BA2FF0"/>
    <w:rsid w:val="59C91C72"/>
    <w:rsid w:val="59D015B0"/>
    <w:rsid w:val="5A085274"/>
    <w:rsid w:val="5A09301F"/>
    <w:rsid w:val="5A13793F"/>
    <w:rsid w:val="5A2F19D7"/>
    <w:rsid w:val="5A486485"/>
    <w:rsid w:val="5AAE5736"/>
    <w:rsid w:val="5AC02939"/>
    <w:rsid w:val="5AD86CDD"/>
    <w:rsid w:val="5AF250E5"/>
    <w:rsid w:val="5AF73FD0"/>
    <w:rsid w:val="5B05055E"/>
    <w:rsid w:val="5B052119"/>
    <w:rsid w:val="5B497BA0"/>
    <w:rsid w:val="5B61314D"/>
    <w:rsid w:val="5B6D6772"/>
    <w:rsid w:val="5BAF49DD"/>
    <w:rsid w:val="5BB22BB1"/>
    <w:rsid w:val="5C3A75F4"/>
    <w:rsid w:val="5C3A75FF"/>
    <w:rsid w:val="5C5E07DD"/>
    <w:rsid w:val="5C5F065B"/>
    <w:rsid w:val="5C9E41E1"/>
    <w:rsid w:val="5CD8546D"/>
    <w:rsid w:val="5CE97BDB"/>
    <w:rsid w:val="5CFF15A6"/>
    <w:rsid w:val="5D0421FD"/>
    <w:rsid w:val="5D052D66"/>
    <w:rsid w:val="5D19630E"/>
    <w:rsid w:val="5D59660C"/>
    <w:rsid w:val="5D9928BC"/>
    <w:rsid w:val="5DA416B1"/>
    <w:rsid w:val="5DAD29F9"/>
    <w:rsid w:val="5E0C2A76"/>
    <w:rsid w:val="5E272E2A"/>
    <w:rsid w:val="5E2F51AC"/>
    <w:rsid w:val="5E6E2DD8"/>
    <w:rsid w:val="5E747C85"/>
    <w:rsid w:val="5E92597E"/>
    <w:rsid w:val="5EA34933"/>
    <w:rsid w:val="5EBA272A"/>
    <w:rsid w:val="5F3D5719"/>
    <w:rsid w:val="5F424972"/>
    <w:rsid w:val="5F4368C2"/>
    <w:rsid w:val="5F801A32"/>
    <w:rsid w:val="5FDD1F3F"/>
    <w:rsid w:val="5FF26989"/>
    <w:rsid w:val="60111C4C"/>
    <w:rsid w:val="603718EF"/>
    <w:rsid w:val="60541171"/>
    <w:rsid w:val="605B7D81"/>
    <w:rsid w:val="606266E9"/>
    <w:rsid w:val="606612F2"/>
    <w:rsid w:val="60705AFA"/>
    <w:rsid w:val="60712287"/>
    <w:rsid w:val="60945CA6"/>
    <w:rsid w:val="60BA3766"/>
    <w:rsid w:val="60EC127A"/>
    <w:rsid w:val="60EF2517"/>
    <w:rsid w:val="61105363"/>
    <w:rsid w:val="612754C0"/>
    <w:rsid w:val="617F1A7C"/>
    <w:rsid w:val="61820C53"/>
    <w:rsid w:val="61921047"/>
    <w:rsid w:val="61C80FBE"/>
    <w:rsid w:val="61D2246D"/>
    <w:rsid w:val="61FA19FF"/>
    <w:rsid w:val="61FB592A"/>
    <w:rsid w:val="622A3849"/>
    <w:rsid w:val="623074BA"/>
    <w:rsid w:val="623E6330"/>
    <w:rsid w:val="624356D7"/>
    <w:rsid w:val="624B1569"/>
    <w:rsid w:val="625A33EF"/>
    <w:rsid w:val="627E2F59"/>
    <w:rsid w:val="62A067EE"/>
    <w:rsid w:val="62B32C73"/>
    <w:rsid w:val="62B43DBE"/>
    <w:rsid w:val="62C51E83"/>
    <w:rsid w:val="62EA38F7"/>
    <w:rsid w:val="62EA6CA7"/>
    <w:rsid w:val="63112F7E"/>
    <w:rsid w:val="63196C59"/>
    <w:rsid w:val="6336609A"/>
    <w:rsid w:val="63915AB5"/>
    <w:rsid w:val="639A7EE6"/>
    <w:rsid w:val="63B21F02"/>
    <w:rsid w:val="63B6032E"/>
    <w:rsid w:val="63D14BB2"/>
    <w:rsid w:val="63D27FE5"/>
    <w:rsid w:val="640C1C3B"/>
    <w:rsid w:val="64272436"/>
    <w:rsid w:val="64513425"/>
    <w:rsid w:val="6457625A"/>
    <w:rsid w:val="645F0526"/>
    <w:rsid w:val="64B30CF2"/>
    <w:rsid w:val="64E3258E"/>
    <w:rsid w:val="64F05AC9"/>
    <w:rsid w:val="6545462F"/>
    <w:rsid w:val="654C66D6"/>
    <w:rsid w:val="654E64F5"/>
    <w:rsid w:val="6553275F"/>
    <w:rsid w:val="655E0DAE"/>
    <w:rsid w:val="656100A8"/>
    <w:rsid w:val="658A698C"/>
    <w:rsid w:val="65C71857"/>
    <w:rsid w:val="65CB2152"/>
    <w:rsid w:val="65CB501B"/>
    <w:rsid w:val="65F61056"/>
    <w:rsid w:val="66055429"/>
    <w:rsid w:val="66751DD0"/>
    <w:rsid w:val="669A1D0D"/>
    <w:rsid w:val="66C029B2"/>
    <w:rsid w:val="66E37F05"/>
    <w:rsid w:val="66F15598"/>
    <w:rsid w:val="66FD342E"/>
    <w:rsid w:val="670B084E"/>
    <w:rsid w:val="67452091"/>
    <w:rsid w:val="67710F51"/>
    <w:rsid w:val="67B20454"/>
    <w:rsid w:val="67B31AE2"/>
    <w:rsid w:val="67CC0B31"/>
    <w:rsid w:val="67D87514"/>
    <w:rsid w:val="67E81D74"/>
    <w:rsid w:val="67FF7D41"/>
    <w:rsid w:val="680822C2"/>
    <w:rsid w:val="681067A3"/>
    <w:rsid w:val="68222271"/>
    <w:rsid w:val="68442778"/>
    <w:rsid w:val="685A2D80"/>
    <w:rsid w:val="685D24F4"/>
    <w:rsid w:val="68862031"/>
    <w:rsid w:val="689B19C3"/>
    <w:rsid w:val="68DC252F"/>
    <w:rsid w:val="68F80FDA"/>
    <w:rsid w:val="6906084F"/>
    <w:rsid w:val="69132EFA"/>
    <w:rsid w:val="69185B39"/>
    <w:rsid w:val="69223748"/>
    <w:rsid w:val="69334966"/>
    <w:rsid w:val="69422CCB"/>
    <w:rsid w:val="69B72961"/>
    <w:rsid w:val="6A224DE7"/>
    <w:rsid w:val="6A23511D"/>
    <w:rsid w:val="6A303B20"/>
    <w:rsid w:val="6A4D4100"/>
    <w:rsid w:val="6AD641AE"/>
    <w:rsid w:val="6AFD12A7"/>
    <w:rsid w:val="6B014FD4"/>
    <w:rsid w:val="6B337478"/>
    <w:rsid w:val="6B347510"/>
    <w:rsid w:val="6B4C26F3"/>
    <w:rsid w:val="6B6802B6"/>
    <w:rsid w:val="6B6933B1"/>
    <w:rsid w:val="6B764BF6"/>
    <w:rsid w:val="6B96581D"/>
    <w:rsid w:val="6BA722BA"/>
    <w:rsid w:val="6BD129E2"/>
    <w:rsid w:val="6BDF2EE2"/>
    <w:rsid w:val="6BF07522"/>
    <w:rsid w:val="6BFC095B"/>
    <w:rsid w:val="6C251D17"/>
    <w:rsid w:val="6C28732D"/>
    <w:rsid w:val="6C3F784A"/>
    <w:rsid w:val="6C433E90"/>
    <w:rsid w:val="6C495944"/>
    <w:rsid w:val="6C496B53"/>
    <w:rsid w:val="6C4C3A15"/>
    <w:rsid w:val="6C5B5394"/>
    <w:rsid w:val="6C746A09"/>
    <w:rsid w:val="6C98229D"/>
    <w:rsid w:val="6CAD20DC"/>
    <w:rsid w:val="6CB438D0"/>
    <w:rsid w:val="6CB93DB8"/>
    <w:rsid w:val="6CC65E70"/>
    <w:rsid w:val="6CFE497D"/>
    <w:rsid w:val="6D090801"/>
    <w:rsid w:val="6D1A4629"/>
    <w:rsid w:val="6D246398"/>
    <w:rsid w:val="6D301B4B"/>
    <w:rsid w:val="6D307419"/>
    <w:rsid w:val="6D4E6DEB"/>
    <w:rsid w:val="6D570769"/>
    <w:rsid w:val="6D9A3382"/>
    <w:rsid w:val="6DA035FE"/>
    <w:rsid w:val="6DBA56AE"/>
    <w:rsid w:val="6DC11A6B"/>
    <w:rsid w:val="6DE43259"/>
    <w:rsid w:val="6DF525BB"/>
    <w:rsid w:val="6E2619B1"/>
    <w:rsid w:val="6E2C2BCE"/>
    <w:rsid w:val="6E3A6622"/>
    <w:rsid w:val="6E592D30"/>
    <w:rsid w:val="6E5B5F0E"/>
    <w:rsid w:val="6E607CD4"/>
    <w:rsid w:val="6E953862"/>
    <w:rsid w:val="6EAA4FFE"/>
    <w:rsid w:val="6EC66145"/>
    <w:rsid w:val="6ECB422D"/>
    <w:rsid w:val="6EF86603"/>
    <w:rsid w:val="6F4D42C0"/>
    <w:rsid w:val="6F7B66DC"/>
    <w:rsid w:val="6F9F1B35"/>
    <w:rsid w:val="6FA32360"/>
    <w:rsid w:val="6FC82F9A"/>
    <w:rsid w:val="6FD75092"/>
    <w:rsid w:val="6FED097A"/>
    <w:rsid w:val="6FFD1FBD"/>
    <w:rsid w:val="7031004B"/>
    <w:rsid w:val="70574D6F"/>
    <w:rsid w:val="709B01FF"/>
    <w:rsid w:val="70D159EC"/>
    <w:rsid w:val="70D16844"/>
    <w:rsid w:val="71011921"/>
    <w:rsid w:val="710D7CD6"/>
    <w:rsid w:val="713253B6"/>
    <w:rsid w:val="71381125"/>
    <w:rsid w:val="71860AB7"/>
    <w:rsid w:val="718A7FB8"/>
    <w:rsid w:val="718D4A2F"/>
    <w:rsid w:val="71AE3D67"/>
    <w:rsid w:val="71C1473B"/>
    <w:rsid w:val="71F45081"/>
    <w:rsid w:val="71F45506"/>
    <w:rsid w:val="72367C59"/>
    <w:rsid w:val="724C1681"/>
    <w:rsid w:val="726061B3"/>
    <w:rsid w:val="726678CA"/>
    <w:rsid w:val="72A017AA"/>
    <w:rsid w:val="72AE6C62"/>
    <w:rsid w:val="72D236D4"/>
    <w:rsid w:val="72EE0640"/>
    <w:rsid w:val="72F33857"/>
    <w:rsid w:val="72FF64A2"/>
    <w:rsid w:val="7305638A"/>
    <w:rsid w:val="73274F59"/>
    <w:rsid w:val="735D0DC5"/>
    <w:rsid w:val="738346FB"/>
    <w:rsid w:val="73877845"/>
    <w:rsid w:val="73C03423"/>
    <w:rsid w:val="73C5729D"/>
    <w:rsid w:val="73C73413"/>
    <w:rsid w:val="73DB0781"/>
    <w:rsid w:val="73E81D8E"/>
    <w:rsid w:val="74015C49"/>
    <w:rsid w:val="74046D22"/>
    <w:rsid w:val="74377A72"/>
    <w:rsid w:val="743F7D3B"/>
    <w:rsid w:val="749C30D5"/>
    <w:rsid w:val="74BD0EC9"/>
    <w:rsid w:val="74D205F2"/>
    <w:rsid w:val="752E228B"/>
    <w:rsid w:val="756F7B6E"/>
    <w:rsid w:val="75816D30"/>
    <w:rsid w:val="759202DF"/>
    <w:rsid w:val="75940B4F"/>
    <w:rsid w:val="759E1D9D"/>
    <w:rsid w:val="75AD46A5"/>
    <w:rsid w:val="75B26FB2"/>
    <w:rsid w:val="75C06ED1"/>
    <w:rsid w:val="75F92C36"/>
    <w:rsid w:val="760068C4"/>
    <w:rsid w:val="762B2D93"/>
    <w:rsid w:val="762D4C0A"/>
    <w:rsid w:val="76472434"/>
    <w:rsid w:val="765C54A6"/>
    <w:rsid w:val="765E5653"/>
    <w:rsid w:val="767E2188"/>
    <w:rsid w:val="769B2312"/>
    <w:rsid w:val="76AA7676"/>
    <w:rsid w:val="76BD4C7A"/>
    <w:rsid w:val="76EC7F7C"/>
    <w:rsid w:val="76EF5BA0"/>
    <w:rsid w:val="770D7544"/>
    <w:rsid w:val="77191DA9"/>
    <w:rsid w:val="772E7C6F"/>
    <w:rsid w:val="77494FD8"/>
    <w:rsid w:val="7756639B"/>
    <w:rsid w:val="775D38BE"/>
    <w:rsid w:val="7774142F"/>
    <w:rsid w:val="77822FF8"/>
    <w:rsid w:val="77AC304F"/>
    <w:rsid w:val="77B72C70"/>
    <w:rsid w:val="77B7E859"/>
    <w:rsid w:val="77C1033F"/>
    <w:rsid w:val="77C63C4B"/>
    <w:rsid w:val="780847EC"/>
    <w:rsid w:val="781D0974"/>
    <w:rsid w:val="785133CD"/>
    <w:rsid w:val="7869080F"/>
    <w:rsid w:val="7887027E"/>
    <w:rsid w:val="78B2301E"/>
    <w:rsid w:val="78C96AEF"/>
    <w:rsid w:val="78E144D6"/>
    <w:rsid w:val="78EB050D"/>
    <w:rsid w:val="792366AE"/>
    <w:rsid w:val="795A23FB"/>
    <w:rsid w:val="796B65AF"/>
    <w:rsid w:val="797A43CE"/>
    <w:rsid w:val="79AA334A"/>
    <w:rsid w:val="79AB6C35"/>
    <w:rsid w:val="79C64844"/>
    <w:rsid w:val="7A3478BA"/>
    <w:rsid w:val="7A460752"/>
    <w:rsid w:val="7A551A09"/>
    <w:rsid w:val="7A6C0FA7"/>
    <w:rsid w:val="7A910F76"/>
    <w:rsid w:val="7AB1598F"/>
    <w:rsid w:val="7ACA90A2"/>
    <w:rsid w:val="7AD17BE0"/>
    <w:rsid w:val="7AE364A4"/>
    <w:rsid w:val="7B0F1047"/>
    <w:rsid w:val="7B106BE0"/>
    <w:rsid w:val="7B14032F"/>
    <w:rsid w:val="7B775BA2"/>
    <w:rsid w:val="7B795716"/>
    <w:rsid w:val="7BDC35EB"/>
    <w:rsid w:val="7C8D180B"/>
    <w:rsid w:val="7C9B4761"/>
    <w:rsid w:val="7CE938AF"/>
    <w:rsid w:val="7CEF5D85"/>
    <w:rsid w:val="7CFD3C2C"/>
    <w:rsid w:val="7D0D20B9"/>
    <w:rsid w:val="7D213C46"/>
    <w:rsid w:val="7D4469C9"/>
    <w:rsid w:val="7D580DBA"/>
    <w:rsid w:val="7D625389"/>
    <w:rsid w:val="7D7215C5"/>
    <w:rsid w:val="7D9B4401"/>
    <w:rsid w:val="7DA53D65"/>
    <w:rsid w:val="7DCD0D18"/>
    <w:rsid w:val="7DD375FB"/>
    <w:rsid w:val="7DD43639"/>
    <w:rsid w:val="7DD98477"/>
    <w:rsid w:val="7DDA0C76"/>
    <w:rsid w:val="7DE72FFE"/>
    <w:rsid w:val="7E144B7F"/>
    <w:rsid w:val="7E6134FB"/>
    <w:rsid w:val="7E667316"/>
    <w:rsid w:val="7E8717CC"/>
    <w:rsid w:val="7E98623B"/>
    <w:rsid w:val="7EC037A9"/>
    <w:rsid w:val="7EF577D0"/>
    <w:rsid w:val="7F1D01D6"/>
    <w:rsid w:val="7F4709D8"/>
    <w:rsid w:val="7F4F2B5E"/>
    <w:rsid w:val="7F6B6A84"/>
    <w:rsid w:val="7F7F7EC6"/>
    <w:rsid w:val="7F8172DB"/>
    <w:rsid w:val="7FD57F67"/>
    <w:rsid w:val="7FE555E4"/>
    <w:rsid w:val="7FE816DF"/>
    <w:rsid w:val="7FF040AC"/>
    <w:rsid w:val="AFFB8026"/>
    <w:rsid w:val="BF8BB03E"/>
    <w:rsid w:val="CB369F3F"/>
    <w:rsid w:val="D7BFBFE1"/>
    <w:rsid w:val="DAE98B74"/>
    <w:rsid w:val="DFFF7B3F"/>
    <w:rsid w:val="E5FF1E21"/>
    <w:rsid w:val="EFFB7344"/>
    <w:rsid w:val="FC2F2B69"/>
    <w:rsid w:val="FDFD9EB1"/>
    <w:rsid w:val="FF8C6459"/>
    <w:rsid w:val="FFFF6D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2"/>
    <w:qFormat/>
    <w:uiPriority w:val="0"/>
    <w:pPr>
      <w:keepNext/>
      <w:keepLines/>
      <w:spacing w:before="340" w:beforeLines="0" w:after="330" w:afterLines="0" w:line="576" w:lineRule="auto"/>
      <w:jc w:val="center"/>
      <w:outlineLvl w:val="0"/>
    </w:pPr>
    <w:rPr>
      <w:rFonts w:eastAsia="黑体"/>
      <w:b/>
      <w:bCs/>
      <w:kern w:val="44"/>
      <w:sz w:val="52"/>
      <w:szCs w:val="44"/>
    </w:rPr>
  </w:style>
  <w:style w:type="paragraph" w:styleId="4">
    <w:name w:val="heading 2"/>
    <w:basedOn w:val="1"/>
    <w:next w:val="1"/>
    <w:link w:val="9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3"/>
    <w:basedOn w:val="1"/>
    <w:next w:val="6"/>
    <w:link w:val="93"/>
    <w:qFormat/>
    <w:uiPriority w:val="0"/>
    <w:pPr>
      <w:keepNext/>
      <w:keepLines/>
      <w:spacing w:before="260" w:beforeLines="0" w:after="260" w:afterLines="0" w:line="413" w:lineRule="auto"/>
      <w:outlineLvl w:val="2"/>
    </w:pPr>
    <w:rPr>
      <w:b/>
      <w:bCs/>
      <w:sz w:val="32"/>
      <w:szCs w:val="32"/>
    </w:rPr>
  </w:style>
  <w:style w:type="paragraph" w:styleId="7">
    <w:name w:val="heading 4"/>
    <w:basedOn w:val="1"/>
    <w:next w:val="1"/>
    <w:link w:val="94"/>
    <w:qFormat/>
    <w:uiPriority w:val="0"/>
    <w:pPr>
      <w:keepNext/>
      <w:keepLines/>
      <w:widowControl/>
      <w:spacing w:line="360" w:lineRule="auto"/>
      <w:jc w:val="center"/>
      <w:outlineLvl w:val="3"/>
    </w:pPr>
    <w:rPr>
      <w:rFonts w:ascii="宋体" w:hAnsi="宋体"/>
      <w:bCs/>
      <w:sz w:val="28"/>
    </w:rPr>
  </w:style>
  <w:style w:type="paragraph" w:styleId="8">
    <w:name w:val="heading 5"/>
    <w:basedOn w:val="1"/>
    <w:next w:val="1"/>
    <w:link w:val="95"/>
    <w:qFormat/>
    <w:uiPriority w:val="0"/>
    <w:pPr>
      <w:keepNext/>
      <w:keepLines/>
      <w:widowControl/>
      <w:spacing w:line="360" w:lineRule="auto"/>
      <w:jc w:val="center"/>
      <w:outlineLvl w:val="4"/>
    </w:pPr>
    <w:rPr>
      <w:rFonts w:ascii="宋体" w:hAnsi="宋体"/>
      <w:b/>
      <w:sz w:val="44"/>
    </w:rPr>
  </w:style>
  <w:style w:type="paragraph" w:styleId="9">
    <w:name w:val="heading 6"/>
    <w:basedOn w:val="1"/>
    <w:next w:val="1"/>
    <w:link w:val="96"/>
    <w:qFormat/>
    <w:uiPriority w:val="0"/>
    <w:pPr>
      <w:widowControl/>
      <w:tabs>
        <w:tab w:val="left" w:pos="1800"/>
      </w:tabs>
      <w:spacing w:before="240" w:beforeLines="0" w:after="60" w:afterLines="0"/>
      <w:ind w:left="1152" w:hanging="1152"/>
      <w:jc w:val="left"/>
      <w:outlineLvl w:val="5"/>
    </w:pPr>
    <w:rPr>
      <w:rFonts w:ascii="Arial" w:hAnsi="Arial"/>
      <w:b/>
      <w:kern w:val="0"/>
      <w:sz w:val="24"/>
      <w:szCs w:val="20"/>
    </w:rPr>
  </w:style>
  <w:style w:type="paragraph" w:styleId="10">
    <w:name w:val="heading 7"/>
    <w:basedOn w:val="1"/>
    <w:next w:val="1"/>
    <w:link w:val="97"/>
    <w:qFormat/>
    <w:uiPriority w:val="0"/>
    <w:pPr>
      <w:keepNext/>
      <w:keepLines/>
      <w:widowControl/>
      <w:tabs>
        <w:tab w:val="left" w:pos="1296"/>
      </w:tabs>
      <w:spacing w:before="240" w:beforeLines="0" w:after="64" w:afterLines="0" w:line="317" w:lineRule="auto"/>
      <w:ind w:left="1296" w:hanging="1296"/>
      <w:jc w:val="left"/>
      <w:outlineLvl w:val="6"/>
    </w:pPr>
    <w:rPr>
      <w:b/>
      <w:kern w:val="0"/>
      <w:sz w:val="24"/>
      <w:szCs w:val="20"/>
    </w:rPr>
  </w:style>
  <w:style w:type="paragraph" w:styleId="11">
    <w:name w:val="heading 8"/>
    <w:basedOn w:val="1"/>
    <w:next w:val="1"/>
    <w:link w:val="98"/>
    <w:qFormat/>
    <w:uiPriority w:val="0"/>
    <w:pPr>
      <w:keepNext/>
      <w:keepLines/>
      <w:widowControl/>
      <w:tabs>
        <w:tab w:val="left" w:pos="1440"/>
      </w:tabs>
      <w:spacing w:before="240" w:beforeLines="0" w:after="64" w:afterLines="0" w:line="317" w:lineRule="auto"/>
      <w:ind w:left="1440" w:hanging="1440"/>
      <w:jc w:val="left"/>
      <w:outlineLvl w:val="7"/>
    </w:pPr>
    <w:rPr>
      <w:rFonts w:ascii="Arial" w:hAnsi="Arial" w:eastAsia="黑体"/>
      <w:kern w:val="0"/>
      <w:sz w:val="24"/>
      <w:szCs w:val="20"/>
    </w:rPr>
  </w:style>
  <w:style w:type="paragraph" w:styleId="12">
    <w:name w:val="heading 9"/>
    <w:basedOn w:val="1"/>
    <w:next w:val="1"/>
    <w:link w:val="99"/>
    <w:qFormat/>
    <w:uiPriority w:val="0"/>
    <w:pPr>
      <w:keepNext/>
      <w:keepLines/>
      <w:widowControl/>
      <w:tabs>
        <w:tab w:val="left" w:pos="1584"/>
      </w:tabs>
      <w:spacing w:before="240" w:beforeLines="0" w:after="64" w:afterLines="0" w:line="317" w:lineRule="auto"/>
      <w:ind w:left="1584" w:hanging="1584"/>
      <w:jc w:val="left"/>
      <w:outlineLvl w:val="8"/>
    </w:pPr>
    <w:rPr>
      <w:rFonts w:ascii="Arial" w:hAnsi="Arial" w:eastAsia="黑体"/>
      <w:kern w:val="0"/>
      <w:szCs w:val="20"/>
    </w:rPr>
  </w:style>
  <w:style w:type="character" w:default="1" w:styleId="72">
    <w:name w:val="Default Paragraph Font"/>
    <w:qFormat/>
    <w:uiPriority w:val="0"/>
  </w:style>
  <w:style w:type="table" w:default="1" w:styleId="7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
    <w:name w:val="0段落文字"/>
    <w:basedOn w:val="1"/>
    <w:qFormat/>
    <w:uiPriority w:val="0"/>
    <w:pPr>
      <w:spacing w:line="360" w:lineRule="auto"/>
      <w:ind w:firstLine="200" w:firstLineChars="200"/>
    </w:pPr>
    <w:rPr>
      <w:rFonts w:ascii="Times New Roman" w:hAnsi="Times New Roman" w:eastAsia="宋体"/>
      <w:sz w:val="24"/>
      <w:lang w:val="zh-CN"/>
    </w:rPr>
  </w:style>
  <w:style w:type="paragraph" w:styleId="13">
    <w:name w:val="toc 7"/>
    <w:basedOn w:val="1"/>
    <w:next w:val="1"/>
    <w:qFormat/>
    <w:uiPriority w:val="0"/>
    <w:pPr>
      <w:ind w:left="1260"/>
      <w:jc w:val="left"/>
    </w:pPr>
    <w:rPr>
      <w:sz w:val="20"/>
      <w:szCs w:val="20"/>
    </w:rPr>
  </w:style>
  <w:style w:type="paragraph" w:styleId="14">
    <w:name w:val="List Number 2"/>
    <w:basedOn w:val="1"/>
    <w:qFormat/>
    <w:uiPriority w:val="0"/>
    <w:pPr>
      <w:tabs>
        <w:tab w:val="left" w:pos="780"/>
      </w:tabs>
      <w:ind w:left="780" w:leftChars="200" w:hanging="360" w:hangingChars="200"/>
    </w:pPr>
  </w:style>
  <w:style w:type="paragraph" w:styleId="15">
    <w:name w:val="List Bullet 4"/>
    <w:basedOn w:val="1"/>
    <w:qFormat/>
    <w:uiPriority w:val="0"/>
    <w:pPr>
      <w:tabs>
        <w:tab w:val="left" w:pos="360"/>
        <w:tab w:val="left" w:pos="1620"/>
      </w:tabs>
      <w:ind w:left="1620" w:leftChars="600" w:hanging="360"/>
    </w:pPr>
  </w:style>
  <w:style w:type="paragraph" w:styleId="16">
    <w:name w:val="index 8"/>
    <w:basedOn w:val="1"/>
    <w:next w:val="1"/>
    <w:qFormat/>
    <w:uiPriority w:val="0"/>
    <w:pPr>
      <w:ind w:left="1400" w:leftChars="1400"/>
    </w:pPr>
  </w:style>
  <w:style w:type="paragraph" w:styleId="17">
    <w:name w:val="List Number"/>
    <w:basedOn w:val="1"/>
    <w:qFormat/>
    <w:uiPriority w:val="0"/>
    <w:pPr>
      <w:tabs>
        <w:tab w:val="left" w:pos="845"/>
      </w:tabs>
      <w:adjustRightInd w:val="0"/>
      <w:spacing w:line="360" w:lineRule="auto"/>
      <w:ind w:left="845" w:hanging="420"/>
      <w:textAlignment w:val="baseline"/>
    </w:pPr>
    <w:rPr>
      <w:b/>
      <w:bCs/>
      <w:color w:val="000000"/>
      <w:kern w:val="0"/>
      <w:sz w:val="24"/>
      <w:szCs w:val="20"/>
    </w:rPr>
  </w:style>
  <w:style w:type="paragraph" w:styleId="18">
    <w:name w:val="Normal Indent"/>
    <w:basedOn w:val="1"/>
    <w:link w:val="100"/>
    <w:qFormat/>
    <w:uiPriority w:val="0"/>
    <w:pPr>
      <w:autoSpaceDE w:val="0"/>
      <w:autoSpaceDN w:val="0"/>
      <w:adjustRightInd w:val="0"/>
      <w:ind w:firstLine="420"/>
      <w:jc w:val="left"/>
      <w:textAlignment w:val="baseline"/>
    </w:pPr>
    <w:rPr>
      <w:rFonts w:ascii="宋体"/>
      <w:kern w:val="0"/>
      <w:sz w:val="34"/>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style>
  <w:style w:type="paragraph" w:styleId="21">
    <w:name w:val="List Bullet"/>
    <w:basedOn w:val="1"/>
    <w:qFormat/>
    <w:uiPriority w:val="0"/>
    <w:pPr>
      <w:widowControl/>
      <w:tabs>
        <w:tab w:val="left" w:pos="540"/>
      </w:tabs>
      <w:overflowPunct w:val="0"/>
      <w:autoSpaceDE w:val="0"/>
      <w:autoSpaceDN w:val="0"/>
      <w:adjustRightInd w:val="0"/>
      <w:ind w:left="360" w:hanging="360"/>
      <w:jc w:val="left"/>
      <w:textAlignment w:val="baseline"/>
    </w:pPr>
    <w:rPr>
      <w:kern w:val="0"/>
      <w:sz w:val="24"/>
      <w:szCs w:val="20"/>
    </w:rPr>
  </w:style>
  <w:style w:type="paragraph" w:styleId="22">
    <w:name w:val="Document Map"/>
    <w:basedOn w:val="1"/>
    <w:link w:val="101"/>
    <w:qFormat/>
    <w:uiPriority w:val="0"/>
    <w:rPr>
      <w:rFonts w:ascii="宋体"/>
      <w:sz w:val="18"/>
      <w:szCs w:val="18"/>
    </w:rPr>
  </w:style>
  <w:style w:type="paragraph" w:styleId="23">
    <w:name w:val="annotation text"/>
    <w:basedOn w:val="1"/>
    <w:link w:val="102"/>
    <w:qFormat/>
    <w:uiPriority w:val="0"/>
    <w:pPr>
      <w:jc w:val="left"/>
    </w:pPr>
  </w:style>
  <w:style w:type="paragraph" w:styleId="24">
    <w:name w:val="index 6"/>
    <w:basedOn w:val="1"/>
    <w:next w:val="1"/>
    <w:qFormat/>
    <w:uiPriority w:val="0"/>
    <w:pPr>
      <w:ind w:left="1000" w:leftChars="1000"/>
    </w:pPr>
  </w:style>
  <w:style w:type="paragraph" w:styleId="25">
    <w:name w:val="Salutation"/>
    <w:basedOn w:val="1"/>
    <w:next w:val="1"/>
    <w:link w:val="103"/>
    <w:qFormat/>
    <w:uiPriority w:val="0"/>
  </w:style>
  <w:style w:type="paragraph" w:styleId="26">
    <w:name w:val="Body Text 3"/>
    <w:basedOn w:val="1"/>
    <w:qFormat/>
    <w:uiPriority w:val="0"/>
    <w:pPr>
      <w:spacing w:after="120" w:afterLines="0"/>
    </w:pPr>
    <w:rPr>
      <w:sz w:val="16"/>
      <w:szCs w:val="16"/>
    </w:rPr>
  </w:style>
  <w:style w:type="paragraph" w:styleId="27">
    <w:name w:val="List Bullet 3"/>
    <w:basedOn w:val="1"/>
    <w:qFormat/>
    <w:uiPriority w:val="0"/>
    <w:pPr>
      <w:tabs>
        <w:tab w:val="left" w:pos="905"/>
      </w:tabs>
      <w:ind w:left="905" w:hanging="420"/>
    </w:pPr>
    <w:rPr>
      <w:sz w:val="24"/>
      <w:szCs w:val="20"/>
    </w:rPr>
  </w:style>
  <w:style w:type="paragraph" w:styleId="28">
    <w:name w:val="Body Text"/>
    <w:basedOn w:val="1"/>
    <w:next w:val="1"/>
    <w:link w:val="104"/>
    <w:qFormat/>
    <w:uiPriority w:val="0"/>
    <w:pPr>
      <w:spacing w:line="360" w:lineRule="auto"/>
    </w:pPr>
    <w:rPr>
      <w:rFonts w:ascii="宋体" w:hAnsi="宋体"/>
      <w:sz w:val="28"/>
    </w:rPr>
  </w:style>
  <w:style w:type="paragraph" w:styleId="29">
    <w:name w:val="Body Text Indent"/>
    <w:basedOn w:val="1"/>
    <w:link w:val="105"/>
    <w:qFormat/>
    <w:uiPriority w:val="0"/>
    <w:pPr>
      <w:adjustRightInd w:val="0"/>
      <w:snapToGrid w:val="0"/>
      <w:spacing w:line="360" w:lineRule="auto"/>
      <w:ind w:firstLine="420" w:firstLineChars="200"/>
    </w:pPr>
  </w:style>
  <w:style w:type="paragraph" w:styleId="30">
    <w:name w:val="List Number 3"/>
    <w:basedOn w:val="1"/>
    <w:qFormat/>
    <w:uiPriority w:val="0"/>
    <w:pPr>
      <w:tabs>
        <w:tab w:val="left" w:pos="360"/>
      </w:tabs>
      <w:ind w:left="360" w:hanging="360"/>
    </w:pPr>
  </w:style>
  <w:style w:type="paragraph" w:styleId="31">
    <w:name w:val="List 2"/>
    <w:basedOn w:val="1"/>
    <w:qFormat/>
    <w:uiPriority w:val="0"/>
    <w:pPr>
      <w:jc w:val="distribute"/>
    </w:pPr>
    <w:rPr>
      <w:rFonts w:ascii="Arial" w:hAnsi="Arial"/>
      <w:color w:val="993300"/>
      <w:szCs w:val="20"/>
    </w:rPr>
  </w:style>
  <w:style w:type="paragraph" w:styleId="32">
    <w:name w:val="Block Text"/>
    <w:basedOn w:val="1"/>
    <w:qFormat/>
    <w:uiPriority w:val="0"/>
    <w:pPr>
      <w:widowControl/>
      <w:spacing w:after="120" w:afterLines="0"/>
      <w:ind w:left="1440" w:leftChars="700" w:rightChars="700"/>
      <w:jc w:val="left"/>
    </w:pPr>
    <w:rPr>
      <w:kern w:val="0"/>
      <w:szCs w:val="20"/>
    </w:rPr>
  </w:style>
  <w:style w:type="paragraph" w:styleId="33">
    <w:name w:val="List Bullet 2"/>
    <w:basedOn w:val="1"/>
    <w:qFormat/>
    <w:uiPriority w:val="0"/>
    <w:pPr>
      <w:tabs>
        <w:tab w:val="left" w:pos="780"/>
      </w:tabs>
      <w:ind w:left="780" w:leftChars="200" w:hanging="360" w:hangingChars="200"/>
    </w:pPr>
  </w:style>
  <w:style w:type="paragraph" w:styleId="34">
    <w:name w:val="index 4"/>
    <w:basedOn w:val="1"/>
    <w:next w:val="1"/>
    <w:qFormat/>
    <w:uiPriority w:val="0"/>
    <w:pPr>
      <w:ind w:left="600" w:leftChars="600"/>
    </w:pPr>
  </w:style>
  <w:style w:type="paragraph" w:styleId="35">
    <w:name w:val="toc 5"/>
    <w:basedOn w:val="1"/>
    <w:next w:val="1"/>
    <w:qFormat/>
    <w:uiPriority w:val="0"/>
    <w:pPr>
      <w:ind w:left="840"/>
      <w:jc w:val="left"/>
    </w:pPr>
    <w:rPr>
      <w:sz w:val="20"/>
      <w:szCs w:val="20"/>
    </w:rPr>
  </w:style>
  <w:style w:type="paragraph" w:styleId="36">
    <w:name w:val="toc 3"/>
    <w:basedOn w:val="1"/>
    <w:next w:val="1"/>
    <w:qFormat/>
    <w:uiPriority w:val="39"/>
    <w:pPr>
      <w:ind w:left="420"/>
      <w:jc w:val="left"/>
    </w:pPr>
    <w:rPr>
      <w:sz w:val="20"/>
      <w:szCs w:val="20"/>
    </w:rPr>
  </w:style>
  <w:style w:type="paragraph" w:styleId="37">
    <w:name w:val="Plain Text"/>
    <w:basedOn w:val="1"/>
    <w:next w:val="1"/>
    <w:qFormat/>
    <w:uiPriority w:val="0"/>
    <w:rPr>
      <w:rFonts w:ascii="宋体" w:hAnsi="Courier New" w:cs="Courier New"/>
      <w:szCs w:val="21"/>
    </w:rPr>
  </w:style>
  <w:style w:type="paragraph" w:styleId="38">
    <w:name w:val="List Bullet 5"/>
    <w:basedOn w:val="1"/>
    <w:qFormat/>
    <w:uiPriority w:val="0"/>
    <w:pPr>
      <w:tabs>
        <w:tab w:val="left" w:pos="2040"/>
      </w:tabs>
      <w:ind w:left="2040" w:hanging="360"/>
    </w:pPr>
    <w:rPr>
      <w:szCs w:val="20"/>
    </w:rPr>
  </w:style>
  <w:style w:type="paragraph" w:styleId="39">
    <w:name w:val="List Number 4"/>
    <w:basedOn w:val="1"/>
    <w:qFormat/>
    <w:uiPriority w:val="0"/>
    <w:pPr>
      <w:tabs>
        <w:tab w:val="left" w:pos="1620"/>
      </w:tabs>
      <w:ind w:left="1620" w:leftChars="600" w:hanging="360" w:hangingChars="200"/>
    </w:pPr>
  </w:style>
  <w:style w:type="paragraph" w:styleId="40">
    <w:name w:val="toc 8"/>
    <w:basedOn w:val="1"/>
    <w:next w:val="1"/>
    <w:qFormat/>
    <w:uiPriority w:val="0"/>
    <w:pPr>
      <w:ind w:left="1470"/>
      <w:jc w:val="left"/>
    </w:pPr>
    <w:rPr>
      <w:sz w:val="20"/>
      <w:szCs w:val="20"/>
    </w:rPr>
  </w:style>
  <w:style w:type="paragraph" w:styleId="41">
    <w:name w:val="index 3"/>
    <w:basedOn w:val="1"/>
    <w:next w:val="1"/>
    <w:qFormat/>
    <w:uiPriority w:val="0"/>
    <w:pPr>
      <w:ind w:left="400" w:leftChars="400"/>
    </w:pPr>
  </w:style>
  <w:style w:type="paragraph" w:styleId="42">
    <w:name w:val="Date"/>
    <w:basedOn w:val="1"/>
    <w:next w:val="1"/>
    <w:link w:val="106"/>
    <w:qFormat/>
    <w:uiPriority w:val="0"/>
    <w:pPr>
      <w:autoSpaceDE w:val="0"/>
      <w:autoSpaceDN w:val="0"/>
      <w:adjustRightInd w:val="0"/>
      <w:textAlignment w:val="baseline"/>
    </w:pPr>
    <w:rPr>
      <w:rFonts w:ascii="宋体"/>
      <w:kern w:val="0"/>
      <w:sz w:val="28"/>
      <w:szCs w:val="20"/>
    </w:rPr>
  </w:style>
  <w:style w:type="paragraph" w:styleId="43">
    <w:name w:val="Body Text Indent 2"/>
    <w:basedOn w:val="1"/>
    <w:link w:val="107"/>
    <w:qFormat/>
    <w:uiPriority w:val="0"/>
    <w:pPr>
      <w:spacing w:line="480" w:lineRule="exact"/>
      <w:ind w:left="810" w:firstLine="675"/>
    </w:pPr>
    <w:rPr>
      <w:rFonts w:eastAsia="仿宋_GB2312"/>
      <w:sz w:val="30"/>
      <w:szCs w:val="20"/>
    </w:rPr>
  </w:style>
  <w:style w:type="paragraph" w:styleId="44">
    <w:name w:val="endnote text"/>
    <w:basedOn w:val="1"/>
    <w:link w:val="108"/>
    <w:qFormat/>
    <w:uiPriority w:val="0"/>
    <w:pPr>
      <w:snapToGrid w:val="0"/>
      <w:ind w:left="200" w:leftChars="200"/>
      <w:jc w:val="left"/>
    </w:pPr>
  </w:style>
  <w:style w:type="paragraph" w:styleId="45">
    <w:name w:val="Balloon Text"/>
    <w:basedOn w:val="1"/>
    <w:link w:val="109"/>
    <w:qFormat/>
    <w:uiPriority w:val="0"/>
    <w:rPr>
      <w:sz w:val="18"/>
      <w:szCs w:val="18"/>
    </w:rPr>
  </w:style>
  <w:style w:type="paragraph" w:styleId="46">
    <w:name w:val="footer"/>
    <w:basedOn w:val="1"/>
    <w:link w:val="110"/>
    <w:qFormat/>
    <w:uiPriority w:val="0"/>
    <w:pPr>
      <w:tabs>
        <w:tab w:val="center" w:pos="4153"/>
        <w:tab w:val="right" w:pos="8306"/>
      </w:tabs>
      <w:snapToGrid w:val="0"/>
      <w:jc w:val="left"/>
    </w:pPr>
    <w:rPr>
      <w:sz w:val="18"/>
      <w:szCs w:val="18"/>
    </w:rPr>
  </w:style>
  <w:style w:type="paragraph" w:styleId="47">
    <w:name w:val="header"/>
    <w:basedOn w:val="1"/>
    <w:link w:val="111"/>
    <w:qFormat/>
    <w:uiPriority w:val="0"/>
    <w:pPr>
      <w:pBdr>
        <w:bottom w:val="single" w:color="auto" w:sz="6" w:space="1"/>
      </w:pBdr>
      <w:tabs>
        <w:tab w:val="center" w:pos="4153"/>
        <w:tab w:val="right" w:pos="8306"/>
      </w:tabs>
      <w:snapToGrid w:val="0"/>
      <w:jc w:val="center"/>
    </w:pPr>
    <w:rPr>
      <w:sz w:val="18"/>
      <w:szCs w:val="18"/>
    </w:rPr>
  </w:style>
  <w:style w:type="paragraph" w:styleId="48">
    <w:name w:val="toc 1"/>
    <w:basedOn w:val="1"/>
    <w:next w:val="1"/>
    <w:qFormat/>
    <w:uiPriority w:val="39"/>
    <w:pPr>
      <w:spacing w:before="120" w:beforeLines="0"/>
      <w:jc w:val="left"/>
    </w:pPr>
    <w:rPr>
      <w:b/>
      <w:bCs/>
      <w:i/>
      <w:iCs/>
      <w:sz w:val="24"/>
    </w:rPr>
  </w:style>
  <w:style w:type="paragraph" w:styleId="49">
    <w:name w:val="toc 4"/>
    <w:basedOn w:val="1"/>
    <w:next w:val="1"/>
    <w:qFormat/>
    <w:uiPriority w:val="0"/>
    <w:pPr>
      <w:ind w:left="630"/>
      <w:jc w:val="left"/>
    </w:pPr>
    <w:rPr>
      <w:sz w:val="20"/>
      <w:szCs w:val="20"/>
    </w:rPr>
  </w:style>
  <w:style w:type="paragraph" w:styleId="50">
    <w:name w:val="index heading"/>
    <w:basedOn w:val="1"/>
    <w:next w:val="51"/>
    <w:qFormat/>
    <w:uiPriority w:val="0"/>
    <w:rPr>
      <w:szCs w:val="20"/>
    </w:rPr>
  </w:style>
  <w:style w:type="paragraph" w:styleId="51">
    <w:name w:val="index 1"/>
    <w:basedOn w:val="1"/>
    <w:next w:val="1"/>
    <w:qFormat/>
    <w:uiPriority w:val="0"/>
  </w:style>
  <w:style w:type="paragraph" w:styleId="52">
    <w:name w:val="List Number 5"/>
    <w:basedOn w:val="1"/>
    <w:qFormat/>
    <w:uiPriority w:val="0"/>
    <w:pPr>
      <w:tabs>
        <w:tab w:val="left" w:pos="2040"/>
      </w:tabs>
      <w:ind w:left="2040" w:leftChars="800" w:hanging="360" w:hangingChars="200"/>
    </w:pPr>
  </w:style>
  <w:style w:type="paragraph" w:styleId="53">
    <w:name w:val="List"/>
    <w:basedOn w:val="1"/>
    <w:qFormat/>
    <w:uiPriority w:val="0"/>
    <w:pPr>
      <w:jc w:val="center"/>
    </w:pPr>
    <w:rPr>
      <w:sz w:val="24"/>
      <w:szCs w:val="20"/>
    </w:rPr>
  </w:style>
  <w:style w:type="paragraph" w:styleId="54">
    <w:name w:val="footnote text"/>
    <w:basedOn w:val="1"/>
    <w:link w:val="112"/>
    <w:qFormat/>
    <w:uiPriority w:val="0"/>
    <w:pPr>
      <w:snapToGrid w:val="0"/>
      <w:jc w:val="left"/>
    </w:pPr>
    <w:rPr>
      <w:sz w:val="18"/>
      <w:szCs w:val="20"/>
    </w:rPr>
  </w:style>
  <w:style w:type="paragraph" w:styleId="55">
    <w:name w:val="toc 6"/>
    <w:basedOn w:val="1"/>
    <w:next w:val="1"/>
    <w:qFormat/>
    <w:uiPriority w:val="0"/>
    <w:pPr>
      <w:ind w:left="1050"/>
      <w:jc w:val="left"/>
    </w:pPr>
    <w:rPr>
      <w:sz w:val="20"/>
      <w:szCs w:val="20"/>
    </w:rPr>
  </w:style>
  <w:style w:type="paragraph" w:styleId="56">
    <w:name w:val="Body Text Indent 3"/>
    <w:basedOn w:val="1"/>
    <w:qFormat/>
    <w:uiPriority w:val="0"/>
    <w:pPr>
      <w:adjustRightInd w:val="0"/>
      <w:snapToGrid w:val="0"/>
      <w:spacing w:line="360" w:lineRule="auto"/>
      <w:ind w:firstLine="560" w:firstLineChars="200"/>
    </w:pPr>
    <w:rPr>
      <w:rFonts w:ascii="宋体" w:hAnsi="宋体"/>
      <w:sz w:val="28"/>
    </w:rPr>
  </w:style>
  <w:style w:type="paragraph" w:styleId="57">
    <w:name w:val="index 7"/>
    <w:basedOn w:val="1"/>
    <w:next w:val="1"/>
    <w:qFormat/>
    <w:uiPriority w:val="0"/>
    <w:pPr>
      <w:ind w:left="1200" w:leftChars="1200"/>
    </w:pPr>
  </w:style>
  <w:style w:type="paragraph" w:styleId="58">
    <w:name w:val="index 9"/>
    <w:basedOn w:val="1"/>
    <w:next w:val="1"/>
    <w:qFormat/>
    <w:uiPriority w:val="0"/>
    <w:pPr>
      <w:ind w:left="1600" w:leftChars="1600"/>
    </w:pPr>
  </w:style>
  <w:style w:type="paragraph" w:styleId="59">
    <w:name w:val="table of figures"/>
    <w:basedOn w:val="1"/>
    <w:next w:val="1"/>
    <w:qFormat/>
    <w:uiPriority w:val="0"/>
    <w:pPr>
      <w:ind w:left="200" w:leftChars="200" w:hanging="200" w:hangingChars="200"/>
    </w:pPr>
  </w:style>
  <w:style w:type="paragraph" w:styleId="60">
    <w:name w:val="toc 2"/>
    <w:basedOn w:val="1"/>
    <w:next w:val="1"/>
    <w:qFormat/>
    <w:uiPriority w:val="39"/>
    <w:pPr>
      <w:spacing w:before="120" w:beforeLines="0"/>
      <w:ind w:left="210"/>
      <w:jc w:val="left"/>
    </w:pPr>
    <w:rPr>
      <w:b/>
      <w:bCs/>
      <w:sz w:val="22"/>
      <w:szCs w:val="22"/>
    </w:rPr>
  </w:style>
  <w:style w:type="paragraph" w:styleId="61">
    <w:name w:val="toc 9"/>
    <w:basedOn w:val="1"/>
    <w:next w:val="1"/>
    <w:qFormat/>
    <w:uiPriority w:val="0"/>
    <w:pPr>
      <w:ind w:left="1680"/>
      <w:jc w:val="left"/>
    </w:pPr>
    <w:rPr>
      <w:sz w:val="20"/>
      <w:szCs w:val="20"/>
    </w:rPr>
  </w:style>
  <w:style w:type="paragraph" w:styleId="62">
    <w:name w:val="Body Text 2"/>
    <w:basedOn w:val="1"/>
    <w:link w:val="113"/>
    <w:qFormat/>
    <w:uiPriority w:val="0"/>
    <w:pPr>
      <w:widowControl/>
      <w:spacing w:line="360" w:lineRule="auto"/>
      <w:jc w:val="center"/>
    </w:pPr>
    <w:rPr>
      <w:rFonts w:ascii="华文新魏" w:eastAsia="华文新魏"/>
      <w:kern w:val="0"/>
      <w:sz w:val="72"/>
      <w:szCs w:val="20"/>
    </w:rPr>
  </w:style>
  <w:style w:type="paragraph" w:styleId="63">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65">
    <w:name w:val="index 2"/>
    <w:basedOn w:val="1"/>
    <w:next w:val="1"/>
    <w:qFormat/>
    <w:uiPriority w:val="0"/>
    <w:pPr>
      <w:ind w:left="200" w:leftChars="200"/>
    </w:pPr>
  </w:style>
  <w:style w:type="paragraph" w:styleId="66">
    <w:name w:val="Title"/>
    <w:basedOn w:val="1"/>
    <w:link w:val="115"/>
    <w:qFormat/>
    <w:uiPriority w:val="0"/>
    <w:pPr>
      <w:spacing w:before="240" w:beforeLines="0" w:after="60" w:afterLines="0"/>
      <w:jc w:val="center"/>
      <w:outlineLvl w:val="0"/>
    </w:pPr>
    <w:rPr>
      <w:rFonts w:ascii="Arial" w:hAnsi="Arial"/>
      <w:b/>
      <w:bCs/>
      <w:sz w:val="32"/>
      <w:szCs w:val="32"/>
    </w:rPr>
  </w:style>
  <w:style w:type="paragraph" w:styleId="67">
    <w:name w:val="annotation subject"/>
    <w:basedOn w:val="23"/>
    <w:next w:val="23"/>
    <w:link w:val="116"/>
    <w:qFormat/>
    <w:uiPriority w:val="0"/>
    <w:rPr>
      <w:b/>
      <w:bCs/>
    </w:rPr>
  </w:style>
  <w:style w:type="paragraph" w:styleId="68">
    <w:name w:val="Body Text First Indent"/>
    <w:basedOn w:val="28"/>
    <w:qFormat/>
    <w:uiPriority w:val="0"/>
    <w:pPr>
      <w:spacing w:after="120" w:afterLines="0" w:line="240" w:lineRule="auto"/>
      <w:ind w:firstLine="420" w:firstLineChars="100"/>
    </w:pPr>
    <w:rPr>
      <w:rFonts w:ascii="Times New Roman" w:hAnsi="Times New Roman"/>
      <w:sz w:val="21"/>
    </w:rPr>
  </w:style>
  <w:style w:type="paragraph" w:styleId="69">
    <w:name w:val="Body Text First Indent 2"/>
    <w:basedOn w:val="29"/>
    <w:link w:val="117"/>
    <w:qFormat/>
    <w:uiPriority w:val="0"/>
    <w:pPr>
      <w:adjustRightInd/>
      <w:snapToGrid/>
      <w:spacing w:after="120" w:afterLines="0" w:line="240" w:lineRule="auto"/>
      <w:ind w:left="420" w:leftChars="200" w:firstLine="210"/>
    </w:pPr>
  </w:style>
  <w:style w:type="table" w:styleId="71">
    <w:name w:val="Table Grid"/>
    <w:basedOn w:val="7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3">
    <w:name w:val="Strong"/>
    <w:basedOn w:val="72"/>
    <w:qFormat/>
    <w:uiPriority w:val="0"/>
    <w:rPr>
      <w:rFonts w:ascii="Tahoma" w:hAnsi="Tahoma" w:eastAsia="宋体"/>
      <w:b/>
      <w:bCs/>
      <w:spacing w:val="10"/>
      <w:sz w:val="24"/>
      <w:lang w:val="en-US" w:eastAsia="zh-CN" w:bidi="ar-SA"/>
    </w:rPr>
  </w:style>
  <w:style w:type="character" w:styleId="74">
    <w:name w:val="endnote reference"/>
    <w:qFormat/>
    <w:uiPriority w:val="0"/>
    <w:rPr>
      <w:vertAlign w:val="superscript"/>
    </w:rPr>
  </w:style>
  <w:style w:type="character" w:styleId="75">
    <w:name w:val="page number"/>
    <w:qFormat/>
    <w:uiPriority w:val="0"/>
  </w:style>
  <w:style w:type="character" w:styleId="76">
    <w:name w:val="FollowedHyperlink"/>
    <w:qFormat/>
    <w:uiPriority w:val="0"/>
    <w:rPr>
      <w:rFonts w:hint="eastAsia" w:ascii="黑体" w:hAnsi="宋体" w:eastAsia="黑体" w:cs="黑体"/>
      <w:color w:val="000000"/>
      <w:u w:val="none"/>
    </w:rPr>
  </w:style>
  <w:style w:type="character" w:styleId="77">
    <w:name w:val="Emphasis"/>
    <w:qFormat/>
    <w:uiPriority w:val="0"/>
    <w:rPr>
      <w:i/>
    </w:rPr>
  </w:style>
  <w:style w:type="character" w:styleId="78">
    <w:name w:val="HTML Definition"/>
    <w:qFormat/>
    <w:uiPriority w:val="0"/>
  </w:style>
  <w:style w:type="character" w:styleId="79">
    <w:name w:val="HTML Acronym"/>
    <w:qFormat/>
    <w:uiPriority w:val="0"/>
    <w:rPr>
      <w:rFonts w:eastAsia="宋体"/>
      <w:kern w:val="2"/>
      <w:sz w:val="24"/>
      <w:szCs w:val="24"/>
      <w:lang w:val="en-US" w:eastAsia="zh-CN" w:bidi="ar-SA"/>
    </w:rPr>
  </w:style>
  <w:style w:type="character" w:styleId="80">
    <w:name w:val="HTML Variable"/>
    <w:qFormat/>
    <w:uiPriority w:val="0"/>
  </w:style>
  <w:style w:type="character" w:styleId="81">
    <w:name w:val="Hyperlink"/>
    <w:qFormat/>
    <w:uiPriority w:val="99"/>
    <w:rPr>
      <w:rFonts w:ascii="黑体" w:hAnsi="宋体" w:eastAsia="黑体" w:cs="黑体"/>
      <w:color w:val="000000"/>
      <w:u w:val="none"/>
    </w:rPr>
  </w:style>
  <w:style w:type="character" w:styleId="82">
    <w:name w:val="HTML Code"/>
    <w:qFormat/>
    <w:uiPriority w:val="0"/>
    <w:rPr>
      <w:rFonts w:hint="default" w:ascii="serif" w:hAnsi="serif" w:eastAsia="serif" w:cs="serif"/>
      <w:sz w:val="21"/>
      <w:szCs w:val="21"/>
    </w:rPr>
  </w:style>
  <w:style w:type="character" w:styleId="83">
    <w:name w:val="annotation reference"/>
    <w:qFormat/>
    <w:uiPriority w:val="0"/>
    <w:rPr>
      <w:sz w:val="21"/>
      <w:szCs w:val="21"/>
    </w:rPr>
  </w:style>
  <w:style w:type="character" w:styleId="84">
    <w:name w:val="HTML Cite"/>
    <w:qFormat/>
    <w:uiPriority w:val="0"/>
  </w:style>
  <w:style w:type="character" w:styleId="85">
    <w:name w:val="footnote reference"/>
    <w:qFormat/>
    <w:uiPriority w:val="0"/>
    <w:rPr>
      <w:vertAlign w:val="superscript"/>
    </w:rPr>
  </w:style>
  <w:style w:type="character" w:styleId="86">
    <w:name w:val="HTML Keyboard"/>
    <w:qFormat/>
    <w:uiPriority w:val="0"/>
    <w:rPr>
      <w:rFonts w:ascii="serif" w:hAnsi="serif" w:eastAsia="serif" w:cs="serif"/>
      <w:sz w:val="21"/>
      <w:szCs w:val="21"/>
    </w:rPr>
  </w:style>
  <w:style w:type="character" w:styleId="87">
    <w:name w:val="HTML Sample"/>
    <w:qFormat/>
    <w:uiPriority w:val="0"/>
    <w:rPr>
      <w:rFonts w:hint="default" w:ascii="serif" w:hAnsi="serif" w:eastAsia="serif" w:cs="serif"/>
      <w:sz w:val="21"/>
      <w:szCs w:val="21"/>
    </w:rPr>
  </w:style>
  <w:style w:type="character" w:customStyle="1" w:styleId="88">
    <w:name w:val="标题 1 Char"/>
    <w:qFormat/>
    <w:uiPriority w:val="0"/>
    <w:rPr>
      <w:rFonts w:ascii="楷体" w:hAnsi="楷体" w:eastAsia="楷体"/>
      <w:b/>
      <w:bCs/>
      <w:kern w:val="44"/>
      <w:sz w:val="44"/>
      <w:szCs w:val="44"/>
    </w:rPr>
  </w:style>
  <w:style w:type="character" w:customStyle="1" w:styleId="89">
    <w:name w:val="标题 2 Char"/>
    <w:qFormat/>
    <w:uiPriority w:val="0"/>
    <w:rPr>
      <w:rFonts w:ascii="Arial" w:hAnsi="Arial" w:eastAsia="黑体"/>
      <w:b/>
      <w:bCs/>
      <w:kern w:val="2"/>
      <w:sz w:val="32"/>
      <w:szCs w:val="32"/>
      <w:lang w:val="en-US" w:eastAsia="zh-CN" w:bidi="ar-SA"/>
    </w:rPr>
  </w:style>
  <w:style w:type="paragraph" w:customStyle="1" w:styleId="90">
    <w:name w:val="NormalIndent"/>
    <w:basedOn w:val="1"/>
    <w:qFormat/>
    <w:uiPriority w:val="0"/>
    <w:pPr>
      <w:ind w:firstLine="420"/>
      <w:textAlignment w:val="baseline"/>
    </w:pPr>
    <w:rPr>
      <w:rFonts w:ascii="宋体"/>
      <w:sz w:val="34"/>
    </w:rPr>
  </w:style>
  <w:style w:type="character" w:customStyle="1" w:styleId="91">
    <w:name w:val="标题 2 字符"/>
    <w:link w:val="4"/>
    <w:qFormat/>
    <w:uiPriority w:val="0"/>
    <w:rPr>
      <w:rFonts w:ascii="Arial" w:hAnsi="Arial" w:eastAsia="黑体"/>
      <w:b/>
      <w:bCs/>
      <w:sz w:val="32"/>
      <w:szCs w:val="32"/>
    </w:rPr>
  </w:style>
  <w:style w:type="character" w:customStyle="1" w:styleId="92">
    <w:name w:val="标题 1 字符"/>
    <w:link w:val="3"/>
    <w:qFormat/>
    <w:uiPriority w:val="0"/>
    <w:rPr>
      <w:rFonts w:eastAsia="黑体"/>
      <w:b/>
      <w:bCs/>
      <w:kern w:val="44"/>
      <w:sz w:val="52"/>
      <w:szCs w:val="44"/>
    </w:rPr>
  </w:style>
  <w:style w:type="character" w:customStyle="1" w:styleId="93">
    <w:name w:val="标题 3 字符"/>
    <w:link w:val="5"/>
    <w:qFormat/>
    <w:uiPriority w:val="0"/>
    <w:rPr>
      <w:rFonts w:eastAsia="宋体"/>
      <w:b/>
      <w:bCs/>
      <w:kern w:val="2"/>
      <w:sz w:val="32"/>
      <w:szCs w:val="32"/>
      <w:lang w:val="en-US" w:eastAsia="zh-CN" w:bidi="ar-SA"/>
    </w:rPr>
  </w:style>
  <w:style w:type="character" w:customStyle="1" w:styleId="94">
    <w:name w:val="标题 4 字符"/>
    <w:link w:val="7"/>
    <w:qFormat/>
    <w:uiPriority w:val="0"/>
    <w:rPr>
      <w:rFonts w:ascii="宋体" w:hAnsi="宋体"/>
      <w:bCs/>
      <w:kern w:val="2"/>
      <w:sz w:val="28"/>
      <w:szCs w:val="24"/>
    </w:rPr>
  </w:style>
  <w:style w:type="character" w:customStyle="1" w:styleId="95">
    <w:name w:val="标题 5 字符"/>
    <w:link w:val="8"/>
    <w:qFormat/>
    <w:uiPriority w:val="0"/>
    <w:rPr>
      <w:rFonts w:ascii="宋体" w:hAnsi="宋体"/>
      <w:b/>
      <w:kern w:val="2"/>
      <w:sz w:val="44"/>
      <w:szCs w:val="24"/>
    </w:rPr>
  </w:style>
  <w:style w:type="character" w:customStyle="1" w:styleId="96">
    <w:name w:val="标题 6 字符"/>
    <w:link w:val="9"/>
    <w:qFormat/>
    <w:uiPriority w:val="0"/>
    <w:rPr>
      <w:rFonts w:ascii="Arial" w:hAnsi="Arial"/>
      <w:b/>
      <w:sz w:val="24"/>
    </w:rPr>
  </w:style>
  <w:style w:type="character" w:customStyle="1" w:styleId="97">
    <w:name w:val="标题 7 字符"/>
    <w:link w:val="10"/>
    <w:qFormat/>
    <w:uiPriority w:val="0"/>
    <w:rPr>
      <w:b/>
      <w:sz w:val="24"/>
    </w:rPr>
  </w:style>
  <w:style w:type="character" w:customStyle="1" w:styleId="98">
    <w:name w:val="标题 8 字符"/>
    <w:link w:val="11"/>
    <w:qFormat/>
    <w:uiPriority w:val="0"/>
    <w:rPr>
      <w:rFonts w:ascii="Arial" w:hAnsi="Arial" w:eastAsia="黑体"/>
      <w:sz w:val="24"/>
    </w:rPr>
  </w:style>
  <w:style w:type="character" w:customStyle="1" w:styleId="99">
    <w:name w:val="标题 9 字符"/>
    <w:link w:val="12"/>
    <w:qFormat/>
    <w:uiPriority w:val="0"/>
    <w:rPr>
      <w:rFonts w:ascii="Arial" w:hAnsi="Arial" w:eastAsia="黑体"/>
      <w:sz w:val="21"/>
    </w:rPr>
  </w:style>
  <w:style w:type="character" w:customStyle="1" w:styleId="100">
    <w:name w:val="正文缩进 字符"/>
    <w:link w:val="18"/>
    <w:qFormat/>
    <w:uiPriority w:val="0"/>
    <w:rPr>
      <w:rFonts w:ascii="宋体" w:eastAsia="宋体"/>
      <w:sz w:val="34"/>
      <w:lang w:val="en-US" w:eastAsia="zh-CN" w:bidi="ar-SA"/>
    </w:rPr>
  </w:style>
  <w:style w:type="character" w:customStyle="1" w:styleId="101">
    <w:name w:val="文档结构图 字符"/>
    <w:link w:val="22"/>
    <w:qFormat/>
    <w:uiPriority w:val="0"/>
    <w:rPr>
      <w:rFonts w:ascii="宋体"/>
      <w:kern w:val="2"/>
      <w:sz w:val="18"/>
      <w:szCs w:val="18"/>
    </w:rPr>
  </w:style>
  <w:style w:type="character" w:customStyle="1" w:styleId="102">
    <w:name w:val="批注文字 字符"/>
    <w:link w:val="23"/>
    <w:qFormat/>
    <w:uiPriority w:val="0"/>
    <w:rPr>
      <w:kern w:val="2"/>
      <w:sz w:val="21"/>
      <w:szCs w:val="24"/>
    </w:rPr>
  </w:style>
  <w:style w:type="character" w:customStyle="1" w:styleId="103">
    <w:name w:val="称呼 字符"/>
    <w:link w:val="25"/>
    <w:qFormat/>
    <w:uiPriority w:val="0"/>
    <w:rPr>
      <w:kern w:val="2"/>
      <w:sz w:val="21"/>
      <w:szCs w:val="24"/>
    </w:rPr>
  </w:style>
  <w:style w:type="character" w:customStyle="1" w:styleId="104">
    <w:name w:val="正文文本 字符"/>
    <w:link w:val="28"/>
    <w:qFormat/>
    <w:uiPriority w:val="0"/>
    <w:rPr>
      <w:rFonts w:ascii="宋体" w:hAnsi="宋体" w:eastAsia="宋体"/>
      <w:kern w:val="2"/>
      <w:sz w:val="28"/>
      <w:szCs w:val="24"/>
      <w:lang w:val="en-US" w:eastAsia="zh-CN" w:bidi="ar-SA"/>
    </w:rPr>
  </w:style>
  <w:style w:type="character" w:customStyle="1" w:styleId="105">
    <w:name w:val="正文文本缩进 字符"/>
    <w:link w:val="29"/>
    <w:qFormat/>
    <w:uiPriority w:val="0"/>
    <w:rPr>
      <w:kern w:val="2"/>
      <w:sz w:val="21"/>
      <w:szCs w:val="24"/>
    </w:rPr>
  </w:style>
  <w:style w:type="character" w:customStyle="1" w:styleId="106">
    <w:name w:val="日期 字符"/>
    <w:link w:val="42"/>
    <w:qFormat/>
    <w:uiPriority w:val="0"/>
    <w:rPr>
      <w:rFonts w:ascii="宋体"/>
      <w:sz w:val="28"/>
    </w:rPr>
  </w:style>
  <w:style w:type="character" w:customStyle="1" w:styleId="107">
    <w:name w:val="正文文本缩进 2 字符"/>
    <w:link w:val="43"/>
    <w:qFormat/>
    <w:uiPriority w:val="0"/>
    <w:rPr>
      <w:rFonts w:eastAsia="仿宋_GB2312"/>
      <w:kern w:val="2"/>
      <w:sz w:val="30"/>
    </w:rPr>
  </w:style>
  <w:style w:type="character" w:customStyle="1" w:styleId="108">
    <w:name w:val="尾注文本 字符"/>
    <w:link w:val="44"/>
    <w:qFormat/>
    <w:uiPriority w:val="0"/>
    <w:rPr>
      <w:rFonts w:ascii="宋体" w:hAnsi="Courier New" w:eastAsia="宋体" w:cs="Courier New"/>
      <w:kern w:val="2"/>
      <w:sz w:val="21"/>
      <w:szCs w:val="21"/>
      <w:lang w:val="en-US" w:eastAsia="zh-CN" w:bidi="ar-SA"/>
    </w:rPr>
  </w:style>
  <w:style w:type="character" w:customStyle="1" w:styleId="109">
    <w:name w:val="批注框文本 字符"/>
    <w:link w:val="45"/>
    <w:qFormat/>
    <w:uiPriority w:val="0"/>
    <w:rPr>
      <w:kern w:val="2"/>
      <w:sz w:val="18"/>
      <w:szCs w:val="18"/>
    </w:rPr>
  </w:style>
  <w:style w:type="character" w:customStyle="1" w:styleId="110">
    <w:name w:val="页脚 字符"/>
    <w:link w:val="46"/>
    <w:qFormat/>
    <w:uiPriority w:val="0"/>
    <w:rPr>
      <w:rFonts w:eastAsia="宋体"/>
      <w:kern w:val="2"/>
      <w:sz w:val="18"/>
      <w:szCs w:val="18"/>
      <w:lang w:val="en-US" w:eastAsia="zh-CN" w:bidi="ar-SA"/>
    </w:rPr>
  </w:style>
  <w:style w:type="character" w:customStyle="1" w:styleId="111">
    <w:name w:val="页眉 字符"/>
    <w:link w:val="47"/>
    <w:qFormat/>
    <w:uiPriority w:val="0"/>
    <w:rPr>
      <w:kern w:val="2"/>
      <w:sz w:val="18"/>
      <w:szCs w:val="18"/>
    </w:rPr>
  </w:style>
  <w:style w:type="character" w:customStyle="1" w:styleId="112">
    <w:name w:val="脚注文本 字符"/>
    <w:link w:val="54"/>
    <w:qFormat/>
    <w:uiPriority w:val="0"/>
    <w:rPr>
      <w:kern w:val="2"/>
      <w:sz w:val="18"/>
    </w:rPr>
  </w:style>
  <w:style w:type="character" w:customStyle="1" w:styleId="113">
    <w:name w:val="正文文本 2 字符"/>
    <w:link w:val="62"/>
    <w:qFormat/>
    <w:uiPriority w:val="0"/>
    <w:rPr>
      <w:rFonts w:ascii="华文新魏" w:eastAsia="华文新魏"/>
      <w:sz w:val="72"/>
    </w:rPr>
  </w:style>
  <w:style w:type="character" w:customStyle="1" w:styleId="114">
    <w:name w:val="HTML 预设格式 字符"/>
    <w:link w:val="63"/>
    <w:qFormat/>
    <w:uiPriority w:val="0"/>
    <w:rPr>
      <w:rFonts w:ascii="宋体" w:hAnsi="宋体" w:cs="宋体"/>
      <w:sz w:val="24"/>
      <w:szCs w:val="24"/>
    </w:rPr>
  </w:style>
  <w:style w:type="character" w:customStyle="1" w:styleId="115">
    <w:name w:val="标题 字符"/>
    <w:link w:val="66"/>
    <w:qFormat/>
    <w:uiPriority w:val="0"/>
    <w:rPr>
      <w:rFonts w:ascii="Arial" w:hAnsi="Arial" w:cs="Arial"/>
      <w:b/>
      <w:bCs/>
      <w:kern w:val="2"/>
      <w:sz w:val="32"/>
      <w:szCs w:val="32"/>
    </w:rPr>
  </w:style>
  <w:style w:type="character" w:customStyle="1" w:styleId="116">
    <w:name w:val="批注主题 字符"/>
    <w:link w:val="67"/>
    <w:qFormat/>
    <w:uiPriority w:val="0"/>
    <w:rPr>
      <w:b/>
      <w:bCs/>
      <w:kern w:val="2"/>
      <w:sz w:val="21"/>
      <w:szCs w:val="24"/>
    </w:rPr>
  </w:style>
  <w:style w:type="character" w:customStyle="1" w:styleId="117">
    <w:name w:val="正文文本首行缩进 2 字符"/>
    <w:link w:val="69"/>
    <w:qFormat/>
    <w:uiPriority w:val="0"/>
  </w:style>
  <w:style w:type="character" w:customStyle="1" w:styleId="118">
    <w:name w:val=" Char Char19"/>
    <w:qFormat/>
    <w:uiPriority w:val="0"/>
    <w:rPr>
      <w:rFonts w:eastAsia="宋体"/>
      <w:kern w:val="2"/>
      <w:sz w:val="21"/>
      <w:lang w:val="en-US" w:eastAsia="zh-CN"/>
    </w:rPr>
  </w:style>
  <w:style w:type="character" w:customStyle="1" w:styleId="119">
    <w:name w:val="消息标题号"/>
    <w:qFormat/>
    <w:uiPriority w:val="0"/>
    <w:rPr>
      <w:rFonts w:ascii="Arial Black" w:hAnsi="Arial Black" w:eastAsia="黑体"/>
      <w:b/>
      <w:sz w:val="21"/>
      <w:lang w:eastAsia="zh-CN"/>
    </w:rPr>
  </w:style>
  <w:style w:type="character" w:customStyle="1" w:styleId="120">
    <w:name w:val="point_normal1"/>
    <w:qFormat/>
    <w:uiPriority w:val="0"/>
    <w:rPr>
      <w:rFonts w:ascii="Arial" w:hAnsi="Arial" w:eastAsia="宋体" w:cs="Arial"/>
      <w:kern w:val="2"/>
      <w:sz w:val="18"/>
      <w:szCs w:val="18"/>
      <w:lang w:val="en-US" w:eastAsia="zh-CN" w:bidi="ar-SA"/>
    </w:rPr>
  </w:style>
  <w:style w:type="character" w:customStyle="1" w:styleId="121">
    <w:name w:val="f12_ff78001"/>
    <w:qFormat/>
    <w:uiPriority w:val="0"/>
    <w:rPr>
      <w:rFonts w:eastAsia="宋体"/>
      <w:color w:val="FF7800"/>
      <w:kern w:val="2"/>
      <w:sz w:val="24"/>
      <w:szCs w:val="24"/>
      <w:u w:val="none"/>
      <w:lang w:val="en-US" w:eastAsia="zh-CN" w:bidi="ar-SA"/>
    </w:rPr>
  </w:style>
  <w:style w:type="character" w:customStyle="1" w:styleId="122">
    <w:name w:val="style31"/>
    <w:qFormat/>
    <w:uiPriority w:val="0"/>
    <w:rPr>
      <w:rFonts w:eastAsia="宋体"/>
      <w:b/>
      <w:bCs/>
      <w:color w:val="FF6600"/>
      <w:kern w:val="2"/>
      <w:sz w:val="24"/>
      <w:szCs w:val="24"/>
      <w:lang w:val="en-US" w:eastAsia="zh-CN" w:bidi="ar-SA"/>
    </w:rPr>
  </w:style>
  <w:style w:type="character" w:customStyle="1" w:styleId="123">
    <w:name w:val="icon"/>
    <w:qFormat/>
    <w:uiPriority w:val="0"/>
  </w:style>
  <w:style w:type="character" w:customStyle="1" w:styleId="124">
    <w:name w:val="标题2 Char"/>
    <w:link w:val="125"/>
    <w:qFormat/>
    <w:locked/>
    <w:uiPriority w:val="99"/>
    <w:rPr>
      <w:rFonts w:ascii="Calibri" w:hAnsi="Calibri"/>
      <w:kern w:val="2"/>
      <w:sz w:val="21"/>
      <w:szCs w:val="22"/>
      <w:lang w:val="en-US" w:eastAsia="zh-CN" w:bidi="ar-SA"/>
    </w:rPr>
  </w:style>
  <w:style w:type="paragraph" w:customStyle="1" w:styleId="125">
    <w:name w:val="标题2"/>
    <w:link w:val="124"/>
    <w:qFormat/>
    <w:uiPriority w:val="99"/>
    <w:rPr>
      <w:rFonts w:ascii="Calibri" w:hAnsi="Calibri" w:eastAsia="宋体" w:cs="Times New Roman"/>
      <w:kern w:val="2"/>
      <w:sz w:val="21"/>
      <w:szCs w:val="22"/>
      <w:lang w:val="en-US" w:eastAsia="zh-CN" w:bidi="ar-SA"/>
    </w:rPr>
  </w:style>
  <w:style w:type="character" w:customStyle="1" w:styleId="126">
    <w:name w:val="投标文件 正文首行缩进 Char Char"/>
    <w:link w:val="127"/>
    <w:qFormat/>
    <w:uiPriority w:val="0"/>
    <w:rPr>
      <w:rFonts w:ascii="Arial" w:hAnsi="Arial"/>
      <w:kern w:val="2"/>
      <w:sz w:val="21"/>
      <w:szCs w:val="24"/>
    </w:rPr>
  </w:style>
  <w:style w:type="paragraph" w:customStyle="1" w:styleId="127">
    <w:name w:val="投标文件 正文首行缩进"/>
    <w:basedOn w:val="69"/>
    <w:link w:val="126"/>
    <w:qFormat/>
    <w:uiPriority w:val="0"/>
    <w:pPr>
      <w:spacing w:after="220" w:afterLines="0" w:line="360" w:lineRule="auto"/>
      <w:ind w:left="0" w:leftChars="0" w:firstLine="200"/>
    </w:pPr>
    <w:rPr>
      <w:rFonts w:ascii="Arial" w:hAnsi="Arial"/>
    </w:rPr>
  </w:style>
  <w:style w:type="character" w:customStyle="1" w:styleId="128">
    <w:name w:val="标题 4 Char Char"/>
    <w:qFormat/>
    <w:uiPriority w:val="0"/>
    <w:rPr>
      <w:rFonts w:ascii="Cambria" w:hAnsi="Cambria" w:eastAsia="宋体" w:cs="Times New Roman"/>
      <w:b/>
      <w:bCs/>
      <w:sz w:val="28"/>
      <w:szCs w:val="28"/>
    </w:rPr>
  </w:style>
  <w:style w:type="character" w:customStyle="1" w:styleId="129">
    <w:name w:val="纯文本字符1"/>
    <w:qFormat/>
    <w:uiPriority w:val="0"/>
    <w:rPr>
      <w:rFonts w:ascii="宋体" w:hAnsi="Courier New" w:eastAsia="宋体"/>
      <w:kern w:val="2"/>
      <w:sz w:val="21"/>
      <w:lang w:val="en-US" w:eastAsia="zh-CN" w:bidi="ar-SA"/>
    </w:rPr>
  </w:style>
  <w:style w:type="character" w:customStyle="1" w:styleId="130">
    <w:name w:val="f16b1"/>
    <w:qFormat/>
    <w:uiPriority w:val="0"/>
    <w:rPr>
      <w:rFonts w:eastAsia="宋体"/>
      <w:b/>
      <w:color w:val="333333"/>
      <w:kern w:val="2"/>
      <w:sz w:val="22"/>
      <w:szCs w:val="24"/>
      <w:lang w:val="en-US" w:eastAsia="zh-CN" w:bidi="ar-SA"/>
    </w:rPr>
  </w:style>
  <w:style w:type="character" w:customStyle="1" w:styleId="131">
    <w:name w:val="普通 (Web) Char1"/>
    <w:link w:val="132"/>
    <w:qFormat/>
    <w:uiPriority w:val="0"/>
    <w:rPr>
      <w:rFonts w:ascii="宋体" w:hAnsi="宋体" w:eastAsia="宋体"/>
      <w:sz w:val="24"/>
      <w:lang w:val="en-US" w:eastAsia="zh-CN" w:bidi="ar-SA"/>
    </w:rPr>
  </w:style>
  <w:style w:type="paragraph" w:customStyle="1" w:styleId="132">
    <w:name w:val="普通 (Web)"/>
    <w:basedOn w:val="1"/>
    <w:link w:val="131"/>
    <w:qFormat/>
    <w:uiPriority w:val="0"/>
    <w:pPr>
      <w:widowControl/>
      <w:spacing w:before="100" w:beforeLines="0" w:beforeAutospacing="1" w:after="100" w:afterLines="0" w:afterAutospacing="1"/>
      <w:jc w:val="left"/>
    </w:pPr>
    <w:rPr>
      <w:rFonts w:ascii="宋体" w:hAnsi="宋体"/>
      <w:kern w:val="0"/>
      <w:sz w:val="24"/>
      <w:szCs w:val="20"/>
    </w:rPr>
  </w:style>
  <w:style w:type="character" w:customStyle="1" w:styleId="133">
    <w:name w:val="pt9-hui-line201"/>
    <w:qFormat/>
    <w:uiPriority w:val="0"/>
    <w:rPr>
      <w:color w:val="333333"/>
      <w:sz w:val="24"/>
      <w:szCs w:val="24"/>
      <w:u w:val="none"/>
    </w:rPr>
  </w:style>
  <w:style w:type="character" w:customStyle="1" w:styleId="134">
    <w:name w:val="font01"/>
    <w:qFormat/>
    <w:uiPriority w:val="0"/>
    <w:rPr>
      <w:rFonts w:ascii="Arial" w:hAnsi="Arial" w:cs="Arial"/>
      <w:color w:val="000000"/>
      <w:sz w:val="20"/>
      <w:szCs w:val="20"/>
      <w:u w:val="none"/>
    </w:rPr>
  </w:style>
  <w:style w:type="character" w:customStyle="1" w:styleId="135">
    <w:name w:val="fontstrikethrough"/>
    <w:qFormat/>
    <w:uiPriority w:val="0"/>
    <w:rPr>
      <w:strike/>
    </w:rPr>
  </w:style>
  <w:style w:type="character" w:customStyle="1" w:styleId="136">
    <w:name w:val="gray s"/>
    <w:qFormat/>
    <w:uiPriority w:val="0"/>
  </w:style>
  <w:style w:type="character" w:customStyle="1" w:styleId="137">
    <w:name w:val="普通正文 Char"/>
    <w:link w:val="138"/>
    <w:qFormat/>
    <w:uiPriority w:val="0"/>
    <w:rPr>
      <w:rFonts w:ascii="宋体" w:hAnsi="宋体"/>
      <w:sz w:val="24"/>
      <w:lang w:bidi="ar-SA"/>
    </w:rPr>
  </w:style>
  <w:style w:type="paragraph" w:customStyle="1" w:styleId="138">
    <w:name w:val="普通正文"/>
    <w:basedOn w:val="1"/>
    <w:link w:val="137"/>
    <w:qFormat/>
    <w:uiPriority w:val="0"/>
    <w:pPr>
      <w:adjustRightInd w:val="0"/>
      <w:spacing w:before="156" w:after="120" w:line="360" w:lineRule="auto"/>
      <w:ind w:firstLine="425" w:firstLineChars="177"/>
      <w:textAlignment w:val="baseline"/>
    </w:pPr>
    <w:rPr>
      <w:rFonts w:ascii="宋体" w:hAnsi="宋体"/>
      <w:kern w:val="0"/>
      <w:sz w:val="24"/>
      <w:szCs w:val="20"/>
    </w:rPr>
  </w:style>
  <w:style w:type="character" w:customStyle="1" w:styleId="139">
    <w:name w:val="style1011"/>
    <w:qFormat/>
    <w:uiPriority w:val="0"/>
    <w:rPr>
      <w:rFonts w:eastAsia="宋体"/>
      <w:kern w:val="2"/>
      <w:sz w:val="24"/>
      <w:szCs w:val="24"/>
      <w:lang w:val="en-US" w:eastAsia="zh-CN" w:bidi="ar-SA"/>
    </w:rPr>
  </w:style>
  <w:style w:type="character" w:customStyle="1" w:styleId="140">
    <w:name w:val="纯文本 Char"/>
    <w:qFormat/>
    <w:uiPriority w:val="0"/>
    <w:rPr>
      <w:rFonts w:ascii="宋体" w:hAnsi="Courier New" w:eastAsia="宋体" w:cs="Courier New"/>
      <w:szCs w:val="21"/>
    </w:rPr>
  </w:style>
  <w:style w:type="character" w:customStyle="1" w:styleId="141">
    <w:name w:val="Table Text Char1"/>
    <w:link w:val="142"/>
    <w:qFormat/>
    <w:uiPriority w:val="0"/>
    <w:rPr>
      <w:rFonts w:ascii="Arial" w:hAnsi="Arial"/>
      <w:sz w:val="18"/>
      <w:lang w:val="en-US" w:eastAsia="zh-CN" w:bidi="ar-SA"/>
    </w:rPr>
  </w:style>
  <w:style w:type="paragraph" w:customStyle="1" w:styleId="142">
    <w:name w:val="Table Text"/>
    <w:link w:val="141"/>
    <w:qFormat/>
    <w:uiPriority w:val="0"/>
    <w:pPr>
      <w:snapToGrid w:val="0"/>
      <w:spacing w:before="80" w:after="80"/>
    </w:pPr>
    <w:rPr>
      <w:rFonts w:ascii="Arial" w:hAnsi="Arial" w:eastAsia="宋体" w:cs="Times New Roman"/>
      <w:sz w:val="18"/>
      <w:lang w:val="en-US" w:eastAsia="zh-CN" w:bidi="ar-SA"/>
    </w:rPr>
  </w:style>
  <w:style w:type="character" w:customStyle="1" w:styleId="143">
    <w:name w:val="fontborder"/>
    <w:qFormat/>
    <w:uiPriority w:val="0"/>
    <w:rPr>
      <w:bdr w:val="single" w:color="000000" w:sz="6" w:space="0"/>
    </w:rPr>
  </w:style>
  <w:style w:type="character" w:customStyle="1" w:styleId="144">
    <w:name w:val="ZW Char Char Char Char"/>
    <w:link w:val="145"/>
    <w:qFormat/>
    <w:uiPriority w:val="0"/>
    <w:rPr>
      <w:rFonts w:ascii="宋体" w:hAnsi="宋体"/>
      <w:kern w:val="2"/>
      <w:sz w:val="24"/>
      <w:szCs w:val="24"/>
    </w:rPr>
  </w:style>
  <w:style w:type="paragraph" w:customStyle="1" w:styleId="145">
    <w:name w:val="ZW Char"/>
    <w:basedOn w:val="1"/>
    <w:link w:val="144"/>
    <w:qFormat/>
    <w:uiPriority w:val="0"/>
    <w:pPr>
      <w:spacing w:line="360" w:lineRule="auto"/>
      <w:ind w:firstLine="200" w:firstLineChars="200"/>
    </w:pPr>
    <w:rPr>
      <w:rFonts w:ascii="宋体" w:hAnsi="宋体"/>
      <w:sz w:val="24"/>
    </w:rPr>
  </w:style>
  <w:style w:type="character" w:customStyle="1" w:styleId="146">
    <w:name w:val="p91"/>
    <w:qFormat/>
    <w:uiPriority w:val="0"/>
    <w:rPr>
      <w:sz w:val="18"/>
      <w:szCs w:val="18"/>
    </w:rPr>
  </w:style>
  <w:style w:type="character" w:customStyle="1" w:styleId="147">
    <w:name w:val="hover22"/>
    <w:qFormat/>
    <w:uiPriority w:val="0"/>
  </w:style>
  <w:style w:type="character" w:customStyle="1" w:styleId="148">
    <w:name w:val=" Char Char3"/>
    <w:qFormat/>
    <w:uiPriority w:val="0"/>
    <w:rPr>
      <w:rFonts w:ascii="宋体" w:hAnsi="Courier New" w:eastAsia="宋体"/>
      <w:kern w:val="2"/>
      <w:sz w:val="21"/>
      <w:lang w:val="en-US" w:eastAsia="zh-CN" w:bidi="ar-SA"/>
    </w:rPr>
  </w:style>
  <w:style w:type="character" w:customStyle="1" w:styleId="149">
    <w:name w:val="aaa Char"/>
    <w:link w:val="150"/>
    <w:qFormat/>
    <w:uiPriority w:val="0"/>
    <w:rPr>
      <w:rFonts w:ascii="宋体" w:hAnsi="宋体"/>
      <w:kern w:val="44"/>
      <w:sz w:val="24"/>
    </w:rPr>
  </w:style>
  <w:style w:type="paragraph" w:customStyle="1" w:styleId="150">
    <w:name w:val="aaa"/>
    <w:basedOn w:val="68"/>
    <w:link w:val="149"/>
    <w:qFormat/>
    <w:uiPriority w:val="0"/>
    <w:pPr>
      <w:spacing w:after="0" w:afterLines="0" w:line="240" w:lineRule="atLeast"/>
      <w:ind w:firstLine="0" w:firstLineChars="0"/>
    </w:pPr>
    <w:rPr>
      <w:rFonts w:ascii="宋体" w:hAnsi="宋体"/>
      <w:kern w:val="44"/>
      <w:sz w:val="24"/>
      <w:szCs w:val="20"/>
    </w:rPr>
  </w:style>
  <w:style w:type="character" w:customStyle="1" w:styleId="151">
    <w:name w:val="正文缩进 Char Char"/>
    <w:qFormat/>
    <w:uiPriority w:val="0"/>
    <w:rPr>
      <w:rFonts w:eastAsia="宋体"/>
      <w:kern w:val="2"/>
      <w:sz w:val="21"/>
      <w:lang w:val="en-US" w:eastAsia="zh-CN" w:bidi="ar-SA"/>
    </w:rPr>
  </w:style>
  <w:style w:type="character" w:customStyle="1" w:styleId="152">
    <w:name w:val="正文缩进 Char"/>
    <w:qFormat/>
    <w:uiPriority w:val="0"/>
    <w:rPr>
      <w:rFonts w:ascii="宋体" w:eastAsia="宋体"/>
      <w:sz w:val="34"/>
    </w:rPr>
  </w:style>
  <w:style w:type="character" w:customStyle="1" w:styleId="153">
    <w:name w:val=" Char Char17"/>
    <w:qFormat/>
    <w:uiPriority w:val="0"/>
    <w:rPr>
      <w:rFonts w:ascii="宋体" w:hAnsi="Courier New" w:eastAsia="宋体"/>
      <w:kern w:val="2"/>
      <w:sz w:val="21"/>
      <w:lang w:val="en-US" w:eastAsia="zh-CN"/>
    </w:rPr>
  </w:style>
  <w:style w:type="character" w:customStyle="1" w:styleId="154">
    <w:name w:val="container"/>
    <w:qFormat/>
    <w:uiPriority w:val="0"/>
  </w:style>
  <w:style w:type="character" w:customStyle="1" w:styleId="155">
    <w:name w:val="正文首行缩进 Char Char"/>
    <w:qFormat/>
    <w:uiPriority w:val="0"/>
    <w:rPr>
      <w:rFonts w:eastAsia="宋体"/>
      <w:sz w:val="24"/>
      <w:lang w:val="en-US" w:eastAsia="zh-CN" w:bidi="ar-SA"/>
    </w:rPr>
  </w:style>
  <w:style w:type="character" w:customStyle="1" w:styleId="156">
    <w:name w:val="m1"/>
    <w:qFormat/>
    <w:uiPriority w:val="0"/>
    <w:rPr>
      <w:rFonts w:eastAsia="宋体"/>
      <w:b/>
      <w:kern w:val="2"/>
      <w:sz w:val="21"/>
      <w:szCs w:val="24"/>
      <w:lang w:val="en-US" w:eastAsia="zh-CN" w:bidi="ar-SA"/>
    </w:rPr>
  </w:style>
  <w:style w:type="character" w:customStyle="1" w:styleId="157">
    <w:name w:val="hang"/>
    <w:qFormat/>
    <w:uiPriority w:val="0"/>
    <w:rPr>
      <w:rFonts w:eastAsia="宋体"/>
      <w:kern w:val="2"/>
      <w:sz w:val="24"/>
      <w:szCs w:val="24"/>
      <w:lang w:val="en-US" w:eastAsia="zh-CN" w:bidi="ar-SA"/>
    </w:rPr>
  </w:style>
  <w:style w:type="character" w:customStyle="1" w:styleId="158">
    <w:name w:val="para1"/>
    <w:qFormat/>
    <w:uiPriority w:val="0"/>
    <w:rPr>
      <w:rFonts w:ascii="Arial" w:hAnsi="Arial" w:eastAsia="宋体" w:cs="Arial"/>
      <w:kern w:val="2"/>
      <w:sz w:val="18"/>
      <w:szCs w:val="18"/>
      <w:lang w:val="en-US" w:eastAsia="zh-CN" w:bidi="ar-SA"/>
    </w:rPr>
  </w:style>
  <w:style w:type="character" w:customStyle="1" w:styleId="159">
    <w:name w:val="+正文 Char"/>
    <w:link w:val="160"/>
    <w:qFormat/>
    <w:uiPriority w:val="0"/>
    <w:rPr>
      <w:kern w:val="2"/>
      <w:sz w:val="24"/>
    </w:rPr>
  </w:style>
  <w:style w:type="paragraph" w:customStyle="1" w:styleId="160">
    <w:name w:val="+正文"/>
    <w:basedOn w:val="1"/>
    <w:link w:val="159"/>
    <w:qFormat/>
    <w:uiPriority w:val="0"/>
    <w:pPr>
      <w:spacing w:line="360" w:lineRule="auto"/>
      <w:ind w:firstLine="200" w:firstLineChars="200"/>
    </w:pPr>
    <w:rPr>
      <w:sz w:val="24"/>
      <w:szCs w:val="20"/>
    </w:rPr>
  </w:style>
  <w:style w:type="character" w:customStyle="1" w:styleId="161">
    <w:name w:val="active3"/>
    <w:qFormat/>
    <w:uiPriority w:val="0"/>
    <w:rPr>
      <w:shd w:val="clear" w:color="auto" w:fill="FFFFFF"/>
    </w:rPr>
  </w:style>
  <w:style w:type="character" w:customStyle="1" w:styleId="162">
    <w:name w:val="普通 (Web) Char Char"/>
    <w:qFormat/>
    <w:uiPriority w:val="0"/>
    <w:rPr>
      <w:rFonts w:ascii="宋体" w:hAnsi="宋体" w:eastAsia="宋体"/>
      <w:sz w:val="24"/>
      <w:szCs w:val="24"/>
      <w:lang w:val="en-US" w:eastAsia="zh-CN" w:bidi="ar-SA"/>
    </w:rPr>
  </w:style>
  <w:style w:type="character" w:customStyle="1" w:styleId="163">
    <w:name w:val="H1 Char"/>
    <w:qFormat/>
    <w:uiPriority w:val="0"/>
    <w:rPr>
      <w:rFonts w:ascii="Calibri" w:hAnsi="Calibri" w:eastAsia="仿宋_GB2312"/>
      <w:b/>
      <w:bCs/>
      <w:kern w:val="44"/>
      <w:sz w:val="44"/>
      <w:szCs w:val="44"/>
      <w:lang w:val="en-US" w:eastAsia="zh-CN" w:bidi="ar-SA"/>
    </w:rPr>
  </w:style>
  <w:style w:type="character" w:customStyle="1" w:styleId="164">
    <w:name w:val="普通文字1 Char"/>
    <w:qFormat/>
    <w:uiPriority w:val="0"/>
    <w:rPr>
      <w:rFonts w:ascii="宋体" w:hAnsi="Courier New" w:eastAsia="宋体"/>
      <w:kern w:val="2"/>
      <w:sz w:val="21"/>
      <w:lang w:val="en-US" w:eastAsia="zh-CN" w:bidi="ar-SA"/>
    </w:rPr>
  </w:style>
  <w:style w:type="character" w:customStyle="1" w:styleId="165">
    <w:name w:val="generalinfo-address-text1"/>
    <w:qFormat/>
    <w:uiPriority w:val="0"/>
    <w:rPr>
      <w:sz w:val="18"/>
      <w:szCs w:val="18"/>
    </w:rPr>
  </w:style>
  <w:style w:type="character" w:customStyle="1" w:styleId="166">
    <w:name w:val="price4"/>
    <w:qFormat/>
    <w:uiPriority w:val="0"/>
    <w:rPr>
      <w:rFonts w:hint="default" w:ascii="Arial" w:hAnsi="Arial" w:eastAsia="宋体" w:cs="Arial"/>
      <w:color w:val="CC0000"/>
      <w:kern w:val="2"/>
      <w:sz w:val="21"/>
      <w:szCs w:val="21"/>
      <w:lang w:val="en-US" w:eastAsia="zh-CN" w:bidi="ar-SA"/>
    </w:rPr>
  </w:style>
  <w:style w:type="character" w:customStyle="1" w:styleId="167">
    <w:name w:val="txt11"/>
    <w:qFormat/>
    <w:uiPriority w:val="0"/>
    <w:rPr>
      <w:rFonts w:hint="default" w:ascii="Arial" w:hAnsi="Arial"/>
      <w:color w:val="000000"/>
      <w:sz w:val="18"/>
    </w:rPr>
  </w:style>
  <w:style w:type="character" w:customStyle="1" w:styleId="168">
    <w:name w:val="active2"/>
    <w:qFormat/>
    <w:uiPriority w:val="0"/>
    <w:rPr>
      <w:shd w:val="clear" w:color="auto" w:fill="FFFFFF"/>
    </w:rPr>
  </w:style>
  <w:style w:type="character" w:customStyle="1" w:styleId="169">
    <w:name w:val="font21"/>
    <w:qFormat/>
    <w:uiPriority w:val="0"/>
    <w:rPr>
      <w:rFonts w:hint="eastAsia" w:ascii="宋体" w:hAnsi="宋体" w:eastAsia="宋体" w:cs="宋体"/>
      <w:color w:val="000000"/>
      <w:sz w:val="20"/>
      <w:szCs w:val="20"/>
      <w:u w:val="none"/>
    </w:rPr>
  </w:style>
  <w:style w:type="character" w:customStyle="1" w:styleId="170">
    <w:name w:val="表正文 Char"/>
    <w:qFormat/>
    <w:uiPriority w:val="0"/>
    <w:rPr>
      <w:rFonts w:eastAsia="宋体"/>
      <w:kern w:val="2"/>
      <w:sz w:val="21"/>
      <w:lang w:val="en-US" w:eastAsia="zh-CN" w:bidi="ar-SA"/>
    </w:rPr>
  </w:style>
  <w:style w:type="character" w:customStyle="1" w:styleId="171">
    <w:name w:val="hover23"/>
    <w:qFormat/>
    <w:uiPriority w:val="0"/>
    <w:rPr>
      <w:color w:val="315EFB"/>
    </w:rPr>
  </w:style>
  <w:style w:type="character" w:customStyle="1" w:styleId="172">
    <w:name w:val="投标正文 Char Char"/>
    <w:link w:val="173"/>
    <w:qFormat/>
    <w:uiPriority w:val="0"/>
    <w:rPr>
      <w:rFonts w:ascii="宋体" w:hAnsi="宋体" w:cs="宋体"/>
      <w:b/>
      <w:kern w:val="2"/>
      <w:sz w:val="21"/>
      <w:szCs w:val="21"/>
    </w:rPr>
  </w:style>
  <w:style w:type="paragraph" w:customStyle="1" w:styleId="173">
    <w:name w:val="投标正文"/>
    <w:basedOn w:val="1"/>
    <w:link w:val="172"/>
    <w:qFormat/>
    <w:uiPriority w:val="0"/>
    <w:pPr>
      <w:tabs>
        <w:tab w:val="left" w:pos="2360"/>
      </w:tabs>
      <w:spacing w:line="360" w:lineRule="auto"/>
      <w:jc w:val="left"/>
    </w:pPr>
    <w:rPr>
      <w:rFonts w:ascii="宋体" w:hAnsi="宋体"/>
      <w:b/>
      <w:szCs w:val="21"/>
    </w:rPr>
  </w:style>
  <w:style w:type="character" w:customStyle="1" w:styleId="174">
    <w:name w:val="curpage"/>
    <w:qFormat/>
    <w:uiPriority w:val="0"/>
    <w:rPr>
      <w:b/>
    </w:rPr>
  </w:style>
  <w:style w:type="character" w:customStyle="1" w:styleId="175">
    <w:name w:val="样式 正文加粗 Char"/>
    <w:link w:val="176"/>
    <w:qFormat/>
    <w:uiPriority w:val="0"/>
    <w:rPr>
      <w:rFonts w:ascii="宋体" w:hAnsi="宋体"/>
      <w:b/>
      <w:spacing w:val="6"/>
      <w:kern w:val="44"/>
      <w:sz w:val="28"/>
    </w:rPr>
  </w:style>
  <w:style w:type="paragraph" w:customStyle="1" w:styleId="176">
    <w:name w:val="样式 正文加粗"/>
    <w:basedOn w:val="1"/>
    <w:link w:val="175"/>
    <w:qFormat/>
    <w:uiPriority w:val="0"/>
    <w:pPr>
      <w:snapToGrid w:val="0"/>
      <w:spacing w:line="360" w:lineRule="auto"/>
      <w:ind w:left="40"/>
    </w:pPr>
    <w:rPr>
      <w:rFonts w:ascii="宋体" w:hAnsi="宋体"/>
      <w:b/>
      <w:spacing w:val="6"/>
      <w:kern w:val="44"/>
      <w:sz w:val="28"/>
      <w:szCs w:val="20"/>
    </w:rPr>
  </w:style>
  <w:style w:type="character" w:customStyle="1" w:styleId="177">
    <w:name w:val="文档正文 Char Char"/>
    <w:link w:val="178"/>
    <w:qFormat/>
    <w:uiPriority w:val="0"/>
    <w:rPr>
      <w:sz w:val="24"/>
    </w:rPr>
  </w:style>
  <w:style w:type="paragraph" w:customStyle="1" w:styleId="178">
    <w:name w:val="文档正文"/>
    <w:basedOn w:val="1"/>
    <w:link w:val="177"/>
    <w:qFormat/>
    <w:uiPriority w:val="0"/>
    <w:pPr>
      <w:adjustRightInd w:val="0"/>
      <w:spacing w:before="60" w:beforeLines="0" w:after="60" w:afterLines="0" w:line="360" w:lineRule="atLeast"/>
      <w:ind w:firstLine="482"/>
      <w:textAlignment w:val="baseline"/>
    </w:pPr>
    <w:rPr>
      <w:kern w:val="0"/>
      <w:sz w:val="24"/>
      <w:szCs w:val="20"/>
    </w:rPr>
  </w:style>
  <w:style w:type="character" w:customStyle="1" w:styleId="179">
    <w:name w:val="表格 Char Char"/>
    <w:link w:val="180"/>
    <w:qFormat/>
    <w:uiPriority w:val="0"/>
    <w:rPr>
      <w:kern w:val="2"/>
      <w:sz w:val="24"/>
      <w:lang w:val="en-US" w:eastAsia="zh-CN" w:bidi="ar-SA"/>
    </w:rPr>
  </w:style>
  <w:style w:type="paragraph" w:customStyle="1" w:styleId="180">
    <w:name w:val="表格"/>
    <w:next w:val="69"/>
    <w:link w:val="179"/>
    <w:qFormat/>
    <w:uiPriority w:val="0"/>
    <w:pPr>
      <w:widowControl w:val="0"/>
      <w:spacing w:line="480" w:lineRule="atLeast"/>
      <w:jc w:val="center"/>
    </w:pPr>
    <w:rPr>
      <w:rFonts w:ascii="Times New Roman" w:hAnsi="Times New Roman" w:eastAsia="宋体" w:cs="Times New Roman"/>
      <w:kern w:val="2"/>
      <w:sz w:val="24"/>
      <w:lang w:val="en-US" w:eastAsia="zh-CN" w:bidi="ar-SA"/>
    </w:rPr>
  </w:style>
  <w:style w:type="character" w:customStyle="1" w:styleId="181">
    <w:name w:val="word212"/>
    <w:qFormat/>
    <w:uiPriority w:val="0"/>
    <w:rPr>
      <w:sz w:val="24"/>
      <w:szCs w:val="24"/>
    </w:rPr>
  </w:style>
  <w:style w:type="character" w:customStyle="1" w:styleId="182">
    <w:name w:val="liy"/>
    <w:qFormat/>
    <w:uiPriority w:val="0"/>
    <w:rPr>
      <w:rFonts w:ascii="Arial" w:hAnsi="Arial" w:eastAsia="宋体" w:cs="Arial"/>
      <w:color w:val="000080"/>
      <w:sz w:val="18"/>
      <w:szCs w:val="20"/>
    </w:rPr>
  </w:style>
  <w:style w:type="character" w:customStyle="1" w:styleId="183">
    <w:name w:val="titleblack14px1"/>
    <w:qFormat/>
    <w:uiPriority w:val="0"/>
    <w:rPr>
      <w:rFonts w:eastAsia="宋体"/>
      <w:b/>
      <w:bCs/>
      <w:color w:val="000000"/>
      <w:kern w:val="2"/>
      <w:sz w:val="23"/>
      <w:szCs w:val="23"/>
      <w:lang w:val="en-US" w:eastAsia="zh-CN" w:bidi="ar-SA"/>
    </w:rPr>
  </w:style>
  <w:style w:type="character" w:customStyle="1" w:styleId="184">
    <w:name w:val="中等深浅网格 1 - 强调文字颜色 2 Char"/>
    <w:link w:val="185"/>
    <w:qFormat/>
    <w:uiPriority w:val="0"/>
    <w:rPr>
      <w:rFonts w:ascii="Calibri" w:hAnsi="Calibri"/>
      <w:kern w:val="1"/>
      <w:sz w:val="21"/>
      <w:szCs w:val="22"/>
      <w:lang w:eastAsia="ar-SA"/>
    </w:rPr>
  </w:style>
  <w:style w:type="paragraph" w:customStyle="1" w:styleId="185">
    <w:name w:val="中等深浅网格 1 - 强调文字颜色 21"/>
    <w:basedOn w:val="1"/>
    <w:link w:val="184"/>
    <w:qFormat/>
    <w:uiPriority w:val="0"/>
    <w:pPr>
      <w:suppressAutoHyphens/>
      <w:ind w:firstLine="420"/>
    </w:pPr>
    <w:rPr>
      <w:rFonts w:ascii="Calibri" w:hAnsi="Calibri"/>
      <w:kern w:val="1"/>
      <w:szCs w:val="22"/>
      <w:lang w:eastAsia="ar-SA"/>
    </w:rPr>
  </w:style>
  <w:style w:type="character" w:customStyle="1" w:styleId="186">
    <w:name w:val="font51"/>
    <w:qFormat/>
    <w:uiPriority w:val="0"/>
    <w:rPr>
      <w:rFonts w:hint="eastAsia" w:ascii="宋体" w:hAnsi="宋体" w:eastAsia="宋体" w:cs="宋体"/>
      <w:color w:val="000000"/>
      <w:sz w:val="20"/>
      <w:szCs w:val="20"/>
      <w:u w:val="none"/>
    </w:rPr>
  </w:style>
  <w:style w:type="character" w:customStyle="1" w:styleId="187">
    <w:name w:val="c-icon28"/>
    <w:qFormat/>
    <w:uiPriority w:val="0"/>
  </w:style>
  <w:style w:type="character" w:customStyle="1" w:styleId="188">
    <w:name w:val="H4 Char"/>
    <w:qFormat/>
    <w:uiPriority w:val="0"/>
    <w:rPr>
      <w:rFonts w:ascii="Arial" w:hAnsi="Arial" w:eastAsia="黑体"/>
      <w:b/>
      <w:sz w:val="28"/>
      <w:lang w:val="en-US" w:eastAsia="zh-CN"/>
    </w:rPr>
  </w:style>
  <w:style w:type="character" w:customStyle="1" w:styleId="189">
    <w:name w:val="A4"/>
    <w:qFormat/>
    <w:uiPriority w:val="0"/>
    <w:rPr>
      <w:rFonts w:hint="eastAsia" w:ascii="新宋体" w:hAnsi="新宋体" w:eastAsia="新宋体" w:cs="新宋体"/>
      <w:color w:val="000000"/>
    </w:rPr>
  </w:style>
  <w:style w:type="character" w:customStyle="1" w:styleId="190">
    <w:name w:val="dbluetext1"/>
    <w:qFormat/>
    <w:uiPriority w:val="0"/>
    <w:rPr>
      <w:rFonts w:hint="default" w:ascii="Arial" w:hAnsi="Arial" w:cs="Arial"/>
      <w:color w:val="003FB2"/>
      <w:sz w:val="21"/>
      <w:szCs w:val="21"/>
    </w:rPr>
  </w:style>
  <w:style w:type="character" w:customStyle="1" w:styleId="191">
    <w:name w:val="封面标题 Char Char"/>
    <w:link w:val="192"/>
    <w:qFormat/>
    <w:uiPriority w:val="0"/>
    <w:rPr>
      <w:rFonts w:ascii="微软雅黑" w:hAnsi="微软雅黑" w:eastAsia="微软雅黑"/>
      <w:b/>
      <w:sz w:val="84"/>
      <w:szCs w:val="84"/>
    </w:rPr>
  </w:style>
  <w:style w:type="paragraph" w:customStyle="1" w:styleId="192">
    <w:name w:val="封面标题"/>
    <w:basedOn w:val="1"/>
    <w:link w:val="191"/>
    <w:qFormat/>
    <w:uiPriority w:val="0"/>
    <w:pPr>
      <w:spacing w:line="480" w:lineRule="auto"/>
      <w:ind w:left="200" w:leftChars="200"/>
      <w:jc w:val="center"/>
    </w:pPr>
    <w:rPr>
      <w:rFonts w:ascii="微软雅黑" w:hAnsi="微软雅黑" w:eastAsia="微软雅黑"/>
      <w:b/>
      <w:kern w:val="0"/>
      <w:sz w:val="84"/>
      <w:szCs w:val="84"/>
    </w:rPr>
  </w:style>
  <w:style w:type="character" w:customStyle="1" w:styleId="193">
    <w:name w:val="样式 正文 Char"/>
    <w:link w:val="194"/>
    <w:qFormat/>
    <w:uiPriority w:val="0"/>
    <w:rPr>
      <w:rFonts w:ascii="宋体" w:hAnsi="宋体"/>
      <w:spacing w:val="6"/>
      <w:kern w:val="44"/>
      <w:sz w:val="24"/>
    </w:rPr>
  </w:style>
  <w:style w:type="paragraph" w:customStyle="1" w:styleId="194">
    <w:name w:val="样式 正文"/>
    <w:basedOn w:val="1"/>
    <w:link w:val="193"/>
    <w:qFormat/>
    <w:uiPriority w:val="0"/>
    <w:pPr>
      <w:tabs>
        <w:tab w:val="left" w:pos="0"/>
      </w:tabs>
      <w:spacing w:line="240" w:lineRule="atLeast"/>
      <w:ind w:rightChars="-189"/>
    </w:pPr>
    <w:rPr>
      <w:rFonts w:ascii="宋体" w:hAnsi="宋体"/>
      <w:spacing w:val="6"/>
      <w:kern w:val="44"/>
      <w:sz w:val="24"/>
      <w:szCs w:val="20"/>
    </w:rPr>
  </w:style>
  <w:style w:type="character" w:customStyle="1" w:styleId="195">
    <w:name w:val="fontp1"/>
    <w:qFormat/>
    <w:uiPriority w:val="0"/>
    <w:rPr>
      <w:rFonts w:hint="eastAsia" w:ascii="宋体" w:hAnsi="宋体" w:eastAsia="宋体"/>
      <w:sz w:val="18"/>
      <w:szCs w:val="18"/>
    </w:rPr>
  </w:style>
  <w:style w:type="character" w:customStyle="1" w:styleId="196">
    <w:name w:val=" Char Char14"/>
    <w:qFormat/>
    <w:uiPriority w:val="0"/>
    <w:rPr>
      <w:kern w:val="2"/>
      <w:sz w:val="21"/>
      <w:szCs w:val="24"/>
    </w:rPr>
  </w:style>
  <w:style w:type="character" w:customStyle="1" w:styleId="197">
    <w:name w:val="op-map-singlepoint-info-right1"/>
    <w:qFormat/>
    <w:uiPriority w:val="0"/>
  </w:style>
  <w:style w:type="character" w:customStyle="1" w:styleId="198">
    <w:name w:val="apple-style-span"/>
    <w:qFormat/>
    <w:uiPriority w:val="0"/>
  </w:style>
  <w:style w:type="character" w:customStyle="1" w:styleId="199">
    <w:name w:val="font81"/>
    <w:qFormat/>
    <w:uiPriority w:val="0"/>
    <w:rPr>
      <w:rFonts w:hint="eastAsia" w:ascii="仿宋" w:hAnsi="仿宋" w:eastAsia="仿宋" w:cs="仿宋"/>
      <w:color w:val="000000"/>
      <w:sz w:val="20"/>
      <w:szCs w:val="20"/>
      <w:u w:val="none"/>
    </w:rPr>
  </w:style>
  <w:style w:type="character" w:customStyle="1" w:styleId="200">
    <w:name w:val="font41"/>
    <w:qFormat/>
    <w:uiPriority w:val="0"/>
    <w:rPr>
      <w:rFonts w:hint="eastAsia" w:ascii="仿宋" w:hAnsi="仿宋" w:eastAsia="仿宋" w:cs="仿宋"/>
      <w:color w:val="000000"/>
      <w:sz w:val="22"/>
      <w:szCs w:val="22"/>
      <w:u w:val="none"/>
    </w:rPr>
  </w:style>
  <w:style w:type="character" w:customStyle="1" w:styleId="201">
    <w:name w:val="gray9pt1"/>
    <w:qFormat/>
    <w:uiPriority w:val="0"/>
    <w:rPr>
      <w:rFonts w:hint="default" w:ascii="Arial" w:hAnsi="Arial" w:eastAsia="宋体" w:cs="Arial"/>
      <w:color w:val="666666"/>
      <w:kern w:val="2"/>
      <w:sz w:val="18"/>
      <w:szCs w:val="18"/>
      <w:lang w:val="en-US" w:eastAsia="zh-CN" w:bidi="ar-SA"/>
    </w:rPr>
  </w:style>
  <w:style w:type="character" w:styleId="202">
    <w:name w:val="Placeholder Text"/>
    <w:qFormat/>
    <w:uiPriority w:val="0"/>
    <w:rPr>
      <w:color w:val="808080"/>
    </w:rPr>
  </w:style>
  <w:style w:type="character" w:customStyle="1" w:styleId="203">
    <w:name w:val="style103"/>
    <w:qFormat/>
    <w:uiPriority w:val="0"/>
    <w:rPr>
      <w:rFonts w:eastAsia="宋体"/>
      <w:kern w:val="2"/>
      <w:sz w:val="24"/>
      <w:szCs w:val="24"/>
      <w:lang w:val="en-US" w:eastAsia="zh-CN" w:bidi="ar-SA"/>
    </w:rPr>
  </w:style>
  <w:style w:type="character" w:customStyle="1" w:styleId="204">
    <w:name w:val="xx1"/>
    <w:qFormat/>
    <w:uiPriority w:val="0"/>
    <w:rPr>
      <w:rFonts w:eastAsia="宋体"/>
      <w:kern w:val="2"/>
      <w:sz w:val="24"/>
      <w:szCs w:val="24"/>
      <w:lang w:val="en-US" w:eastAsia="zh-CN" w:bidi="ar-SA"/>
    </w:rPr>
  </w:style>
  <w:style w:type="character" w:customStyle="1" w:styleId="205">
    <w:name w:val="正文缩进字符"/>
    <w:qFormat/>
    <w:uiPriority w:val="0"/>
    <w:rPr>
      <w:rFonts w:ascii="宋体" w:eastAsia="宋体"/>
      <w:sz w:val="34"/>
      <w:lang w:val="en-US" w:eastAsia="zh-CN" w:bidi="ar-SA"/>
    </w:rPr>
  </w:style>
  <w:style w:type="character" w:customStyle="1" w:styleId="206">
    <w:name w:val="text"/>
    <w:qFormat/>
    <w:uiPriority w:val="0"/>
  </w:style>
  <w:style w:type="character" w:customStyle="1" w:styleId="207">
    <w:name w:val="unnamed1"/>
    <w:qFormat/>
    <w:uiPriority w:val="0"/>
  </w:style>
  <w:style w:type="character" w:customStyle="1" w:styleId="208">
    <w:name w:val="hover16"/>
    <w:qFormat/>
    <w:uiPriority w:val="0"/>
    <w:rPr>
      <w:bdr w:val="single" w:color="999999" w:sz="6" w:space="0"/>
    </w:rPr>
  </w:style>
  <w:style w:type="character" w:customStyle="1" w:styleId="209">
    <w:name w:val="bodytext1"/>
    <w:qFormat/>
    <w:uiPriority w:val="0"/>
    <w:rPr>
      <w:rFonts w:hint="default" w:ascii="Verdana" w:hAnsi="Verdana"/>
      <w:sz w:val="20"/>
    </w:rPr>
  </w:style>
  <w:style w:type="character" w:customStyle="1" w:styleId="210">
    <w:name w:val="正文文本缩进 Char"/>
    <w:qFormat/>
    <w:uiPriority w:val="0"/>
    <w:rPr>
      <w:rFonts w:ascii="Times New Roman" w:hAnsi="Times New Roman" w:eastAsia="宋体" w:cs="Times New Roman"/>
      <w:szCs w:val="24"/>
    </w:rPr>
  </w:style>
  <w:style w:type="character" w:customStyle="1" w:styleId="211">
    <w:name w:val="text91"/>
    <w:qFormat/>
    <w:uiPriority w:val="0"/>
    <w:rPr>
      <w:sz w:val="18"/>
      <w:szCs w:val="18"/>
      <w:u w:val="none"/>
    </w:rPr>
  </w:style>
  <w:style w:type="character" w:customStyle="1" w:styleId="212">
    <w:name w:val="尾注文本 Char1"/>
    <w:qFormat/>
    <w:uiPriority w:val="0"/>
    <w:rPr>
      <w:kern w:val="2"/>
      <w:sz w:val="21"/>
      <w:szCs w:val="24"/>
    </w:rPr>
  </w:style>
  <w:style w:type="character" w:customStyle="1" w:styleId="213">
    <w:name w:val="加粗字体"/>
    <w:qFormat/>
    <w:uiPriority w:val="0"/>
    <w:rPr>
      <w:rFonts w:ascii="宋体" w:hAnsi="宋体"/>
      <w:b/>
      <w:bCs/>
      <w:sz w:val="24"/>
    </w:rPr>
  </w:style>
  <w:style w:type="character" w:customStyle="1" w:styleId="214">
    <w:name w:val="date2"/>
    <w:qFormat/>
    <w:uiPriority w:val="0"/>
    <w:rPr>
      <w:rFonts w:hint="default" w:ascii="Arial" w:hAnsi="Arial" w:eastAsia="宋体" w:cs="Arial"/>
      <w:kern w:val="2"/>
      <w:sz w:val="15"/>
      <w:szCs w:val="15"/>
      <w:lang w:val="en-US" w:eastAsia="zh-CN" w:bidi="ar-SA"/>
    </w:rPr>
  </w:style>
  <w:style w:type="paragraph" w:customStyle="1" w:styleId="215">
    <w:name w:val="2 Char Char Char Char"/>
    <w:basedOn w:val="1"/>
    <w:qFormat/>
    <w:uiPriority w:val="0"/>
    <w:pPr>
      <w:shd w:val="clear" w:color="auto" w:fill="000080"/>
    </w:pPr>
    <w:rPr>
      <w:sz w:val="24"/>
      <w:shd w:val="clear" w:color="auto" w:fill="000080"/>
    </w:rPr>
  </w:style>
  <w:style w:type="paragraph" w:customStyle="1" w:styleId="216">
    <w:name w:val="题注4"/>
    <w:basedOn w:val="1"/>
    <w:next w:val="19"/>
    <w:qFormat/>
    <w:uiPriority w:val="0"/>
    <w:pPr>
      <w:ind w:left="-132" w:leftChars="-64" w:right="-105" w:rightChars="-50" w:hanging="2"/>
      <w:jc w:val="center"/>
    </w:pPr>
    <w:rPr>
      <w:b/>
      <w:color w:val="FF0000"/>
      <w:szCs w:val="21"/>
      <w:lang w:val="en-GB"/>
    </w:rPr>
  </w:style>
  <w:style w:type="paragraph" w:customStyle="1" w:styleId="217">
    <w:name w:val="正文标号1"/>
    <w:basedOn w:val="1"/>
    <w:qFormat/>
    <w:uiPriority w:val="0"/>
    <w:pPr>
      <w:spacing w:line="360" w:lineRule="auto"/>
    </w:pPr>
    <w:rPr>
      <w:rFonts w:ascii="宋体"/>
      <w:sz w:val="24"/>
      <w:lang w:val="en-GB"/>
    </w:rPr>
  </w:style>
  <w:style w:type="paragraph" w:customStyle="1" w:styleId="218">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219">
    <w:name w:val="表格文字"/>
    <w:basedOn w:val="1"/>
    <w:qFormat/>
    <w:uiPriority w:val="0"/>
    <w:pPr>
      <w:spacing w:before="25" w:beforeLines="0" w:after="25" w:afterLines="0"/>
      <w:jc w:val="left"/>
    </w:pPr>
    <w:rPr>
      <w:bCs/>
      <w:spacing w:val="10"/>
      <w:kern w:val="0"/>
      <w:sz w:val="24"/>
      <w:szCs w:val="20"/>
    </w:rPr>
  </w:style>
  <w:style w:type="paragraph" w:customStyle="1" w:styleId="22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1">
    <w:name w:val="font11"/>
    <w:basedOn w:val="1"/>
    <w:qFormat/>
    <w:uiPriority w:val="0"/>
    <w:pPr>
      <w:widowControl/>
      <w:spacing w:before="100" w:beforeLines="0" w:beforeAutospacing="1" w:after="100" w:afterLines="0" w:afterAutospacing="1"/>
      <w:jc w:val="left"/>
    </w:pPr>
    <w:rPr>
      <w:b/>
      <w:bCs/>
      <w:color w:val="000080"/>
      <w:kern w:val="0"/>
      <w:sz w:val="24"/>
    </w:rPr>
  </w:style>
  <w:style w:type="paragraph" w:customStyle="1" w:styleId="222">
    <w:name w:val="10"/>
    <w:basedOn w:val="1"/>
    <w:next w:val="1"/>
    <w:qFormat/>
    <w:uiPriority w:val="0"/>
    <w:rPr>
      <w:sz w:val="28"/>
      <w:szCs w:val="20"/>
    </w:rPr>
  </w:style>
  <w:style w:type="paragraph" w:customStyle="1" w:styleId="223">
    <w:name w:val="批注框文本 Char Char"/>
    <w:basedOn w:val="1"/>
    <w:qFormat/>
    <w:uiPriority w:val="0"/>
    <w:rPr>
      <w:sz w:val="18"/>
      <w:szCs w:val="20"/>
    </w:rPr>
  </w:style>
  <w:style w:type="paragraph" w:customStyle="1" w:styleId="224">
    <w:name w:val="样式 样式 样式 标题-2 + 首行缩进:  2 字符 + 首行缩进:  2 字符"/>
    <w:basedOn w:val="1"/>
    <w:qFormat/>
    <w:uiPriority w:val="0"/>
    <w:pPr>
      <w:topLinePunct/>
      <w:adjustRightInd w:val="0"/>
      <w:snapToGrid w:val="0"/>
      <w:spacing w:before="187" w:beforeLines="60" w:after="124" w:afterLines="40"/>
      <w:ind w:firstLine="618" w:firstLineChars="200"/>
      <w:jc w:val="left"/>
      <w:outlineLvl w:val="1"/>
    </w:pPr>
    <w:rPr>
      <w:rFonts w:ascii="华文仿宋" w:hAnsi="华文仿宋" w:eastAsia="仿宋_GB2312" w:cs="宋体"/>
      <w:b/>
      <w:bCs/>
      <w:snapToGrid w:val="0"/>
      <w:spacing w:val="4"/>
      <w:sz w:val="28"/>
      <w:szCs w:val="20"/>
    </w:rPr>
  </w:style>
  <w:style w:type="paragraph" w:customStyle="1" w:styleId="225">
    <w:name w:val="_Style 222"/>
    <w:unhideWhenUsed/>
    <w:qFormat/>
    <w:uiPriority w:val="99"/>
    <w:rPr>
      <w:rFonts w:ascii="Times New Roman" w:hAnsi="Times New Roman" w:eastAsia="宋体" w:cs="Times New Roman"/>
      <w:kern w:val="2"/>
      <w:sz w:val="21"/>
      <w:szCs w:val="24"/>
      <w:lang w:val="en-US" w:eastAsia="zh-CN" w:bidi="ar-SA"/>
    </w:rPr>
  </w:style>
  <w:style w:type="paragraph" w:customStyle="1" w:styleId="226">
    <w:name w:val="style101"/>
    <w:basedOn w:val="1"/>
    <w:qFormat/>
    <w:uiPriority w:val="0"/>
    <w:pPr>
      <w:widowControl/>
      <w:spacing w:before="100" w:beforeLines="0" w:beforeAutospacing="1" w:after="100" w:afterLines="0" w:afterAutospacing="1"/>
      <w:ind w:left="200" w:leftChars="200"/>
      <w:jc w:val="left"/>
    </w:pPr>
    <w:rPr>
      <w:rFonts w:ascii="宋体" w:hAnsi="宋体" w:cs="宋体"/>
      <w:kern w:val="0"/>
      <w:sz w:val="24"/>
    </w:rPr>
  </w:style>
  <w:style w:type="paragraph" w:customStyle="1" w:styleId="227">
    <w:name w:val="正文缩进五号"/>
    <w:basedOn w:val="1"/>
    <w:qFormat/>
    <w:uiPriority w:val="0"/>
    <w:pPr>
      <w:adjustRightInd w:val="0"/>
      <w:snapToGrid w:val="0"/>
      <w:spacing w:before="120" w:beforeLines="0" w:after="156" w:afterLines="50" w:line="360" w:lineRule="auto"/>
      <w:ind w:left="200" w:leftChars="200" w:firstLine="420" w:firstLineChars="200"/>
    </w:pPr>
    <w:rPr>
      <w:rFonts w:cs="宋体"/>
      <w:szCs w:val="20"/>
    </w:rPr>
  </w:style>
  <w:style w:type="paragraph" w:customStyle="1" w:styleId="228">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229">
    <w:name w:val="text12"/>
    <w:basedOn w:val="1"/>
    <w:qFormat/>
    <w:uiPriority w:val="0"/>
    <w:pPr>
      <w:widowControl/>
      <w:spacing w:before="100" w:beforeLines="0" w:beforeAutospacing="1" w:after="100" w:afterLines="0" w:afterAutospacing="1"/>
      <w:ind w:firstLine="480"/>
      <w:jc w:val="left"/>
    </w:pPr>
    <w:rPr>
      <w:rFonts w:ascii="宋体" w:hAnsi="宋体"/>
      <w:kern w:val="0"/>
      <w:sz w:val="18"/>
      <w:szCs w:val="18"/>
    </w:rPr>
  </w:style>
  <w:style w:type="paragraph" w:customStyle="1" w:styleId="230">
    <w:name w:val="xl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31">
    <w:name w:val="样式6"/>
    <w:basedOn w:val="9"/>
    <w:qFormat/>
    <w:uiPriority w:val="0"/>
    <w:pPr>
      <w:keepNext/>
      <w:keepLines/>
      <w:widowControl w:val="0"/>
      <w:tabs>
        <w:tab w:val="left" w:pos="1152"/>
        <w:tab w:val="clear" w:pos="1800"/>
      </w:tabs>
      <w:spacing w:after="78" w:afterLines="25" w:line="317" w:lineRule="auto"/>
      <w:ind w:left="0" w:firstLine="0"/>
      <w:jc w:val="both"/>
    </w:pPr>
    <w:rPr>
      <w:rFonts w:ascii="宋体" w:hAnsi="宋体" w:eastAsia="黑体"/>
      <w:kern w:val="2"/>
      <w:sz w:val="21"/>
    </w:rPr>
  </w:style>
  <w:style w:type="paragraph" w:customStyle="1" w:styleId="232">
    <w:name w:val="style97"/>
    <w:basedOn w:val="1"/>
    <w:qFormat/>
    <w:uiPriority w:val="0"/>
    <w:pPr>
      <w:widowControl/>
      <w:spacing w:before="100" w:beforeLines="0" w:beforeAutospacing="1" w:after="100" w:afterLines="0" w:afterAutospacing="1"/>
      <w:ind w:left="200" w:leftChars="200"/>
      <w:jc w:val="left"/>
    </w:pPr>
    <w:rPr>
      <w:rFonts w:ascii="宋体" w:hAnsi="宋体" w:cs="宋体"/>
      <w:b/>
      <w:bCs/>
      <w:color w:val="000000"/>
      <w:kern w:val="0"/>
      <w:sz w:val="24"/>
    </w:rPr>
  </w:style>
  <w:style w:type="paragraph" w:customStyle="1" w:styleId="233">
    <w:name w:val="Normal1"/>
    <w:basedOn w:val="1"/>
    <w:qFormat/>
    <w:uiPriority w:val="0"/>
    <w:pPr>
      <w:widowControl/>
      <w:tabs>
        <w:tab w:val="left" w:pos="840"/>
      </w:tabs>
      <w:spacing w:line="360" w:lineRule="auto"/>
      <w:ind w:left="840" w:hanging="420"/>
    </w:pPr>
    <w:rPr>
      <w:rFonts w:ascii="宋体" w:hAnsi="宋体" w:eastAsia="仿宋体"/>
      <w:kern w:val="0"/>
      <w:szCs w:val="21"/>
    </w:rPr>
  </w:style>
  <w:style w:type="paragraph" w:customStyle="1" w:styleId="234">
    <w:name w:val="font9"/>
    <w:basedOn w:val="1"/>
    <w:qFormat/>
    <w:uiPriority w:val="0"/>
    <w:pPr>
      <w:widowControl/>
      <w:spacing w:before="100" w:beforeLines="0" w:beforeAutospacing="1" w:after="100" w:afterLines="0" w:afterAutospacing="1"/>
      <w:jc w:val="left"/>
    </w:pPr>
    <w:rPr>
      <w:b/>
      <w:bCs/>
      <w:color w:val="000000"/>
      <w:kern w:val="0"/>
      <w:szCs w:val="21"/>
    </w:rPr>
  </w:style>
  <w:style w:type="paragraph" w:customStyle="1" w:styleId="235">
    <w:name w:val="Bullet 1"/>
    <w:basedOn w:val="1"/>
    <w:qFormat/>
    <w:uiPriority w:val="0"/>
    <w:pPr>
      <w:widowControl/>
      <w:tabs>
        <w:tab w:val="left" w:pos="567"/>
        <w:tab w:val="left" w:pos="1134"/>
      </w:tabs>
      <w:spacing w:after="240" w:afterLines="0"/>
      <w:ind w:left="1134" w:hanging="567"/>
      <w:jc w:val="left"/>
    </w:pPr>
    <w:rPr>
      <w:rFonts w:ascii="Arial" w:hAnsi="Arial"/>
      <w:kern w:val="0"/>
      <w:sz w:val="20"/>
      <w:lang w:val="en-GB" w:eastAsia="en-US"/>
    </w:rPr>
  </w:style>
  <w:style w:type="paragraph" w:customStyle="1" w:styleId="236">
    <w:name w:val="No Spacing"/>
    <w:qFormat/>
    <w:uiPriority w:val="0"/>
    <w:pPr>
      <w:widowControl w:val="0"/>
    </w:pPr>
    <w:rPr>
      <w:rFonts w:ascii="Times New Roman" w:hAnsi="Times New Roman" w:eastAsia="PMingLiU" w:cs="Times New Roman"/>
      <w:kern w:val="2"/>
      <w:sz w:val="24"/>
      <w:szCs w:val="24"/>
      <w:lang w:val="en-US" w:eastAsia="zh-TW" w:bidi="ar-SA"/>
    </w:rPr>
  </w:style>
  <w:style w:type="paragraph" w:customStyle="1" w:styleId="237">
    <w:name w:val="样式 宋体 四号 首行缩进:  2 字符"/>
    <w:basedOn w:val="1"/>
    <w:qFormat/>
    <w:uiPriority w:val="0"/>
    <w:pPr>
      <w:widowControl/>
      <w:jc w:val="both"/>
    </w:pPr>
    <w:rPr>
      <w:rFonts w:cs="宋体"/>
      <w:color w:val="000000"/>
      <w:kern w:val="0"/>
      <w:szCs w:val="20"/>
    </w:rPr>
  </w:style>
  <w:style w:type="paragraph" w:customStyle="1" w:styleId="238">
    <w:name w:val="p15"/>
    <w:basedOn w:val="1"/>
    <w:qFormat/>
    <w:uiPriority w:val="0"/>
    <w:pPr>
      <w:widowControl/>
      <w:spacing w:line="480" w:lineRule="atLeast"/>
      <w:jc w:val="left"/>
    </w:pPr>
    <w:rPr>
      <w:rFonts w:ascii="宋体" w:hAnsi="宋体" w:cs="宋体"/>
      <w:kern w:val="0"/>
      <w:szCs w:val="21"/>
    </w:rPr>
  </w:style>
  <w:style w:type="paragraph" w:customStyle="1" w:styleId="239">
    <w:name w:val="正文-宋体五号"/>
    <w:basedOn w:val="1"/>
    <w:qFormat/>
    <w:uiPriority w:val="0"/>
    <w:pPr>
      <w:widowControl/>
      <w:spacing w:after="160" w:afterLines="0" w:line="240" w:lineRule="exact"/>
      <w:ind w:left="200" w:leftChars="200" w:firstLine="200" w:firstLineChars="200"/>
      <w:jc w:val="left"/>
    </w:pPr>
    <w:rPr>
      <w:rFonts w:ascii="Verdana" w:hAnsi="Verdana"/>
      <w:kern w:val="0"/>
      <w:sz w:val="20"/>
      <w:lang w:eastAsia="en-US"/>
    </w:rPr>
  </w:style>
  <w:style w:type="paragraph" w:customStyle="1" w:styleId="240">
    <w:name w:val="Char Char1 Char Char Char Char Char Char Char"/>
    <w:basedOn w:val="1"/>
    <w:qFormat/>
    <w:uiPriority w:val="0"/>
    <w:pPr>
      <w:widowControl/>
      <w:spacing w:after="160" w:afterLines="0" w:line="240" w:lineRule="exact"/>
      <w:jc w:val="left"/>
    </w:pPr>
    <w:rPr>
      <w:sz w:val="24"/>
    </w:rPr>
  </w:style>
  <w:style w:type="paragraph" w:customStyle="1" w:styleId="241">
    <w:name w:val="标题4"/>
    <w:basedOn w:val="8"/>
    <w:qFormat/>
    <w:uiPriority w:val="0"/>
    <w:pPr>
      <w:widowControl w:val="0"/>
      <w:adjustRightInd w:val="0"/>
      <w:jc w:val="both"/>
      <w:textAlignment w:val="baseline"/>
    </w:pPr>
    <w:rPr>
      <w:bCs/>
      <w:sz w:val="24"/>
      <w:szCs w:val="28"/>
      <w:lang w:val="en-US" w:eastAsia="zh-CN"/>
    </w:rPr>
  </w:style>
  <w:style w:type="paragraph" w:customStyle="1" w:styleId="242">
    <w:name w:val="■小四 Char"/>
    <w:basedOn w:val="1"/>
    <w:next w:val="1"/>
    <w:qFormat/>
    <w:uiPriority w:val="0"/>
    <w:pPr>
      <w:tabs>
        <w:tab w:val="left" w:pos="840"/>
      </w:tabs>
      <w:adjustRightInd w:val="0"/>
      <w:snapToGrid w:val="0"/>
      <w:spacing w:line="320" w:lineRule="exact"/>
      <w:ind w:left="432" w:leftChars="200" w:hanging="432"/>
    </w:pPr>
    <w:rPr>
      <w:rFonts w:ascii="Arial" w:hAnsi="Arial"/>
      <w:szCs w:val="21"/>
    </w:rPr>
  </w:style>
  <w:style w:type="paragraph" w:customStyle="1" w:styleId="243">
    <w:name w:val="标题 5 + 段后: 0.5 行"/>
    <w:basedOn w:val="1"/>
    <w:qFormat/>
    <w:uiPriority w:val="0"/>
    <w:pPr>
      <w:widowControl/>
      <w:tabs>
        <w:tab w:val="left" w:pos="1701"/>
      </w:tabs>
      <w:autoSpaceDE w:val="0"/>
      <w:autoSpaceDN w:val="0"/>
      <w:spacing w:after="156" w:afterLines="50"/>
      <w:ind w:left="630" w:leftChars="200" w:hanging="630"/>
      <w:jc w:val="left"/>
      <w:outlineLvl w:val="4"/>
    </w:pPr>
    <w:rPr>
      <w:rFonts w:ascii="Arial" w:hAnsi="Arial" w:cs="宋体"/>
      <w:kern w:val="0"/>
      <w:sz w:val="20"/>
      <w:szCs w:val="20"/>
      <w:u w:val="single"/>
    </w:rPr>
  </w:style>
  <w:style w:type="paragraph" w:customStyle="1" w:styleId="244">
    <w:name w:val="写作指导"/>
    <w:basedOn w:val="1"/>
    <w:qFormat/>
    <w:uiPriority w:val="0"/>
    <w:pPr>
      <w:autoSpaceDE w:val="0"/>
      <w:autoSpaceDN w:val="0"/>
      <w:adjustRightInd w:val="0"/>
      <w:spacing w:before="105" w:beforeLines="0" w:line="400" w:lineRule="atLeast"/>
      <w:ind w:right="96" w:firstLine="451"/>
    </w:pPr>
    <w:rPr>
      <w:rFonts w:ascii="宋体"/>
      <w:color w:val="FF00FF"/>
      <w:kern w:val="0"/>
      <w:szCs w:val="20"/>
    </w:rPr>
  </w:style>
  <w:style w:type="paragraph" w:customStyle="1" w:styleId="245">
    <w:name w:val="tabletextchar"/>
    <w:basedOn w:val="1"/>
    <w:qFormat/>
    <w:uiPriority w:val="0"/>
    <w:pPr>
      <w:widowControl/>
      <w:spacing w:before="100" w:beforeLines="0" w:beforeAutospacing="1" w:after="100" w:afterLines="0" w:afterAutospacing="1" w:line="268" w:lineRule="atLeast"/>
      <w:jc w:val="left"/>
    </w:pPr>
    <w:rPr>
      <w:rFonts w:ascii="Arial Unicode MS" w:hAnsi="Arial Unicode MS"/>
      <w:kern w:val="0"/>
      <w:sz w:val="20"/>
      <w:szCs w:val="20"/>
    </w:rPr>
  </w:style>
  <w:style w:type="paragraph" w:customStyle="1" w:styleId="24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hint="eastAsia" w:ascii="宋体" w:hAnsi="宋体"/>
      <w:kern w:val="0"/>
      <w:sz w:val="24"/>
    </w:rPr>
  </w:style>
  <w:style w:type="paragraph" w:customStyle="1" w:styleId="247">
    <w:name w:val="Normal (Web)"/>
    <w:basedOn w:val="1"/>
    <w:qFormat/>
    <w:uiPriority w:val="0"/>
    <w:pPr>
      <w:widowControl/>
      <w:spacing w:before="100" w:beforeLines="0" w:beforeAutospacing="1" w:after="100" w:afterLines="0" w:afterAutospacing="1"/>
      <w:jc w:val="left"/>
    </w:pPr>
    <w:rPr>
      <w:rFonts w:ascii="Trebuchet MS" w:hAnsi="Trebuchet MS"/>
      <w:color w:val="000000"/>
      <w:kern w:val="0"/>
      <w:sz w:val="24"/>
      <w:lang w:eastAsia="en-US"/>
    </w:rPr>
  </w:style>
  <w:style w:type="paragraph" w:customStyle="1" w:styleId="24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8"/>
      <w:szCs w:val="20"/>
    </w:rPr>
  </w:style>
  <w:style w:type="paragraph" w:customStyle="1" w:styleId="249">
    <w:name w:val="1 Char"/>
    <w:basedOn w:val="1"/>
    <w:qFormat/>
    <w:uiPriority w:val="0"/>
    <w:rPr>
      <w:rFonts w:ascii="Tahoma" w:hAnsi="Tahoma"/>
      <w:sz w:val="24"/>
      <w:szCs w:val="20"/>
    </w:rPr>
  </w:style>
  <w:style w:type="paragraph" w:customStyle="1" w:styleId="250">
    <w:name w:val="xl54"/>
    <w:basedOn w:val="1"/>
    <w:qFormat/>
    <w:uiPriority w:val="0"/>
    <w:pPr>
      <w:widowControl/>
      <w:pBdr>
        <w:top w:val="single" w:color="auto" w:sz="4" w:space="0"/>
        <w:bottom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251">
    <w:name w:val="03"/>
    <w:basedOn w:val="1"/>
    <w:qFormat/>
    <w:uiPriority w:val="0"/>
    <w:pPr>
      <w:spacing w:line="500" w:lineRule="exact"/>
      <w:ind w:firstLine="567"/>
    </w:pPr>
    <w:rPr>
      <w:spacing w:val="20"/>
      <w:sz w:val="28"/>
      <w:szCs w:val="20"/>
    </w:rPr>
  </w:style>
  <w:style w:type="paragraph" w:customStyle="1" w:styleId="252">
    <w:name w:val="CM98"/>
    <w:basedOn w:val="1"/>
    <w:next w:val="1"/>
    <w:qFormat/>
    <w:uiPriority w:val="0"/>
    <w:pPr>
      <w:autoSpaceDE w:val="0"/>
      <w:autoSpaceDN w:val="0"/>
      <w:adjustRightInd w:val="0"/>
      <w:spacing w:after="460" w:afterLines="0"/>
      <w:jc w:val="left"/>
    </w:pPr>
    <w:rPr>
      <w:rFonts w:ascii="..ì." w:eastAsia="..ì." w:cs="..ì."/>
      <w:kern w:val="0"/>
      <w:sz w:val="24"/>
    </w:rPr>
  </w:style>
  <w:style w:type="paragraph" w:customStyle="1" w:styleId="253">
    <w:name w:val="3级正文 样式 首行缩进:  2 字符"/>
    <w:basedOn w:val="1"/>
    <w:qFormat/>
    <w:uiPriority w:val="0"/>
    <w:pPr>
      <w:spacing w:line="360" w:lineRule="auto"/>
      <w:ind w:firstLine="480" w:firstLineChars="200"/>
    </w:pPr>
    <w:rPr>
      <w:sz w:val="24"/>
      <w:szCs w:val="20"/>
    </w:rPr>
  </w:style>
  <w:style w:type="paragraph" w:customStyle="1" w:styleId="254">
    <w:name w:val="style18"/>
    <w:basedOn w:val="1"/>
    <w:qFormat/>
    <w:uiPriority w:val="0"/>
    <w:pPr>
      <w:widowControl/>
      <w:spacing w:before="100" w:beforeLines="0" w:beforeAutospacing="1" w:after="100" w:afterLines="0" w:afterAutospacing="1"/>
      <w:jc w:val="left"/>
    </w:pPr>
    <w:rPr>
      <w:rFonts w:ascii="??" w:hAnsi="??"/>
      <w:color w:val="999999"/>
      <w:kern w:val="0"/>
      <w:szCs w:val="21"/>
    </w:rPr>
  </w:style>
  <w:style w:type="paragraph" w:customStyle="1" w:styleId="2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rPr>
  </w:style>
  <w:style w:type="paragraph" w:customStyle="1" w:styleId="256">
    <w:name w:val="+●编号"/>
    <w:basedOn w:val="1"/>
    <w:qFormat/>
    <w:uiPriority w:val="0"/>
    <w:pPr>
      <w:tabs>
        <w:tab w:val="left" w:pos="2040"/>
      </w:tabs>
      <w:spacing w:line="360" w:lineRule="auto"/>
      <w:ind w:left="2040" w:leftChars="800" w:hanging="360" w:hangingChars="200"/>
    </w:pPr>
    <w:rPr>
      <w:sz w:val="28"/>
      <w:szCs w:val="20"/>
    </w:rPr>
  </w:style>
  <w:style w:type="paragraph" w:customStyle="1" w:styleId="257">
    <w:name w:val="Char Char Char"/>
    <w:basedOn w:val="1"/>
    <w:qFormat/>
    <w:uiPriority w:val="0"/>
    <w:pPr>
      <w:widowControl/>
      <w:spacing w:after="160" w:afterLines="0" w:line="240" w:lineRule="exact"/>
      <w:jc w:val="left"/>
    </w:pPr>
    <w:rPr>
      <w:szCs w:val="20"/>
    </w:rPr>
  </w:style>
  <w:style w:type="paragraph" w:customStyle="1" w:styleId="258">
    <w:name w:val="xl31"/>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eastAsia="Arial Unicode MS"/>
      <w:kern w:val="0"/>
      <w:sz w:val="24"/>
    </w:rPr>
  </w:style>
  <w:style w:type="paragraph" w:customStyle="1" w:styleId="259">
    <w:name w:val="xl53"/>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260">
    <w:name w:val="5"/>
    <w:qFormat/>
    <w:uiPriority w:val="0"/>
    <w:pPr>
      <w:widowControl w:val="0"/>
      <w:tabs>
        <w:tab w:val="left" w:pos="1984"/>
      </w:tabs>
      <w:autoSpaceDE w:val="0"/>
      <w:autoSpaceDN w:val="0"/>
      <w:adjustRightInd w:val="0"/>
      <w:spacing w:line="290" w:lineRule="atLeast"/>
    </w:pPr>
    <w:rPr>
      <w:rFonts w:ascii="宋体+Times" w:hAnsi="Times New Roman" w:eastAsia="宋体+Times" w:cs="Times New Roman"/>
      <w:lang w:val="en-US" w:eastAsia="zh-CN" w:bidi="ar-SA"/>
    </w:rPr>
  </w:style>
  <w:style w:type="paragraph" w:customStyle="1" w:styleId="261">
    <w:name w:val="font0"/>
    <w:basedOn w:val="1"/>
    <w:qFormat/>
    <w:uiPriority w:val="0"/>
    <w:pPr>
      <w:widowControl/>
      <w:spacing w:before="100" w:beforeLines="0" w:beforeAutospacing="1" w:after="100" w:afterLines="0" w:afterAutospacing="1"/>
      <w:jc w:val="left"/>
    </w:pPr>
    <w:rPr>
      <w:rFonts w:hint="eastAsia" w:ascii="宋体" w:hAnsi="宋体" w:cs="Arial Unicode MS"/>
      <w:kern w:val="0"/>
      <w:sz w:val="24"/>
    </w:rPr>
  </w:style>
  <w:style w:type="paragraph" w:customStyle="1" w:styleId="262">
    <w:name w:val="xl34"/>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263">
    <w:name w:val="Table Description"/>
    <w:basedOn w:val="1"/>
    <w:qFormat/>
    <w:uiPriority w:val="0"/>
    <w:pPr>
      <w:ind w:left="1701"/>
    </w:pPr>
    <w:rPr>
      <w:szCs w:val="20"/>
    </w:rPr>
  </w:style>
  <w:style w:type="paragraph" w:customStyle="1" w:styleId="264">
    <w:name w:val="样式 样式 样式 标题 3h3Level 3 HeadH3Heading 3 - oldlevel_3PIM 33rd lev...."/>
    <w:basedOn w:val="1"/>
    <w:qFormat/>
    <w:uiPriority w:val="0"/>
    <w:pPr>
      <w:keepNext/>
      <w:keepLines/>
      <w:widowControl/>
      <w:tabs>
        <w:tab w:val="left" w:pos="851"/>
      </w:tabs>
      <w:autoSpaceDE w:val="0"/>
      <w:autoSpaceDN w:val="0"/>
      <w:spacing w:before="260" w:beforeLines="0" w:after="260" w:afterLines="0" w:line="413" w:lineRule="auto"/>
      <w:ind w:left="200" w:leftChars="200" w:firstLine="100" w:firstLineChars="100"/>
      <w:jc w:val="left"/>
      <w:outlineLvl w:val="2"/>
    </w:pPr>
    <w:rPr>
      <w:rFonts w:ascii="黑体" w:hAnsi="黑体" w:eastAsia="黑体" w:cs="宋体"/>
      <w:b/>
      <w:bCs/>
      <w:sz w:val="28"/>
      <w:szCs w:val="20"/>
    </w:rPr>
  </w:style>
  <w:style w:type="paragraph" w:customStyle="1" w:styleId="265">
    <w:name w:val="listBullet"/>
    <w:basedOn w:val="1"/>
    <w:next w:val="1"/>
    <w:qFormat/>
    <w:uiPriority w:val="0"/>
    <w:pPr>
      <w:tabs>
        <w:tab w:val="left" w:pos="900"/>
      </w:tabs>
      <w:spacing w:before="240" w:after="120" w:line="288" w:lineRule="auto"/>
      <w:ind w:left="900" w:leftChars="200" w:hanging="360"/>
      <w:jc w:val="left"/>
    </w:pPr>
    <w:rPr>
      <w:rFonts w:cs="Angsana New"/>
      <w:lang w:bidi="th-TH"/>
    </w:rPr>
  </w:style>
  <w:style w:type="paragraph" w:customStyle="1" w:styleId="266">
    <w:name w:val="标题 4 宋体"/>
    <w:basedOn w:val="267"/>
    <w:qFormat/>
    <w:uiPriority w:val="0"/>
    <w:pPr/>
    <w:rPr>
      <w:rFonts w:ascii="宋体" w:hAnsi="宋体" w:eastAsia="宋体"/>
      <w:b/>
      <w:kern w:val="2"/>
      <w:sz w:val="22"/>
    </w:rPr>
  </w:style>
  <w:style w:type="paragraph" w:customStyle="1" w:styleId="267">
    <w:name w:val="标题 4 +"/>
    <w:basedOn w:val="11"/>
    <w:qFormat/>
    <w:uiPriority w:val="0"/>
    <w:pPr>
      <w:widowControl w:val="0"/>
      <w:tabs>
        <w:tab w:val="clear" w:pos="1440"/>
      </w:tabs>
      <w:ind w:left="0" w:firstLine="0"/>
      <w:jc w:val="both"/>
    </w:pPr>
  </w:style>
  <w:style w:type="paragraph" w:customStyle="1" w:styleId="268">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26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b/>
      <w:bCs/>
      <w:kern w:val="0"/>
      <w:sz w:val="24"/>
    </w:rPr>
  </w:style>
  <w:style w:type="paragraph" w:customStyle="1" w:styleId="270">
    <w:name w:val="WW-正文缩进"/>
    <w:basedOn w:val="1"/>
    <w:qFormat/>
    <w:uiPriority w:val="0"/>
    <w:pPr>
      <w:suppressAutoHyphens/>
      <w:autoSpaceDE w:val="0"/>
      <w:ind w:firstLine="420"/>
      <w:jc w:val="left"/>
      <w:textAlignment w:val="baseline"/>
    </w:pPr>
    <w:rPr>
      <w:rFonts w:ascii="宋体" w:hAnsi="宋体"/>
      <w:kern w:val="1"/>
      <w:sz w:val="34"/>
      <w:szCs w:val="20"/>
      <w:lang w:eastAsia="ar-SA"/>
    </w:rPr>
  </w:style>
  <w:style w:type="paragraph" w:customStyle="1" w:styleId="271">
    <w:name w:val="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272">
    <w:name w:val="tabletextcharcharcharchar"/>
    <w:basedOn w:val="1"/>
    <w:qFormat/>
    <w:uiPriority w:val="0"/>
    <w:pPr>
      <w:widowControl/>
      <w:spacing w:before="100" w:beforeLines="0" w:beforeAutospacing="1" w:after="100" w:afterLines="0" w:afterAutospacing="1" w:line="240" w:lineRule="atLeast"/>
      <w:jc w:val="left"/>
    </w:pPr>
    <w:rPr>
      <w:rFonts w:ascii="宋体" w:hAnsi="宋体"/>
      <w:kern w:val="0"/>
      <w:sz w:val="18"/>
      <w:szCs w:val="18"/>
    </w:rPr>
  </w:style>
  <w:style w:type="paragraph" w:customStyle="1" w:styleId="273">
    <w:name w:val="题注5"/>
    <w:basedOn w:val="1"/>
    <w:next w:val="19"/>
    <w:qFormat/>
    <w:uiPriority w:val="0"/>
    <w:pPr>
      <w:jc w:val="center"/>
    </w:pPr>
    <w:rPr>
      <w:b/>
      <w:color w:val="000000"/>
      <w:sz w:val="24"/>
      <w:szCs w:val="21"/>
    </w:rPr>
  </w:style>
  <w:style w:type="paragraph" w:customStyle="1" w:styleId="274">
    <w:name w:val="仿宋正文"/>
    <w:basedOn w:val="1"/>
    <w:qFormat/>
    <w:uiPriority w:val="0"/>
    <w:pPr>
      <w:spacing w:line="300" w:lineRule="auto"/>
      <w:ind w:left="200" w:leftChars="200" w:firstLine="480"/>
    </w:pPr>
    <w:rPr>
      <w:rFonts w:ascii="仿宋_GB2312" w:eastAsia="仿宋_GB2312"/>
      <w:sz w:val="24"/>
      <w:szCs w:val="20"/>
    </w:rPr>
  </w:style>
  <w:style w:type="paragraph" w:customStyle="1" w:styleId="275">
    <w:name w:val="缺省文本"/>
    <w:basedOn w:val="1"/>
    <w:qFormat/>
    <w:uiPriority w:val="0"/>
    <w:pPr>
      <w:autoSpaceDE w:val="0"/>
      <w:autoSpaceDN w:val="0"/>
      <w:adjustRightInd w:val="0"/>
      <w:jc w:val="left"/>
    </w:pPr>
    <w:rPr>
      <w:kern w:val="0"/>
      <w:sz w:val="24"/>
      <w:szCs w:val="20"/>
    </w:rPr>
  </w:style>
  <w:style w:type="paragraph" w:customStyle="1" w:styleId="276">
    <w:name w:val="Paragraph3"/>
    <w:basedOn w:val="1"/>
    <w:qFormat/>
    <w:uiPriority w:val="0"/>
    <w:pPr>
      <w:tabs>
        <w:tab w:val="left" w:pos="360"/>
      </w:tabs>
      <w:overflowPunct w:val="0"/>
      <w:autoSpaceDE w:val="0"/>
      <w:autoSpaceDN w:val="0"/>
      <w:adjustRightInd w:val="0"/>
      <w:spacing w:before="20" w:beforeLines="0"/>
      <w:ind w:left="216" w:hanging="216"/>
    </w:pPr>
    <w:rPr>
      <w:rFonts w:ascii="Arial" w:hAnsi="Arial"/>
      <w:kern w:val="0"/>
      <w:sz w:val="24"/>
      <w:szCs w:val="20"/>
    </w:rPr>
  </w:style>
  <w:style w:type="paragraph" w:customStyle="1" w:styleId="277">
    <w:name w:val="图注"/>
    <w:basedOn w:val="19"/>
    <w:next w:val="68"/>
    <w:qFormat/>
    <w:uiPriority w:val="0"/>
    <w:pPr>
      <w:spacing w:line="360" w:lineRule="auto"/>
      <w:ind w:left="-107" w:leftChars="-51" w:right="-107" w:rightChars="-51"/>
      <w:jc w:val="center"/>
    </w:pPr>
    <w:rPr>
      <w:rFonts w:ascii="宋体" w:hAnsi="宋体" w:eastAsia="宋体" w:cs="Times New Roman"/>
      <w:sz w:val="21"/>
      <w:szCs w:val="24"/>
    </w:rPr>
  </w:style>
  <w:style w:type="paragraph" w:customStyle="1" w:styleId="278">
    <w:name w:val="样式 标题 3h3H3level_3PIM 3Level 3 HeadHeading 3 - oldsect1.2...1"/>
    <w:basedOn w:val="5"/>
    <w:qFormat/>
    <w:uiPriority w:val="0"/>
    <w:pPr>
      <w:tabs>
        <w:tab w:val="left" w:pos="720"/>
      </w:tabs>
      <w:spacing w:before="360" w:beforeLines="0" w:after="360" w:afterLines="0" w:line="480" w:lineRule="auto"/>
      <w:ind w:left="709" w:leftChars="200" w:hanging="720"/>
    </w:pPr>
    <w:rPr>
      <w:rFonts w:ascii="宋体" w:hAnsi="宋体"/>
      <w:b w:val="0"/>
      <w:kern w:val="0"/>
      <w:sz w:val="28"/>
      <w:szCs w:val="28"/>
    </w:rPr>
  </w:style>
  <w:style w:type="paragraph" w:customStyle="1" w:styleId="279">
    <w:name w:val="列表内容"/>
    <w:basedOn w:val="1"/>
    <w:qFormat/>
    <w:uiPriority w:val="0"/>
    <w:pPr>
      <w:widowControl/>
      <w:ind w:left="200"/>
      <w:jc w:val="left"/>
    </w:pPr>
    <w:rPr>
      <w:kern w:val="0"/>
      <w:sz w:val="18"/>
    </w:rPr>
  </w:style>
  <w:style w:type="paragraph" w:customStyle="1" w:styleId="280">
    <w:name w:val="+列表2"/>
    <w:basedOn w:val="1"/>
    <w:qFormat/>
    <w:uiPriority w:val="0"/>
    <w:pPr>
      <w:jc w:val="center"/>
    </w:pPr>
    <w:rPr>
      <w:szCs w:val="20"/>
    </w:rPr>
  </w:style>
  <w:style w:type="paragraph" w:customStyle="1" w:styleId="281">
    <w:name w:val="bodytext"/>
    <w:basedOn w:val="1"/>
    <w:qFormat/>
    <w:uiPriority w:val="0"/>
    <w:pPr>
      <w:widowControl/>
      <w:spacing w:before="140" w:beforeLines="0" w:line="360" w:lineRule="auto"/>
      <w:ind w:left="200" w:leftChars="200" w:firstLine="420"/>
      <w:jc w:val="left"/>
    </w:pPr>
    <w:rPr>
      <w:rFonts w:ascii="宋体" w:hAnsi="宋体" w:cs="宋体"/>
      <w:kern w:val="0"/>
      <w:szCs w:val="21"/>
    </w:rPr>
  </w:style>
  <w:style w:type="paragraph" w:customStyle="1" w:styleId="282">
    <w:name w:val=" Char Char Char Char Char Char1 Char Char Char Char"/>
    <w:basedOn w:val="1"/>
    <w:qFormat/>
    <w:uiPriority w:val="0"/>
    <w:rPr>
      <w:szCs w:val="20"/>
    </w:rPr>
  </w:style>
  <w:style w:type="paragraph" w:customStyle="1" w:styleId="283">
    <w:name w:val="Item List"/>
    <w:qFormat/>
    <w:uiPriority w:val="0"/>
    <w:pPr>
      <w:spacing w:line="360" w:lineRule="auto"/>
      <w:ind w:left="5"/>
      <w:jc w:val="center"/>
    </w:pPr>
    <w:rPr>
      <w:rFonts w:ascii="Arial" w:hAnsi="Arial" w:eastAsia="宋体" w:cs="Times New Roman"/>
      <w:b/>
      <w:bCs/>
      <w:sz w:val="21"/>
      <w:lang w:val="en-US" w:eastAsia="zh-CN" w:bidi="ar-SA"/>
    </w:rPr>
  </w:style>
  <w:style w:type="paragraph" w:customStyle="1" w:styleId="284">
    <w:name w:val="投标文件3"/>
    <w:basedOn w:val="1"/>
    <w:qFormat/>
    <w:uiPriority w:val="0"/>
    <w:pPr>
      <w:widowControl/>
      <w:spacing w:line="360" w:lineRule="auto"/>
    </w:pPr>
    <w:rPr>
      <w:rFonts w:ascii="宋体" w:hAnsi="Courier New" w:eastAsia="黑体"/>
      <w:b/>
      <w:sz w:val="30"/>
      <w:szCs w:val="20"/>
    </w:rPr>
  </w:style>
  <w:style w:type="paragraph" w:customStyle="1" w:styleId="2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286">
    <w:name w:val="xl2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kern w:val="0"/>
      <w:szCs w:val="21"/>
    </w:rPr>
  </w:style>
  <w:style w:type="paragraph" w:customStyle="1" w:styleId="287">
    <w:name w:val="xl48"/>
    <w:basedOn w:val="1"/>
    <w:qFormat/>
    <w:uiPriority w:val="0"/>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color w:val="3366FF"/>
      <w:kern w:val="0"/>
      <w:sz w:val="24"/>
    </w:rPr>
  </w:style>
  <w:style w:type="paragraph" w:customStyle="1" w:styleId="288">
    <w:name w:val="默认段落字体 Para Char Char Char Char Char Char Char Char Char Char Char Char Char Char Char Char Char Char Char Char Char Char"/>
    <w:basedOn w:val="1"/>
    <w:qFormat/>
    <w:uiPriority w:val="0"/>
    <w:rPr>
      <w:rFonts w:ascii="Tahoma" w:hAnsi="Tahoma"/>
      <w:sz w:val="24"/>
      <w:szCs w:val="20"/>
    </w:rPr>
  </w:style>
  <w:style w:type="paragraph" w:customStyle="1" w:styleId="289">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290">
    <w:name w:val="point"/>
    <w:basedOn w:val="1"/>
    <w:qFormat/>
    <w:uiPriority w:val="0"/>
    <w:pPr>
      <w:widowControl/>
      <w:overflowPunct w:val="0"/>
      <w:autoSpaceDE w:val="0"/>
      <w:autoSpaceDN w:val="0"/>
      <w:adjustRightInd w:val="0"/>
      <w:spacing w:before="40" w:beforeLines="0" w:after="40" w:afterLines="0"/>
      <w:ind w:left="720" w:hanging="274"/>
      <w:textAlignment w:val="baseline"/>
    </w:pPr>
    <w:rPr>
      <w:rFonts w:ascii="仿宋体" w:eastAsia="仿宋体"/>
      <w:spacing w:val="-2"/>
      <w:kern w:val="0"/>
      <w:position w:val="-2"/>
      <w:sz w:val="24"/>
      <w:szCs w:val="20"/>
    </w:rPr>
  </w:style>
  <w:style w:type="paragraph" w:customStyle="1" w:styleId="291">
    <w:name w:val="b-b1"/>
    <w:basedOn w:val="3"/>
    <w:next w:val="1"/>
    <w:qFormat/>
    <w:uiPriority w:val="0"/>
    <w:pPr>
      <w:keepNext w:val="0"/>
      <w:keepLines w:val="0"/>
      <w:autoSpaceDE w:val="0"/>
      <w:autoSpaceDN w:val="0"/>
      <w:adjustRightInd w:val="0"/>
      <w:snapToGrid w:val="0"/>
      <w:spacing w:before="160" w:beforeLines="0" w:after="160" w:afterLines="0" w:line="400" w:lineRule="exact"/>
      <w:jc w:val="left"/>
      <w:textAlignment w:val="baseline"/>
    </w:pPr>
    <w:rPr>
      <w:rFonts w:ascii="黑体"/>
      <w:bCs w:val="0"/>
      <w:color w:val="000000"/>
      <w:sz w:val="28"/>
      <w:szCs w:val="20"/>
    </w:rPr>
  </w:style>
  <w:style w:type="paragraph" w:customStyle="1" w:styleId="292">
    <w:name w:val="默认段落字体 Char"/>
    <w:basedOn w:val="1"/>
    <w:qFormat/>
    <w:uiPriority w:val="0"/>
  </w:style>
  <w:style w:type="paragraph" w:customStyle="1" w:styleId="293">
    <w:name w:val="word21"/>
    <w:basedOn w:val="1"/>
    <w:qFormat/>
    <w:uiPriority w:val="0"/>
    <w:pPr>
      <w:widowControl/>
      <w:spacing w:before="100" w:beforeLines="0" w:beforeAutospacing="1" w:after="100" w:afterLines="0" w:afterAutospacing="1" w:line="400" w:lineRule="atLeast"/>
      <w:ind w:left="200" w:leftChars="200"/>
      <w:jc w:val="left"/>
    </w:pPr>
    <w:rPr>
      <w:rFonts w:ascii="宋体" w:hAnsi="宋体" w:cs="宋体"/>
      <w:kern w:val="0"/>
      <w:sz w:val="24"/>
    </w:rPr>
  </w:style>
  <w:style w:type="paragraph" w:customStyle="1" w:styleId="294">
    <w:name w:val="_Style 8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Graphics"/>
    <w:basedOn w:val="1"/>
    <w:qFormat/>
    <w:uiPriority w:val="0"/>
    <w:pPr>
      <w:widowControl/>
      <w:spacing w:before="120" w:beforeLines="0"/>
      <w:jc w:val="left"/>
    </w:pPr>
    <w:rPr>
      <w:color w:val="000000"/>
      <w:kern w:val="0"/>
      <w:sz w:val="20"/>
      <w:szCs w:val="20"/>
      <w:lang w:eastAsia="en-US"/>
    </w:rPr>
  </w:style>
  <w:style w:type="paragraph" w:customStyle="1" w:styleId="296">
    <w:name w:val="font7"/>
    <w:basedOn w:val="1"/>
    <w:qFormat/>
    <w:uiPriority w:val="0"/>
    <w:pPr>
      <w:widowControl/>
      <w:spacing w:before="100" w:beforeLines="0" w:beforeAutospacing="1" w:after="100" w:afterLines="0" w:afterAutospacing="1"/>
      <w:jc w:val="left"/>
    </w:pPr>
    <w:rPr>
      <w:rFonts w:hint="eastAsia" w:ascii="宋体" w:hAnsi="宋体" w:cs="Arial Unicode MS"/>
      <w:kern w:val="0"/>
      <w:sz w:val="18"/>
      <w:szCs w:val="18"/>
    </w:rPr>
  </w:style>
  <w:style w:type="paragraph" w:customStyle="1" w:styleId="297">
    <w:name w:val="xl41"/>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pPr>
    <w:rPr>
      <w:rFonts w:eastAsia="Arial Unicode MS"/>
      <w:kern w:val="0"/>
      <w:sz w:val="24"/>
    </w:rPr>
  </w:style>
  <w:style w:type="paragraph" w:customStyle="1" w:styleId="298">
    <w:name w:val="xl5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299">
    <w:name w:val="样式 样式 标题 2 + 首行缩进:  2 字符 + 首行缩进:  2 字符"/>
    <w:basedOn w:val="1"/>
    <w:qFormat/>
    <w:uiPriority w:val="0"/>
    <w:pPr>
      <w:keepNext/>
      <w:keepLines/>
      <w:spacing w:before="260" w:beforeLines="0" w:after="260" w:afterLines="0" w:line="413" w:lineRule="auto"/>
      <w:ind w:left="200" w:leftChars="200" w:firstLine="100" w:firstLineChars="100"/>
      <w:outlineLvl w:val="1"/>
    </w:pPr>
    <w:rPr>
      <w:rFonts w:ascii="Arial" w:hAnsi="Arial" w:eastAsia="黑体" w:cs="宋体"/>
      <w:b/>
      <w:bCs/>
      <w:sz w:val="30"/>
      <w:szCs w:val="20"/>
    </w:rPr>
  </w:style>
  <w:style w:type="paragraph" w:customStyle="1" w:styleId="300">
    <w:name w:val="Char1"/>
    <w:basedOn w:val="1"/>
    <w:qFormat/>
    <w:uiPriority w:val="0"/>
    <w:pPr>
      <w:adjustRightInd w:val="0"/>
      <w:textAlignment w:val="baseline"/>
    </w:pPr>
    <w:rPr>
      <w:rFonts w:ascii="宋体"/>
      <w:sz w:val="28"/>
    </w:rPr>
  </w:style>
  <w:style w:type="paragraph" w:customStyle="1" w:styleId="301">
    <w:name w:val="附录Heading 3"/>
    <w:basedOn w:val="5"/>
    <w:qFormat/>
    <w:uiPriority w:val="0"/>
    <w:pPr>
      <w:keepLines w:val="0"/>
      <w:widowControl/>
      <w:pBdr>
        <w:bottom w:val="single" w:color="auto" w:sz="4" w:space="1"/>
      </w:pBdr>
      <w:tabs>
        <w:tab w:val="left" w:pos="900"/>
      </w:tabs>
      <w:spacing w:before="240" w:after="120" w:line="288" w:lineRule="auto"/>
      <w:ind w:leftChars="200" w:hanging="360"/>
      <w:jc w:val="left"/>
    </w:pPr>
    <w:rPr>
      <w:rFonts w:ascii="Microsoft Sans Serif" w:hAnsi="Microsoft Sans Serif" w:cs="Arial"/>
      <w:kern w:val="0"/>
      <w:sz w:val="26"/>
      <w:szCs w:val="26"/>
    </w:rPr>
  </w:style>
  <w:style w:type="paragraph" w:customStyle="1" w:styleId="302">
    <w:name w:val="xl32"/>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right"/>
      <w:textAlignment w:val="center"/>
    </w:pPr>
    <w:rPr>
      <w:rFonts w:ascii="Arial Unicode MS" w:hAnsi="Arial Unicode MS" w:eastAsia="Arial Unicode MS" w:cs="Arial Unicode MS"/>
      <w:kern w:val="0"/>
      <w:sz w:val="24"/>
    </w:rPr>
  </w:style>
  <w:style w:type="paragraph" w:customStyle="1" w:styleId="303">
    <w:name w:val="xl56"/>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304">
    <w:name w:val="小四宋体1.5倍行距首行缩进"/>
    <w:basedOn w:val="1"/>
    <w:qFormat/>
    <w:uiPriority w:val="0"/>
    <w:pPr>
      <w:spacing w:line="360" w:lineRule="auto"/>
      <w:ind w:firstLine="480" w:firstLineChars="200"/>
    </w:pPr>
    <w:rPr>
      <w:rFonts w:hAnsi="宋体"/>
      <w:kern w:val="0"/>
      <w:sz w:val="24"/>
      <w:szCs w:val="20"/>
    </w:rPr>
  </w:style>
  <w:style w:type="paragraph" w:customStyle="1" w:styleId="305">
    <w:name w:val="样式 宋体 段前: 2.5 磅 段后: 2.5 磅 行距: 多倍行距 1.25 字行 首行缩进:  2 字符"/>
    <w:basedOn w:val="1"/>
    <w:qFormat/>
    <w:uiPriority w:val="0"/>
    <w:pPr>
      <w:spacing w:before="50" w:beforeLines="0" w:after="50" w:afterLines="0" w:line="360" w:lineRule="auto"/>
    </w:pPr>
    <w:rPr>
      <w:rFonts w:ascii="宋体" w:hAnsi="宋体"/>
      <w:szCs w:val="20"/>
    </w:rPr>
  </w:style>
  <w:style w:type="paragraph" w:customStyle="1" w:styleId="306">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307">
    <w:name w:val="xl35"/>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textAlignment w:val="center"/>
    </w:pPr>
    <w:rPr>
      <w:rFonts w:ascii="Arial Unicode MS" w:hAnsi="Arial Unicode MS" w:eastAsia="Arial Unicode MS" w:cs="Arial Unicode MS"/>
      <w:kern w:val="0"/>
      <w:sz w:val="24"/>
    </w:rPr>
  </w:style>
  <w:style w:type="paragraph" w:customStyle="1" w:styleId="308">
    <w:name w:val="表格内文字"/>
    <w:basedOn w:val="28"/>
    <w:qFormat/>
    <w:uiPriority w:val="0"/>
    <w:pPr>
      <w:spacing w:line="320" w:lineRule="exact"/>
      <w:jc w:val="center"/>
    </w:pPr>
    <w:rPr>
      <w:rFonts w:ascii="Times New Roman" w:hAnsi="Times New Roman"/>
      <w:spacing w:val="10"/>
      <w:sz w:val="24"/>
      <w:szCs w:val="20"/>
    </w:rPr>
  </w:style>
  <w:style w:type="paragraph" w:customStyle="1" w:styleId="309">
    <w:name w:val="Normal"/>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310">
    <w:name w:val="unnamed3"/>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311">
    <w:name w:val="纯文本1"/>
    <w:basedOn w:val="1"/>
    <w:qFormat/>
    <w:uiPriority w:val="0"/>
    <w:pPr>
      <w:suppressAutoHyphens/>
    </w:pPr>
    <w:rPr>
      <w:rFonts w:ascii="宋体" w:hAnsi="宋体"/>
      <w:kern w:val="1"/>
      <w:szCs w:val="20"/>
      <w:lang w:eastAsia="ar-SA"/>
    </w:rPr>
  </w:style>
  <w:style w:type="paragraph" w:customStyle="1" w:styleId="312">
    <w:name w:val="样式 标题 3 + Times New Roman 段前: 5 磅 行距: 多倍行距 1.73 字行"/>
    <w:basedOn w:val="5"/>
    <w:qFormat/>
    <w:uiPriority w:val="0"/>
    <w:pPr>
      <w:keepLines w:val="0"/>
      <w:widowControl/>
      <w:pBdr>
        <w:bottom w:val="single" w:color="auto" w:sz="4" w:space="1"/>
      </w:pBdr>
      <w:tabs>
        <w:tab w:val="left" w:pos="900"/>
      </w:tabs>
      <w:spacing w:before="100" w:beforeLines="0" w:after="120" w:afterLines="0"/>
      <w:ind w:left="720" w:leftChars="200" w:hanging="720"/>
      <w:jc w:val="left"/>
    </w:pPr>
    <w:rPr>
      <w:rFonts w:cs="Arial"/>
      <w:kern w:val="0"/>
      <w:sz w:val="26"/>
      <w:szCs w:val="26"/>
    </w:rPr>
  </w:style>
  <w:style w:type="paragraph" w:customStyle="1" w:styleId="31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kern w:val="0"/>
      <w:sz w:val="24"/>
    </w:rPr>
  </w:style>
  <w:style w:type="paragraph" w:customStyle="1" w:styleId="314">
    <w:name w:val="xl33"/>
    <w:basedOn w:val="1"/>
    <w:qFormat/>
    <w:uiPriority w:val="0"/>
    <w:pPr>
      <w:widowControl/>
      <w:pBdr>
        <w:top w:val="single" w:color="auto" w:sz="8" w:space="0"/>
        <w:left w:val="single" w:color="auto" w:sz="8" w:space="0"/>
        <w:bottom w:val="single" w:color="auto" w:sz="8" w:space="0"/>
        <w:right w:val="single" w:color="auto" w:sz="8" w:space="0"/>
      </w:pBdr>
      <w:shd w:val="clear" w:color="auto" w:fill="FFFFFF"/>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315">
    <w:name w:val="正文段"/>
    <w:basedOn w:val="1"/>
    <w:qFormat/>
    <w:uiPriority w:val="0"/>
    <w:pPr>
      <w:widowControl/>
      <w:adjustRightInd w:val="0"/>
      <w:spacing w:after="240" w:afterLines="0" w:line="360" w:lineRule="atLeast"/>
      <w:ind w:firstLine="454"/>
      <w:textAlignment w:val="bottom"/>
    </w:pPr>
    <w:rPr>
      <w:rFonts w:ascii="宋体"/>
      <w:kern w:val="0"/>
      <w:sz w:val="24"/>
      <w:szCs w:val="20"/>
    </w:rPr>
  </w:style>
  <w:style w:type="paragraph" w:customStyle="1" w:styleId="316">
    <w:name w:val="xl46"/>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宋体" w:hAnsi="宋体"/>
      <w:color w:val="3366FF"/>
      <w:kern w:val="0"/>
      <w:sz w:val="24"/>
    </w:rPr>
  </w:style>
  <w:style w:type="paragraph" w:customStyle="1" w:styleId="317">
    <w:name w:val="xl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318">
    <w:name w:val="Table Paragraph"/>
    <w:basedOn w:val="1"/>
    <w:qFormat/>
    <w:uiPriority w:val="1"/>
    <w:rPr>
      <w:rFonts w:ascii="宋体" w:hAnsi="宋体" w:eastAsia="宋体" w:cs="宋体"/>
      <w:lang w:val="zh-CN" w:eastAsia="zh-CN" w:bidi="zh-CN"/>
    </w:rPr>
  </w:style>
  <w:style w:type="paragraph" w:customStyle="1" w:styleId="319">
    <w:name w:val=" Char Char Char Char Char Char Char"/>
    <w:basedOn w:val="1"/>
    <w:qFormat/>
    <w:uiPriority w:val="0"/>
    <w:pPr>
      <w:tabs>
        <w:tab w:val="left" w:pos="425"/>
      </w:tabs>
      <w:ind w:left="425" w:hanging="425"/>
    </w:pPr>
    <w:rPr>
      <w:rFonts w:eastAsia="仿宋_GB2312"/>
      <w:kern w:val="24"/>
      <w:sz w:val="24"/>
    </w:rPr>
  </w:style>
  <w:style w:type="paragraph" w:customStyle="1" w:styleId="320">
    <w:name w:val="tabletext"/>
    <w:basedOn w:val="1"/>
    <w:qFormat/>
    <w:uiPriority w:val="0"/>
    <w:pPr>
      <w:widowControl/>
      <w:spacing w:before="100" w:beforeLines="0" w:beforeAutospacing="1" w:after="100" w:afterLines="0" w:afterAutospacing="1" w:line="217" w:lineRule="atLeast"/>
      <w:jc w:val="left"/>
    </w:pPr>
    <w:rPr>
      <w:rFonts w:ascii="宋体" w:hAnsi="宋体" w:cs="宋体"/>
      <w:kern w:val="0"/>
      <w:sz w:val="16"/>
      <w:szCs w:val="16"/>
      <w:lang w:bidi="th-TH"/>
    </w:rPr>
  </w:style>
  <w:style w:type="paragraph" w:customStyle="1" w:styleId="321">
    <w:name w:val="默认段落字体 Para Char Char Char Char Char Char Char Char Char1 Char"/>
    <w:basedOn w:val="1"/>
    <w:qFormat/>
    <w:uiPriority w:val="0"/>
    <w:rPr>
      <w:rFonts w:ascii="Tahoma" w:hAnsi="Tahoma"/>
      <w:sz w:val="24"/>
      <w:szCs w:val="20"/>
    </w:rPr>
  </w:style>
  <w:style w:type="paragraph" w:customStyle="1" w:styleId="322">
    <w:name w:val="xl5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323">
    <w:name w:val="+标题2"/>
    <w:basedOn w:val="4"/>
    <w:qFormat/>
    <w:uiPriority w:val="0"/>
    <w:pPr>
      <w:spacing w:before="0" w:beforeLines="0" w:after="0" w:afterLines="0" w:line="360" w:lineRule="exact"/>
      <w:outlineLvl w:val="9"/>
    </w:pPr>
    <w:rPr>
      <w:rFonts w:ascii="宋体" w:hAnsi="宋体" w:eastAsia="宋体"/>
      <w:bCs w:val="0"/>
      <w:sz w:val="21"/>
      <w:szCs w:val="20"/>
    </w:rPr>
  </w:style>
  <w:style w:type="paragraph" w:customStyle="1" w:styleId="324">
    <w:name w:val="xl26"/>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325">
    <w:name w:val="xl58"/>
    <w:basedOn w:val="1"/>
    <w:qFormat/>
    <w:uiPriority w:val="0"/>
    <w:pPr>
      <w:widowControl/>
      <w:pBdr>
        <w:top w:val="single" w:color="auto" w:sz="4" w:space="0"/>
        <w:bottom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326">
    <w:name w:val="正文5"/>
    <w:basedOn w:val="1"/>
    <w:qFormat/>
    <w:uiPriority w:val="0"/>
    <w:pPr>
      <w:widowControl/>
      <w:autoSpaceDE w:val="0"/>
      <w:autoSpaceDN w:val="0"/>
      <w:adjustRightInd w:val="0"/>
      <w:spacing w:before="120" w:beforeLines="0" w:line="288" w:lineRule="auto"/>
      <w:ind w:firstLine="454"/>
      <w:textAlignment w:val="bottom"/>
    </w:pPr>
    <w:rPr>
      <w:rFonts w:ascii="仿宋_GB2312" w:eastAsia="仿宋_GB2312"/>
      <w:kern w:val="0"/>
      <w:sz w:val="24"/>
      <w:szCs w:val="20"/>
    </w:rPr>
  </w:style>
  <w:style w:type="paragraph" w:customStyle="1" w:styleId="327">
    <w:name w:val="Bullet 2"/>
    <w:basedOn w:val="235"/>
    <w:qFormat/>
    <w:uiPriority w:val="0"/>
    <w:pPr>
      <w:tabs>
        <w:tab w:val="left" w:pos="720"/>
        <w:tab w:val="left" w:pos="1320"/>
        <w:tab w:val="left" w:pos="2040"/>
        <w:tab w:val="clear" w:pos="567"/>
        <w:tab w:val="clear" w:pos="1134"/>
      </w:tabs>
      <w:ind w:left="720" w:leftChars="800" w:hanging="360" w:hangingChars="200"/>
    </w:pPr>
    <w:rPr>
      <w:rFonts w:cs="Arial"/>
    </w:rPr>
  </w:style>
  <w:style w:type="paragraph" w:customStyle="1" w:styleId="328">
    <w:name w:val="tableheading"/>
    <w:basedOn w:val="1"/>
    <w:qFormat/>
    <w:uiPriority w:val="0"/>
    <w:pPr>
      <w:widowControl/>
      <w:spacing w:before="100" w:beforeLines="0" w:beforeAutospacing="1" w:after="100" w:afterLines="0" w:afterAutospacing="1" w:line="268" w:lineRule="atLeast"/>
      <w:jc w:val="left"/>
    </w:pPr>
    <w:rPr>
      <w:rFonts w:ascii="Arial Unicode MS" w:hAnsi="Arial Unicode MS"/>
      <w:kern w:val="0"/>
      <w:sz w:val="20"/>
      <w:szCs w:val="20"/>
    </w:rPr>
  </w:style>
  <w:style w:type="paragraph" w:customStyle="1" w:styleId="329">
    <w:name w:val="11"/>
    <w:basedOn w:val="1"/>
    <w:qFormat/>
    <w:uiPriority w:val="0"/>
    <w:pPr>
      <w:tabs>
        <w:tab w:val="left" w:pos="972"/>
        <w:tab w:val="left" w:pos="2541"/>
      </w:tabs>
      <w:spacing w:line="500" w:lineRule="exact"/>
      <w:ind w:left="972" w:hanging="432"/>
    </w:pPr>
    <w:rPr>
      <w:spacing w:val="20"/>
      <w:sz w:val="28"/>
      <w:szCs w:val="20"/>
    </w:rPr>
  </w:style>
  <w:style w:type="paragraph" w:customStyle="1" w:styleId="330">
    <w:name w:val="font5"/>
    <w:basedOn w:val="1"/>
    <w:qFormat/>
    <w:uiPriority w:val="0"/>
    <w:pPr>
      <w:widowControl/>
      <w:spacing w:before="100" w:beforeLines="0" w:beforeAutospacing="1" w:after="100" w:afterLines="0" w:afterAutospacing="1"/>
      <w:jc w:val="left"/>
    </w:pPr>
    <w:rPr>
      <w:rFonts w:hint="eastAsia" w:ascii="宋体" w:hAnsi="宋体" w:cs="Arial Unicode MS"/>
      <w:kern w:val="0"/>
      <w:sz w:val="24"/>
    </w:rPr>
  </w:style>
  <w:style w:type="paragraph" w:customStyle="1" w:styleId="331">
    <w:name w:val="正文（首行不缩进）"/>
    <w:basedOn w:val="1"/>
    <w:qFormat/>
    <w:uiPriority w:val="0"/>
    <w:pPr>
      <w:autoSpaceDE w:val="0"/>
      <w:autoSpaceDN w:val="0"/>
      <w:adjustRightInd w:val="0"/>
      <w:spacing w:line="360" w:lineRule="auto"/>
      <w:jc w:val="left"/>
    </w:pPr>
    <w:rPr>
      <w:kern w:val="0"/>
      <w:szCs w:val="20"/>
    </w:rPr>
  </w:style>
  <w:style w:type="paragraph" w:customStyle="1" w:styleId="332">
    <w:name w:val=" Char Char Char Char Char Char Char Char Char Char"/>
    <w:basedOn w:val="1"/>
    <w:qFormat/>
    <w:uiPriority w:val="0"/>
    <w:pPr>
      <w:adjustRightInd w:val="0"/>
      <w:spacing w:line="360" w:lineRule="auto"/>
    </w:pPr>
    <w:rPr>
      <w:kern w:val="0"/>
      <w:sz w:val="24"/>
      <w:szCs w:val="20"/>
    </w:rPr>
  </w:style>
  <w:style w:type="paragraph" w:customStyle="1" w:styleId="333">
    <w:name w:val="样式1"/>
    <w:basedOn w:val="1"/>
    <w:qFormat/>
    <w:uiPriority w:val="0"/>
    <w:pPr>
      <w:snapToGrid w:val="0"/>
    </w:pPr>
    <w:rPr>
      <w:rFonts w:eastAsia="仿宋_GB2312"/>
      <w:snapToGrid w:val="0"/>
      <w:kern w:val="0"/>
      <w:sz w:val="32"/>
      <w:szCs w:val="20"/>
    </w:rPr>
  </w:style>
  <w:style w:type="paragraph" w:customStyle="1" w:styleId="334">
    <w:name w:val="肖正"/>
    <w:basedOn w:val="1"/>
    <w:qFormat/>
    <w:uiPriority w:val="0"/>
    <w:pPr>
      <w:ind w:firstLine="567"/>
    </w:pPr>
    <w:rPr>
      <w:sz w:val="24"/>
      <w:szCs w:val="20"/>
    </w:rPr>
  </w:style>
  <w:style w:type="paragraph" w:customStyle="1" w:styleId="335">
    <w:name w:val=" Char Char Char"/>
    <w:basedOn w:val="1"/>
    <w:qFormat/>
    <w:uiPriority w:val="0"/>
    <w:rPr>
      <w:rFonts w:ascii="Tahoma" w:hAnsi="Tahoma"/>
      <w:sz w:val="24"/>
      <w:szCs w:val="20"/>
    </w:rPr>
  </w:style>
  <w:style w:type="paragraph" w:customStyle="1" w:styleId="336">
    <w:name w:val="xl38"/>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337">
    <w:name w:val="字元 字元"/>
    <w:basedOn w:val="1"/>
    <w:qFormat/>
    <w:uiPriority w:val="0"/>
    <w:pPr>
      <w:adjustRightInd w:val="0"/>
      <w:snapToGrid w:val="0"/>
      <w:spacing w:line="360" w:lineRule="auto"/>
      <w:ind w:firstLine="200"/>
      <w:jc w:val="left"/>
    </w:pPr>
    <w:rPr>
      <w:rFonts w:ascii="宋体" w:hAnsi="宋体" w:cs="宋体"/>
      <w:color w:val="0000FF"/>
      <w:sz w:val="24"/>
    </w:rPr>
  </w:style>
  <w:style w:type="paragraph" w:customStyle="1" w:styleId="338">
    <w:name w:val="样式 标题 1H1H11H12H13H14H15H16H17H18H19H110H111H112H1..."/>
    <w:basedOn w:val="3"/>
    <w:qFormat/>
    <w:uiPriority w:val="0"/>
    <w:pPr>
      <w:keepLines w:val="0"/>
      <w:widowControl/>
      <w:pBdr>
        <w:bottom w:val="single" w:color="auto" w:sz="4" w:space="1"/>
      </w:pBdr>
      <w:autoSpaceDE w:val="0"/>
      <w:autoSpaceDN w:val="0"/>
      <w:spacing w:before="240" w:beforeLines="0" w:after="240" w:afterLines="0" w:line="360" w:lineRule="auto"/>
      <w:ind w:left="432" w:leftChars="200" w:hanging="432"/>
      <w:jc w:val="left"/>
    </w:pPr>
    <w:rPr>
      <w:rFonts w:ascii="Arial" w:hAnsi="Arial" w:eastAsia="楷体_GB2312" w:cs="Arial"/>
      <w:kern w:val="28"/>
      <w:sz w:val="36"/>
      <w:szCs w:val="30"/>
    </w:rPr>
  </w:style>
  <w:style w:type="paragraph" w:customStyle="1" w:styleId="339">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Cs w:val="21"/>
    </w:rPr>
  </w:style>
  <w:style w:type="paragraph" w:customStyle="1" w:styleId="340">
    <w:name w:val="b-b2"/>
    <w:basedOn w:val="4"/>
    <w:next w:val="1"/>
    <w:qFormat/>
    <w:uiPriority w:val="0"/>
    <w:pPr>
      <w:keepNext w:val="0"/>
      <w:keepLines w:val="0"/>
      <w:adjustRightInd w:val="0"/>
      <w:spacing w:before="0" w:beforeLines="0" w:after="0" w:afterLines="0" w:line="240" w:lineRule="atLeast"/>
      <w:jc w:val="left"/>
      <w:textAlignment w:val="baseline"/>
      <w:outlineLvl w:val="9"/>
    </w:pPr>
    <w:rPr>
      <w:rFonts w:ascii="宋体" w:hAnsi="宋体" w:eastAsia="宋体"/>
      <w:b w:val="0"/>
      <w:bCs w:val="0"/>
      <w:color w:val="000000"/>
      <w:kern w:val="0"/>
      <w:sz w:val="24"/>
      <w:szCs w:val="20"/>
    </w:rPr>
  </w:style>
  <w:style w:type="paragraph" w:customStyle="1" w:styleId="341">
    <w:name w:val=" Char Char2 Char"/>
    <w:basedOn w:val="1"/>
    <w:qFormat/>
    <w:uiPriority w:val="0"/>
    <w:rPr>
      <w:rFonts w:ascii="宋体" w:hAnsi="宋体"/>
      <w:b/>
      <w:sz w:val="28"/>
      <w:szCs w:val="28"/>
    </w:rPr>
  </w:style>
  <w:style w:type="paragraph" w:customStyle="1" w:styleId="342">
    <w:name w:val="+标题1"/>
    <w:basedOn w:val="3"/>
    <w:qFormat/>
    <w:uiPriority w:val="0"/>
    <w:pPr>
      <w:pageBreakBefore/>
      <w:tabs>
        <w:tab w:val="left" w:pos="2040"/>
      </w:tabs>
      <w:spacing w:before="240" w:beforeLines="0" w:after="240" w:afterLines="0" w:line="360" w:lineRule="auto"/>
      <w:ind w:left="2040" w:hanging="360"/>
    </w:pPr>
    <w:rPr>
      <w:bCs w:val="0"/>
      <w:kern w:val="32"/>
      <w:sz w:val="32"/>
      <w:szCs w:val="20"/>
    </w:rPr>
  </w:style>
  <w:style w:type="paragraph" w:customStyle="1" w:styleId="34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kern w:val="0"/>
      <w:sz w:val="24"/>
    </w:rPr>
  </w:style>
  <w:style w:type="paragraph" w:customStyle="1" w:styleId="344">
    <w:name w:val="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345">
    <w:name w:val="样式 标题 2第一章 标题 2Heading 2 HiddenHeading 2 CCBSheading 2H2h2..."/>
    <w:basedOn w:val="4"/>
    <w:qFormat/>
    <w:uiPriority w:val="0"/>
    <w:pPr>
      <w:keepLines w:val="0"/>
      <w:widowControl/>
      <w:autoSpaceDE w:val="0"/>
      <w:autoSpaceDN w:val="0"/>
      <w:spacing w:before="360" w:beforeLines="0" w:after="360" w:afterLines="0" w:line="480" w:lineRule="auto"/>
      <w:ind w:left="576" w:leftChars="200" w:hanging="576"/>
      <w:jc w:val="left"/>
    </w:pPr>
    <w:rPr>
      <w:rFonts w:ascii="宋体" w:hAnsi="宋体" w:eastAsia="宋体"/>
      <w:color w:val="000000"/>
      <w:kern w:val="0"/>
      <w:sz w:val="28"/>
      <w:szCs w:val="28"/>
    </w:rPr>
  </w:style>
  <w:style w:type="paragraph" w:customStyle="1" w:styleId="346">
    <w:name w:val="样式 宋体 首行缩进:  2 字符"/>
    <w:basedOn w:val="1"/>
    <w:qFormat/>
    <w:uiPriority w:val="0"/>
    <w:pPr>
      <w:spacing w:line="360" w:lineRule="auto"/>
      <w:ind w:firstLine="540" w:firstLineChars="225"/>
    </w:pPr>
    <w:rPr>
      <w:rFonts w:ascii="黑体" w:eastAsia="黑体"/>
      <w:sz w:val="24"/>
    </w:rPr>
  </w:style>
  <w:style w:type="paragraph" w:customStyle="1" w:styleId="347">
    <w:name w:val="msolistparagraph"/>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48">
    <w:name w:val="_Style 30"/>
    <w:basedOn w:val="1"/>
    <w:next w:val="1"/>
    <w:qFormat/>
    <w:uiPriority w:val="0"/>
    <w:rPr>
      <w:sz w:val="28"/>
      <w:szCs w:val="20"/>
    </w:rPr>
  </w:style>
  <w:style w:type="paragraph" w:customStyle="1" w:styleId="349">
    <w:name w:val="--规划正文"/>
    <w:basedOn w:val="1"/>
    <w:qFormat/>
    <w:uiPriority w:val="0"/>
    <w:pPr>
      <w:spacing w:line="360" w:lineRule="auto"/>
      <w:ind w:firstLine="200" w:firstLineChars="200"/>
    </w:pPr>
    <w:rPr>
      <w:szCs w:val="20"/>
    </w:rPr>
  </w:style>
  <w:style w:type="paragraph" w:customStyle="1" w:styleId="350">
    <w:name w:val="办公自动化专用标题"/>
    <w:basedOn w:val="66"/>
    <w:qFormat/>
    <w:uiPriority w:val="0"/>
    <w:pPr>
      <w:spacing w:line="560" w:lineRule="atLeast"/>
    </w:pPr>
    <w:rPr>
      <w:rFonts w:ascii="宋体" w:cs="Times New Roman"/>
      <w:bCs w:val="0"/>
      <w:sz w:val="44"/>
      <w:szCs w:val="20"/>
    </w:rPr>
  </w:style>
  <w:style w:type="paragraph" w:customStyle="1" w:styleId="351">
    <w:name w:val="xl39"/>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352">
    <w:name w:val="样式 标题 3h3H3level_3PIM 3Level 3 HeadHeading 3 - oldsect1.2..."/>
    <w:basedOn w:val="5"/>
    <w:qFormat/>
    <w:uiPriority w:val="0"/>
    <w:pPr>
      <w:tabs>
        <w:tab w:val="left" w:pos="1276"/>
      </w:tabs>
      <w:spacing w:before="240" w:beforeLines="0" w:after="240" w:afterLines="0" w:line="360" w:lineRule="auto"/>
      <w:ind w:left="1276" w:leftChars="200" w:hanging="850"/>
    </w:pPr>
    <w:rPr>
      <w:rFonts w:ascii="宋体" w:hAnsi="宋体" w:cs="宋体"/>
      <w:b w:val="0"/>
      <w:kern w:val="0"/>
      <w:sz w:val="24"/>
      <w:szCs w:val="20"/>
    </w:rPr>
  </w:style>
  <w:style w:type="paragraph" w:customStyle="1" w:styleId="353">
    <w:name w:val="xl64"/>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ascii="宋体" w:hAnsi="宋体"/>
      <w:kern w:val="0"/>
      <w:sz w:val="24"/>
    </w:rPr>
  </w:style>
  <w:style w:type="paragraph" w:customStyle="1" w:styleId="354">
    <w:name w:val="Char2"/>
    <w:basedOn w:val="1"/>
    <w:qFormat/>
    <w:uiPriority w:val="0"/>
    <w:pPr>
      <w:widowControl/>
      <w:ind w:left="432" w:hanging="432"/>
      <w:jc w:val="left"/>
    </w:pPr>
    <w:rPr>
      <w:kern w:val="0"/>
      <w:szCs w:val="20"/>
    </w:rPr>
  </w:style>
  <w:style w:type="paragraph" w:customStyle="1" w:styleId="355">
    <w:name w:val="+标题3"/>
    <w:basedOn w:val="5"/>
    <w:qFormat/>
    <w:uiPriority w:val="0"/>
    <w:pPr>
      <w:tabs>
        <w:tab w:val="left" w:pos="2040"/>
      </w:tabs>
      <w:spacing w:before="120" w:beforeLines="0" w:after="120" w:afterLines="0" w:line="360" w:lineRule="auto"/>
      <w:ind w:left="2040" w:hanging="360"/>
    </w:pPr>
    <w:rPr>
      <w:bCs w:val="0"/>
      <w:sz w:val="24"/>
      <w:szCs w:val="20"/>
    </w:rPr>
  </w:style>
  <w:style w:type="paragraph" w:customStyle="1" w:styleId="356">
    <w:name w:val="tabledescription"/>
    <w:basedOn w:val="1"/>
    <w:qFormat/>
    <w:uiPriority w:val="0"/>
    <w:pPr>
      <w:widowControl/>
      <w:spacing w:before="100" w:beforeLines="0" w:beforeAutospacing="1" w:after="100" w:afterLines="0" w:afterAutospacing="1" w:line="206" w:lineRule="atLeast"/>
      <w:jc w:val="left"/>
    </w:pPr>
    <w:rPr>
      <w:rFonts w:ascii="Arial Unicode MS" w:hAnsi="Arial Unicode MS"/>
      <w:kern w:val="0"/>
      <w:sz w:val="15"/>
      <w:szCs w:val="15"/>
    </w:rPr>
  </w:style>
  <w:style w:type="paragraph" w:customStyle="1" w:styleId="357">
    <w:name w:val="ÕªÒª"/>
    <w:basedOn w:val="1"/>
    <w:qFormat/>
    <w:uiPriority w:val="0"/>
    <w:pPr>
      <w:widowControl/>
      <w:tabs>
        <w:tab w:val="left" w:pos="907"/>
      </w:tabs>
      <w:overflowPunct w:val="0"/>
      <w:autoSpaceDE w:val="0"/>
      <w:autoSpaceDN w:val="0"/>
      <w:adjustRightInd w:val="0"/>
      <w:spacing w:line="360" w:lineRule="auto"/>
      <w:textAlignment w:val="baseline"/>
    </w:pPr>
    <w:rPr>
      <w:b/>
      <w:kern w:val="0"/>
      <w:sz w:val="24"/>
      <w:szCs w:val="20"/>
    </w:rPr>
  </w:style>
  <w:style w:type="paragraph" w:customStyle="1" w:styleId="358">
    <w:name w:val="默认段落字体 Para Char Char Char Char"/>
    <w:basedOn w:val="1"/>
    <w:qFormat/>
    <w:uiPriority w:val="0"/>
    <w:pPr>
      <w:adjustRightInd w:val="0"/>
      <w:spacing w:line="360" w:lineRule="atLeast"/>
      <w:jc w:val="left"/>
      <w:textAlignment w:val="baseline"/>
    </w:pPr>
    <w:rPr>
      <w:kern w:val="0"/>
      <w:sz w:val="24"/>
      <w:szCs w:val="20"/>
    </w:rPr>
  </w:style>
  <w:style w:type="paragraph" w:customStyle="1" w:styleId="359">
    <w:name w:val=" Char Char Char Char Char Char1 Char"/>
    <w:basedOn w:val="1"/>
    <w:qFormat/>
    <w:uiPriority w:val="0"/>
    <w:pPr>
      <w:widowControl/>
      <w:spacing w:after="160" w:afterLines="0" w:line="240" w:lineRule="exact"/>
      <w:jc w:val="left"/>
    </w:pPr>
    <w:rPr>
      <w:rFonts w:ascii="Verdana" w:hAnsi="Verdana"/>
      <w:kern w:val="0"/>
      <w:szCs w:val="20"/>
      <w:lang w:eastAsia="en-US"/>
    </w:rPr>
  </w:style>
  <w:style w:type="paragraph" w:customStyle="1" w:styleId="360">
    <w:name w:val="GEDI一级项目编号"/>
    <w:basedOn w:val="1"/>
    <w:qFormat/>
    <w:uiPriority w:val="0"/>
    <w:pPr>
      <w:adjustRightInd w:val="0"/>
      <w:snapToGrid w:val="0"/>
      <w:spacing w:line="480" w:lineRule="atLeast"/>
    </w:pPr>
    <w:rPr>
      <w:sz w:val="24"/>
    </w:rPr>
  </w:style>
  <w:style w:type="paragraph" w:customStyle="1" w:styleId="361">
    <w:name w:val="网格 居中"/>
    <w:basedOn w:val="1"/>
    <w:qFormat/>
    <w:uiPriority w:val="0"/>
    <w:pPr>
      <w:jc w:val="center"/>
    </w:pPr>
    <w:rPr>
      <w:szCs w:val="20"/>
    </w:rPr>
  </w:style>
  <w:style w:type="paragraph" w:customStyle="1" w:styleId="362">
    <w:name w:val="4"/>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before="113" w:after="57" w:line="300" w:lineRule="atLeast"/>
    </w:pPr>
    <w:rPr>
      <w:rFonts w:ascii="文鼎CS中黑" w:hAnsi="Times New Roman" w:eastAsia="文鼎CS中黑" w:cs="Times New Roman"/>
      <w:color w:val="000000"/>
      <w:lang w:val="en-US" w:eastAsia="zh-CN" w:bidi="ar-SA"/>
    </w:rPr>
  </w:style>
  <w:style w:type="paragraph" w:customStyle="1" w:styleId="363">
    <w:name w:val="(标书)正文 Char"/>
    <w:basedOn w:val="1"/>
    <w:qFormat/>
    <w:uiPriority w:val="0"/>
    <w:pPr>
      <w:spacing w:line="480" w:lineRule="auto"/>
      <w:ind w:firstLine="522"/>
      <w:jc w:val="left"/>
    </w:pPr>
    <w:rPr>
      <w:spacing w:val="10"/>
      <w:kern w:val="0"/>
      <w:sz w:val="24"/>
      <w:szCs w:val="20"/>
    </w:rPr>
  </w:style>
  <w:style w:type="paragraph" w:customStyle="1" w:styleId="364">
    <w:name w:val="列出段落1"/>
    <w:basedOn w:val="1"/>
    <w:qFormat/>
    <w:uiPriority w:val="0"/>
    <w:pPr>
      <w:ind w:left="200" w:leftChars="200" w:firstLine="420" w:firstLineChars="200"/>
    </w:pPr>
    <w:rPr>
      <w:rFonts w:ascii="Calibri" w:hAnsi="Calibri"/>
      <w:szCs w:val="22"/>
    </w:rPr>
  </w:style>
  <w:style w:type="paragraph" w:customStyle="1" w:styleId="365">
    <w:name w:val="xl62"/>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kern w:val="0"/>
      <w:sz w:val="24"/>
    </w:rPr>
  </w:style>
  <w:style w:type="paragraph" w:customStyle="1" w:styleId="366">
    <w:name w:val="默认段落字体 Para Char"/>
    <w:basedOn w:val="1"/>
    <w:qFormat/>
    <w:uiPriority w:val="0"/>
    <w:rPr>
      <w:rFonts w:ascii="宋体" w:hAnsi="宋体"/>
      <w:b/>
      <w:sz w:val="28"/>
      <w:szCs w:val="28"/>
    </w:rPr>
  </w:style>
  <w:style w:type="paragraph" w:customStyle="1" w:styleId="367">
    <w:name w:val="插图题注 Char"/>
    <w:next w:val="1"/>
    <w:qFormat/>
    <w:uiPriority w:val="0"/>
    <w:pPr>
      <w:spacing w:after="312" w:afterLines="100"/>
      <w:jc w:val="center"/>
    </w:pPr>
    <w:rPr>
      <w:rFonts w:ascii="Arial" w:hAnsi="Arial" w:eastAsia="宋体" w:cs="Times New Roman"/>
      <w:b/>
      <w:kern w:val="2"/>
      <w:sz w:val="18"/>
      <w:szCs w:val="18"/>
      <w:lang w:val="en-US" w:eastAsia="zh-CN" w:bidi="ar-SA"/>
    </w:rPr>
  </w:style>
  <w:style w:type="paragraph" w:customStyle="1" w:styleId="368">
    <w:name w:val="列表（符号一级）（绿盟科技）"/>
    <w:basedOn w:val="2"/>
    <w:next w:val="2"/>
    <w:qFormat/>
    <w:uiPriority w:val="0"/>
    <w:rPr>
      <w:rFonts w:ascii="宋体" w:hAnsi="Times New Roman" w:cs="Times New Roman"/>
      <w:color w:val="auto"/>
    </w:rPr>
  </w:style>
  <w:style w:type="paragraph" w:customStyle="1" w:styleId="369">
    <w:name w:val="+标题4"/>
    <w:basedOn w:val="7"/>
    <w:qFormat/>
    <w:uiPriority w:val="0"/>
    <w:pPr>
      <w:widowControl w:val="0"/>
      <w:tabs>
        <w:tab w:val="left" w:pos="2040"/>
      </w:tabs>
      <w:spacing w:before="120" w:beforeLines="0" w:after="120" w:afterLines="0"/>
      <w:ind w:left="2040" w:hanging="360"/>
      <w:jc w:val="both"/>
    </w:pPr>
    <w:rPr>
      <w:rFonts w:ascii="Times New Roman" w:hAnsi="Times New Roman"/>
      <w:b/>
      <w:bCs w:val="0"/>
      <w:sz w:val="24"/>
      <w:szCs w:val="20"/>
    </w:rPr>
  </w:style>
  <w:style w:type="paragraph" w:customStyle="1" w:styleId="370">
    <w:name w:val="样式 标题 4 + 左侧:  0.63 厘米 悬挂缩进: 16.2 字符 行距: 多倍行距 1.57 字行1"/>
    <w:basedOn w:val="7"/>
    <w:qFormat/>
    <w:uiPriority w:val="0"/>
    <w:pPr>
      <w:widowControl w:val="0"/>
      <w:spacing w:before="400" w:beforeLines="0" w:after="410" w:afterLines="0" w:line="377" w:lineRule="auto"/>
      <w:ind w:left="864" w:leftChars="200" w:hanging="864"/>
      <w:jc w:val="left"/>
      <w:textAlignment w:val="center"/>
    </w:pPr>
    <w:rPr>
      <w:rFonts w:ascii="黑体" w:eastAsia="黑体" w:cs="宋体"/>
      <w:b/>
      <w:sz w:val="24"/>
      <w:szCs w:val="20"/>
    </w:rPr>
  </w:style>
  <w:style w:type="paragraph" w:customStyle="1" w:styleId="371">
    <w:name w:val="a0"/>
    <w:basedOn w:val="1"/>
    <w:qFormat/>
    <w:uiPriority w:val="0"/>
    <w:pPr>
      <w:widowControl/>
      <w:spacing w:line="300" w:lineRule="atLeast"/>
      <w:jc w:val="left"/>
    </w:pPr>
    <w:rPr>
      <w:rFonts w:ascii="宋体" w:hAnsi="宋体" w:cs="宋体"/>
      <w:kern w:val="0"/>
      <w:sz w:val="18"/>
      <w:szCs w:val="18"/>
    </w:rPr>
  </w:style>
  <w:style w:type="paragraph" w:customStyle="1" w:styleId="372">
    <w:name w:val=".."/>
    <w:basedOn w:val="1"/>
    <w:next w:val="1"/>
    <w:qFormat/>
    <w:uiPriority w:val="0"/>
    <w:pPr>
      <w:autoSpaceDE w:val="0"/>
      <w:autoSpaceDN w:val="0"/>
      <w:adjustRightInd w:val="0"/>
      <w:ind w:left="200" w:leftChars="200"/>
      <w:jc w:val="left"/>
    </w:pPr>
    <w:rPr>
      <w:kern w:val="0"/>
      <w:sz w:val="20"/>
    </w:rPr>
  </w:style>
  <w:style w:type="paragraph" w:customStyle="1" w:styleId="373">
    <w:name w:val="正文1"/>
    <w:basedOn w:val="1"/>
    <w:qFormat/>
    <w:uiPriority w:val="0"/>
    <w:pPr>
      <w:adjustRightInd w:val="0"/>
      <w:spacing w:line="360" w:lineRule="auto"/>
      <w:ind w:left="630" w:leftChars="300"/>
      <w:textAlignment w:val="baseline"/>
    </w:pPr>
    <w:rPr>
      <w:sz w:val="24"/>
    </w:rPr>
  </w:style>
  <w:style w:type="paragraph" w:customStyle="1" w:styleId="374">
    <w:name w:val="Char Char Char Char Char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375">
    <w:name w:val="Char1 Char Char Char"/>
    <w:basedOn w:val="1"/>
    <w:qFormat/>
    <w:uiPriority w:val="0"/>
    <w:pPr>
      <w:tabs>
        <w:tab w:val="left" w:pos="525"/>
      </w:tabs>
      <w:ind w:left="525" w:hanging="525"/>
    </w:pPr>
    <w:rPr>
      <w:sz w:val="24"/>
    </w:rPr>
  </w:style>
  <w:style w:type="paragraph" w:customStyle="1" w:styleId="376">
    <w:name w:val="Char Char Char Char Char Char Char Char Char Char Char Char Char Char Char Char"/>
    <w:basedOn w:val="1"/>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377">
    <w:name w:val="Char Char Char Char Char Char Char"/>
    <w:basedOn w:val="1"/>
    <w:qFormat/>
    <w:uiPriority w:val="0"/>
    <w:pPr>
      <w:widowControl/>
      <w:spacing w:after="160" w:afterLines="0" w:line="240" w:lineRule="exact"/>
      <w:jc w:val="left"/>
    </w:pPr>
    <w:rPr>
      <w:rFonts w:ascii="Arial" w:hAnsi="Arial" w:eastAsia="Times New Roman"/>
      <w:b/>
      <w:kern w:val="0"/>
      <w:sz w:val="24"/>
      <w:szCs w:val="20"/>
      <w:lang w:eastAsia="en-US"/>
    </w:rPr>
  </w:style>
  <w:style w:type="paragraph" w:customStyle="1" w:styleId="378">
    <w:name w:val="xl37"/>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379">
    <w:name w:val="subhead"/>
    <w:basedOn w:val="1"/>
    <w:qFormat/>
    <w:uiPriority w:val="0"/>
    <w:pPr>
      <w:widowControl/>
      <w:overflowPunct w:val="0"/>
      <w:autoSpaceDE w:val="0"/>
      <w:autoSpaceDN w:val="0"/>
      <w:adjustRightInd w:val="0"/>
      <w:spacing w:before="240" w:beforeLines="0" w:after="120" w:afterLines="0" w:line="360" w:lineRule="auto"/>
      <w:ind w:firstLine="567"/>
      <w:jc w:val="left"/>
      <w:textAlignment w:val="baseline"/>
    </w:pPr>
    <w:rPr>
      <w:rFonts w:ascii="楷体" w:hAnsi="Arial" w:eastAsia="楷体"/>
      <w:spacing w:val="-20"/>
      <w:kern w:val="0"/>
      <w:sz w:val="24"/>
      <w:szCs w:val="20"/>
      <w:lang w:val="en-GB" w:eastAsia="en-US" w:bidi="en-US"/>
    </w:rPr>
  </w:style>
  <w:style w:type="paragraph" w:customStyle="1" w:styleId="380">
    <w:name w:val="样式4"/>
    <w:basedOn w:val="1"/>
    <w:qFormat/>
    <w:uiPriority w:val="0"/>
    <w:pPr>
      <w:tabs>
        <w:tab w:val="left" w:pos="874"/>
      </w:tabs>
      <w:spacing w:line="360" w:lineRule="auto"/>
      <w:ind w:left="874" w:hanging="420"/>
    </w:pPr>
    <w:rPr>
      <w:sz w:val="24"/>
    </w:rPr>
  </w:style>
  <w:style w:type="paragraph" w:customStyle="1" w:styleId="381">
    <w:name w:val="样式 样式 段 + (符号) 宋体 首行缩进:  2 字符 行距: 1.5 倍行距 + 首行缩进:  2 字符"/>
    <w:basedOn w:val="1"/>
    <w:qFormat/>
    <w:uiPriority w:val="0"/>
    <w:pPr>
      <w:widowControl/>
      <w:autoSpaceDE w:val="0"/>
      <w:autoSpaceDN w:val="0"/>
      <w:spacing w:line="360" w:lineRule="auto"/>
      <w:ind w:left="200" w:leftChars="200" w:firstLine="480" w:firstLineChars="200"/>
    </w:pPr>
    <w:rPr>
      <w:rFonts w:ascii="宋体" w:hAnsi="宋体" w:cs="宋体"/>
      <w:kern w:val="0"/>
      <w:szCs w:val="20"/>
    </w:rPr>
  </w:style>
  <w:style w:type="paragraph" w:customStyle="1" w:styleId="382">
    <w:name w:val="xl36"/>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pPr>
    <w:rPr>
      <w:rFonts w:ascii="Arial Unicode MS" w:hAnsi="Arial Unicode MS" w:eastAsia="Arial Unicode MS" w:cs="Arial Unicode MS"/>
      <w:kern w:val="0"/>
      <w:sz w:val="24"/>
    </w:rPr>
  </w:style>
  <w:style w:type="paragraph" w:customStyle="1" w:styleId="383">
    <w:name w:val=" Char1"/>
    <w:basedOn w:val="1"/>
    <w:qFormat/>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384">
    <w:name w:val="投标文件2"/>
    <w:basedOn w:val="1"/>
    <w:qFormat/>
    <w:uiPriority w:val="0"/>
    <w:pPr>
      <w:spacing w:line="480" w:lineRule="auto"/>
      <w:outlineLvl w:val="0"/>
    </w:pPr>
    <w:rPr>
      <w:rFonts w:ascii="宋体"/>
      <w:b/>
      <w:sz w:val="30"/>
      <w:szCs w:val="20"/>
    </w:rPr>
  </w:style>
  <w:style w:type="paragraph" w:customStyle="1" w:styleId="385">
    <w:name w:val="Figure Description"/>
    <w:basedOn w:val="1"/>
    <w:qFormat/>
    <w:uiPriority w:val="0"/>
    <w:pPr>
      <w:ind w:left="1701"/>
    </w:pPr>
    <w:rPr>
      <w:szCs w:val="20"/>
    </w:rPr>
  </w:style>
  <w:style w:type="paragraph" w:customStyle="1" w:styleId="386">
    <w:name w:val="正文首缩"/>
    <w:basedOn w:val="1"/>
    <w:next w:val="7"/>
    <w:qFormat/>
    <w:uiPriority w:val="0"/>
    <w:pPr>
      <w:keepNext/>
      <w:adjustRightInd w:val="0"/>
      <w:spacing w:line="300" w:lineRule="auto"/>
      <w:ind w:firstLine="556"/>
      <w:textAlignment w:val="baseline"/>
    </w:pPr>
    <w:rPr>
      <w:kern w:val="0"/>
      <w:sz w:val="28"/>
      <w:szCs w:val="20"/>
    </w:rPr>
  </w:style>
  <w:style w:type="paragraph" w:customStyle="1" w:styleId="387">
    <w:name w:val="xl6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hint="eastAsia" w:ascii="宋体" w:hAnsi="宋体"/>
      <w:kern w:val="0"/>
      <w:sz w:val="24"/>
    </w:rPr>
  </w:style>
  <w:style w:type="paragraph" w:customStyle="1" w:styleId="388">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389">
    <w:name w:val="xl5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39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kern w:val="0"/>
      <w:sz w:val="24"/>
    </w:rPr>
  </w:style>
  <w:style w:type="paragraph" w:customStyle="1" w:styleId="391">
    <w:name w:val="Date"/>
    <w:basedOn w:val="1"/>
    <w:next w:val="1"/>
    <w:qFormat/>
    <w:uiPriority w:val="0"/>
    <w:pPr>
      <w:adjustRightInd w:val="0"/>
      <w:spacing w:line="360" w:lineRule="auto"/>
      <w:textAlignment w:val="baseline"/>
    </w:pPr>
    <w:rPr>
      <w:rFonts w:ascii="宋体"/>
      <w:b/>
      <w:spacing w:val="2"/>
      <w:sz w:val="24"/>
      <w:szCs w:val="20"/>
    </w:rPr>
  </w:style>
  <w:style w:type="paragraph" w:customStyle="1" w:styleId="392">
    <w:name w:val="Plain Text"/>
    <w:basedOn w:val="1"/>
    <w:qFormat/>
    <w:uiPriority w:val="0"/>
    <w:pPr>
      <w:adjustRightInd w:val="0"/>
      <w:textAlignment w:val="baseline"/>
    </w:pPr>
    <w:rPr>
      <w:rFonts w:ascii="宋体" w:hAnsi="Courier New"/>
      <w:szCs w:val="20"/>
    </w:rPr>
  </w:style>
  <w:style w:type="paragraph" w:customStyle="1" w:styleId="393">
    <w:name w:val="正文五号缩进"/>
    <w:basedOn w:val="1"/>
    <w:qFormat/>
    <w:uiPriority w:val="0"/>
    <w:pPr>
      <w:spacing w:before="120" w:beforeLines="0" w:after="120" w:afterLines="0" w:line="360" w:lineRule="auto"/>
      <w:ind w:left="200" w:leftChars="200" w:firstLine="200" w:firstLineChars="200"/>
    </w:pPr>
  </w:style>
  <w:style w:type="paragraph" w:customStyle="1" w:styleId="394">
    <w:name w:val="正文内容"/>
    <w:basedOn w:val="1"/>
    <w:qFormat/>
    <w:uiPriority w:val="0"/>
    <w:rPr>
      <w:rFonts w:ascii="Arial" w:hAnsi="Arial"/>
      <w:spacing w:val="-12"/>
      <w:szCs w:val="20"/>
    </w:rPr>
  </w:style>
  <w:style w:type="paragraph" w:customStyle="1" w:styleId="395">
    <w:name w:val="简单回函地址"/>
    <w:basedOn w:val="1"/>
    <w:qFormat/>
    <w:uiPriority w:val="0"/>
    <w:rPr>
      <w:rFonts w:ascii="宋体" w:hAnsi="宋体"/>
      <w:color w:val="000000"/>
      <w:sz w:val="24"/>
      <w:szCs w:val="20"/>
    </w:rPr>
  </w:style>
  <w:style w:type="paragraph" w:customStyle="1" w:styleId="396">
    <w:name w:val="xl30"/>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397">
    <w:name w:val="xl6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olor w:val="3366FF"/>
      <w:kern w:val="0"/>
      <w:sz w:val="24"/>
    </w:rPr>
  </w:style>
  <w:style w:type="paragraph" w:customStyle="1" w:styleId="398">
    <w:name w:val="xl4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399">
    <w:name w:val="ZW"/>
    <w:basedOn w:val="1"/>
    <w:qFormat/>
    <w:uiPriority w:val="0"/>
    <w:pPr>
      <w:spacing w:line="360" w:lineRule="auto"/>
      <w:ind w:firstLine="200" w:firstLineChars="200"/>
    </w:pPr>
    <w:rPr>
      <w:rFonts w:ascii="宋体" w:hAnsi="宋体"/>
      <w:sz w:val="24"/>
    </w:rPr>
  </w:style>
  <w:style w:type="paragraph" w:customStyle="1" w:styleId="400">
    <w:name w:val="Content for Manual"/>
    <w:basedOn w:val="1"/>
    <w:qFormat/>
    <w:uiPriority w:val="0"/>
    <w:pPr>
      <w:jc w:val="left"/>
    </w:pPr>
    <w:rPr>
      <w:rFonts w:ascii="Arial" w:hAnsi="Arial" w:eastAsia="PMingLiU" w:cs="Arial"/>
      <w:color w:val="000000"/>
      <w:sz w:val="18"/>
      <w:szCs w:val="20"/>
      <w:lang w:eastAsia="zh-TW"/>
    </w:rPr>
  </w:style>
  <w:style w:type="paragraph" w:customStyle="1" w:styleId="401">
    <w:name w:val="表头文本"/>
    <w:basedOn w:val="1"/>
    <w:qFormat/>
    <w:uiPriority w:val="0"/>
    <w:pPr>
      <w:autoSpaceDE w:val="0"/>
      <w:autoSpaceDN w:val="0"/>
      <w:adjustRightInd w:val="0"/>
      <w:jc w:val="center"/>
    </w:pPr>
    <w:rPr>
      <w:b/>
      <w:kern w:val="0"/>
      <w:sz w:val="24"/>
      <w:szCs w:val="20"/>
    </w:rPr>
  </w:style>
  <w:style w:type="paragraph" w:customStyle="1" w:styleId="402">
    <w:name w:val="xl4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olor w:val="3366FF"/>
      <w:kern w:val="0"/>
      <w:sz w:val="24"/>
    </w:rPr>
  </w:style>
  <w:style w:type="paragraph" w:customStyle="1" w:styleId="403">
    <w:name w:val="样式 标题 4 + 左侧:  0.63 厘米 悬挂缩进: 16.2 字符 行距: 多倍行距 1.57 字行"/>
    <w:basedOn w:val="7"/>
    <w:qFormat/>
    <w:uiPriority w:val="0"/>
    <w:pPr>
      <w:widowControl w:val="0"/>
      <w:spacing w:before="400" w:beforeLines="0" w:after="410" w:afterLines="0" w:line="377" w:lineRule="auto"/>
      <w:ind w:left="1980" w:leftChars="200" w:hanging="1620"/>
      <w:jc w:val="both"/>
      <w:textAlignment w:val="center"/>
    </w:pPr>
    <w:rPr>
      <w:rFonts w:ascii="黑体" w:eastAsia="黑体" w:cs="宋体"/>
      <w:b/>
      <w:sz w:val="24"/>
      <w:szCs w:val="20"/>
    </w:rPr>
  </w:style>
  <w:style w:type="paragraph" w:customStyle="1" w:styleId="404">
    <w:name w:val="02"/>
    <w:basedOn w:val="1"/>
    <w:qFormat/>
    <w:uiPriority w:val="0"/>
    <w:pPr>
      <w:spacing w:line="500" w:lineRule="exact"/>
      <w:ind w:firstLine="567"/>
      <w:outlineLvl w:val="0"/>
    </w:pPr>
    <w:rPr>
      <w:b/>
      <w:spacing w:val="20"/>
      <w:sz w:val="28"/>
      <w:szCs w:val="20"/>
    </w:rPr>
  </w:style>
  <w:style w:type="paragraph" w:customStyle="1" w:styleId="405">
    <w:name w:val="xl40"/>
    <w:basedOn w:val="1"/>
    <w:qFormat/>
    <w:uiPriority w:val="0"/>
    <w:pPr>
      <w:widowControl/>
      <w:pBdr>
        <w:top w:val="single" w:color="auto" w:sz="8" w:space="0"/>
        <w:left w:val="single" w:color="auto" w:sz="8" w:space="0"/>
        <w:bottom w:val="single" w:color="auto" w:sz="8" w:space="0"/>
        <w:right w:val="single" w:color="auto" w:sz="8" w:space="0"/>
      </w:pBdr>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406">
    <w:name w:val="正文（空2）"/>
    <w:basedOn w:val="1"/>
    <w:qFormat/>
    <w:uiPriority w:val="0"/>
    <w:pPr>
      <w:spacing w:line="360" w:lineRule="auto"/>
      <w:ind w:firstLine="200" w:firstLineChars="200"/>
    </w:pPr>
    <w:rPr>
      <w:rFonts w:ascii="Times New Roman" w:hAnsi="Times New Roman"/>
      <w:sz w:val="24"/>
    </w:rPr>
  </w:style>
  <w:style w:type="paragraph" w:customStyle="1" w:styleId="407">
    <w:name w:val="字元 字元 字元"/>
    <w:basedOn w:val="1"/>
    <w:qFormat/>
    <w:uiPriority w:val="0"/>
    <w:pPr>
      <w:tabs>
        <w:tab w:val="left" w:pos="1080"/>
      </w:tabs>
      <w:ind w:left="1080" w:hanging="360"/>
    </w:pPr>
    <w:rPr>
      <w:szCs w:val="20"/>
    </w:rPr>
  </w:style>
  <w:style w:type="paragraph" w:customStyle="1" w:styleId="408">
    <w:name w:val="图号"/>
    <w:basedOn w:val="1"/>
    <w:qFormat/>
    <w:uiPriority w:val="0"/>
    <w:pPr>
      <w:tabs>
        <w:tab w:val="left" w:pos="450"/>
      </w:tabs>
      <w:autoSpaceDE w:val="0"/>
      <w:autoSpaceDN w:val="0"/>
      <w:adjustRightInd w:val="0"/>
      <w:spacing w:before="105" w:beforeLines="0" w:line="360" w:lineRule="auto"/>
      <w:ind w:left="360" w:hanging="360"/>
      <w:jc w:val="center"/>
    </w:pPr>
    <w:rPr>
      <w:rFonts w:ascii="宋体"/>
      <w:kern w:val="0"/>
      <w:szCs w:val="21"/>
    </w:rPr>
  </w:style>
  <w:style w:type="paragraph" w:customStyle="1" w:styleId="409">
    <w:name w:val="样式 普通文字 + (符号) Times New Roman 小四 首行缩进:  1.05 厘米 行距: 1.5 倍行距"/>
    <w:basedOn w:val="37"/>
    <w:qFormat/>
    <w:uiPriority w:val="0"/>
    <w:pPr>
      <w:spacing w:line="360" w:lineRule="auto"/>
      <w:ind w:firstLine="567"/>
    </w:pPr>
    <w:rPr>
      <w:rFonts w:ascii="Times New Roman" w:hAnsi="Times New Roman" w:cs="Times New Roman"/>
      <w:kern w:val="20"/>
      <w:sz w:val="24"/>
      <w:szCs w:val="20"/>
    </w:rPr>
  </w:style>
  <w:style w:type="paragraph" w:customStyle="1" w:styleId="410">
    <w:name w:val="Char"/>
    <w:basedOn w:val="1"/>
    <w:qFormat/>
    <w:uiPriority w:val="0"/>
    <w:pPr>
      <w:widowControl/>
      <w:spacing w:after="160" w:afterLines="0" w:line="240" w:lineRule="exact"/>
      <w:jc w:val="left"/>
    </w:pPr>
    <w:rPr>
      <w:rFonts w:ascii="Verdana" w:hAnsi="Verdana"/>
      <w:kern w:val="0"/>
      <w:szCs w:val="20"/>
      <w:lang w:eastAsia="en-US"/>
    </w:rPr>
  </w:style>
  <w:style w:type="paragraph" w:customStyle="1" w:styleId="411">
    <w:name w:val="Char1 Char Char Char Char Char"/>
    <w:basedOn w:val="1"/>
    <w:qFormat/>
    <w:uiPriority w:val="0"/>
    <w:pPr>
      <w:spacing w:before="240" w:beforeLines="0" w:after="120" w:afterLines="0" w:line="288" w:lineRule="auto"/>
      <w:ind w:left="200" w:leftChars="200" w:firstLine="200" w:firstLineChars="200"/>
      <w:jc w:val="left"/>
    </w:pPr>
    <w:rPr>
      <w:rFonts w:ascii="Tahoma" w:hAnsi="Tahoma"/>
      <w:sz w:val="24"/>
    </w:rPr>
  </w:style>
  <w:style w:type="paragraph" w:customStyle="1" w:styleId="412">
    <w:name w:val="ÕýÎÄÊ×ÐÐËõ½ø"/>
    <w:basedOn w:val="1"/>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413">
    <w:name w:val="font8"/>
    <w:basedOn w:val="1"/>
    <w:qFormat/>
    <w:uiPriority w:val="0"/>
    <w:pPr>
      <w:widowControl/>
      <w:spacing w:before="100" w:beforeLines="0" w:beforeAutospacing="1" w:after="100" w:afterLines="0" w:afterAutospacing="1"/>
      <w:jc w:val="left"/>
    </w:pPr>
    <w:rPr>
      <w:rFonts w:hint="eastAsia" w:ascii="宋体" w:hAnsi="宋体" w:cs="Arial Unicode MS"/>
      <w:kern w:val="0"/>
      <w:sz w:val="16"/>
      <w:szCs w:val="16"/>
    </w:rPr>
  </w:style>
  <w:style w:type="paragraph" w:customStyle="1" w:styleId="414">
    <w:name w:val=" Char1 Char Char Char"/>
    <w:basedOn w:val="1"/>
    <w:qFormat/>
    <w:uiPriority w:val="0"/>
    <w:pPr>
      <w:tabs>
        <w:tab w:val="left" w:pos="363"/>
      </w:tabs>
      <w:ind w:left="363" w:hanging="360"/>
    </w:pPr>
    <w:rPr>
      <w:sz w:val="24"/>
    </w:rPr>
  </w:style>
  <w:style w:type="paragraph" w:customStyle="1" w:styleId="415">
    <w:name w:val="正文-宋4行25"/>
    <w:basedOn w:val="1"/>
    <w:qFormat/>
    <w:uiPriority w:val="0"/>
    <w:pPr>
      <w:adjustRightInd w:val="0"/>
      <w:snapToGrid w:val="0"/>
      <w:spacing w:line="400" w:lineRule="exact"/>
      <w:ind w:firstLine="482" w:firstLineChars="200"/>
      <w:textAlignment w:val="baseline"/>
    </w:pPr>
    <w:rPr>
      <w:rFonts w:ascii="宋体"/>
      <w:kern w:val="0"/>
      <w:sz w:val="24"/>
      <w:szCs w:val="20"/>
    </w:rPr>
  </w:style>
  <w:style w:type="paragraph" w:customStyle="1" w:styleId="416">
    <w:name w:val="font6"/>
    <w:basedOn w:val="1"/>
    <w:qFormat/>
    <w:uiPriority w:val="0"/>
    <w:pPr>
      <w:widowControl/>
      <w:spacing w:before="100" w:beforeLines="0" w:beforeAutospacing="1" w:after="100" w:afterLines="0" w:afterAutospacing="1"/>
      <w:jc w:val="left"/>
    </w:pPr>
    <w:rPr>
      <w:rFonts w:hint="eastAsia" w:ascii="宋体" w:hAnsi="宋体"/>
      <w:kern w:val="0"/>
      <w:szCs w:val="21"/>
    </w:rPr>
  </w:style>
  <w:style w:type="paragraph" w:customStyle="1" w:styleId="417">
    <w:name w:val="ind:txt"/>
    <w:basedOn w:val="1"/>
    <w:next w:val="1"/>
    <w:qFormat/>
    <w:uiPriority w:val="0"/>
    <w:pPr>
      <w:spacing w:after="120" w:afterLines="0"/>
    </w:pPr>
    <w:rPr>
      <w:szCs w:val="20"/>
    </w:rPr>
  </w:style>
  <w:style w:type="paragraph" w:customStyle="1" w:styleId="418">
    <w:name w:val="List Paragraph"/>
    <w:basedOn w:val="1"/>
    <w:qFormat/>
    <w:uiPriority w:val="0"/>
    <w:pPr>
      <w:adjustRightInd w:val="0"/>
      <w:snapToGrid w:val="0"/>
      <w:spacing w:before="120" w:beforeLines="0" w:after="120" w:afterLines="0" w:line="360" w:lineRule="auto"/>
      <w:ind w:left="578" w:firstLine="420" w:firstLineChars="200"/>
    </w:pPr>
    <w:rPr>
      <w:szCs w:val="20"/>
      <w:lang w:eastAsia="zh-TW"/>
    </w:rPr>
  </w:style>
  <w:style w:type="paragraph" w:customStyle="1" w:styleId="41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hint="eastAsia" w:ascii="宋体" w:hAnsi="宋体"/>
      <w:kern w:val="0"/>
      <w:sz w:val="24"/>
    </w:rPr>
  </w:style>
  <w:style w:type="paragraph" w:customStyle="1" w:styleId="420">
    <w:name w:val="+1."/>
    <w:basedOn w:val="1"/>
    <w:qFormat/>
    <w:uiPriority w:val="0"/>
    <w:pPr>
      <w:tabs>
        <w:tab w:val="left" w:pos="1500"/>
      </w:tabs>
      <w:spacing w:line="360" w:lineRule="auto"/>
      <w:ind w:left="1500" w:hanging="360"/>
    </w:pPr>
    <w:rPr>
      <w:sz w:val="24"/>
      <w:szCs w:val="20"/>
    </w:rPr>
  </w:style>
  <w:style w:type="paragraph" w:customStyle="1" w:styleId="421">
    <w:name w:val="中等深浅列表 2 - 强调文字颜色 21"/>
    <w:qFormat/>
    <w:uiPriority w:val="0"/>
    <w:rPr>
      <w:rFonts w:ascii="Times New Roman" w:hAnsi="Times New Roman" w:eastAsia="宋体" w:cs="Times New Roman"/>
      <w:kern w:val="2"/>
      <w:sz w:val="21"/>
      <w:szCs w:val="24"/>
      <w:lang w:val="en-US" w:eastAsia="zh-CN" w:bidi="ar-SA"/>
    </w:rPr>
  </w:style>
  <w:style w:type="paragraph" w:customStyle="1" w:styleId="422">
    <w:name w:val="xl6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宋体" w:hAnsi="宋体"/>
      <w:b/>
      <w:bCs/>
      <w:kern w:val="0"/>
      <w:sz w:val="24"/>
    </w:rPr>
  </w:style>
  <w:style w:type="paragraph" w:customStyle="1" w:styleId="423">
    <w:name w:val="样式 正文缩进 + 首行缩进:  2 字符"/>
    <w:basedOn w:val="18"/>
    <w:qFormat/>
    <w:uiPriority w:val="0"/>
    <w:pPr>
      <w:autoSpaceDE/>
      <w:autoSpaceDN/>
      <w:adjustRightInd/>
      <w:spacing w:line="360" w:lineRule="auto"/>
      <w:ind w:firstLine="480" w:firstLineChars="200"/>
      <w:jc w:val="both"/>
      <w:textAlignment w:val="auto"/>
    </w:pPr>
    <w:rPr>
      <w:rFonts w:ascii="Times New Roman"/>
      <w:kern w:val="2"/>
      <w:sz w:val="24"/>
    </w:rPr>
  </w:style>
  <w:style w:type="paragraph" w:customStyle="1" w:styleId="424">
    <w:name w:val=" Char Char"/>
    <w:basedOn w:val="1"/>
    <w:qFormat/>
    <w:uiPriority w:val="0"/>
    <w:rPr>
      <w:rFonts w:ascii="宋体" w:hAnsi="宋体"/>
      <w:b/>
      <w:sz w:val="28"/>
      <w:szCs w:val="28"/>
    </w:rPr>
  </w:style>
  <w:style w:type="paragraph" w:customStyle="1" w:styleId="425">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Lines="0" w:beforeAutospacing="1" w:after="100" w:afterLines="0" w:afterAutospacing="1"/>
      <w:jc w:val="left"/>
    </w:pPr>
    <w:rPr>
      <w:rFonts w:ascii="宋体" w:hAnsi="宋体"/>
      <w:kern w:val="0"/>
      <w:sz w:val="24"/>
    </w:rPr>
  </w:style>
  <w:style w:type="paragraph" w:customStyle="1" w:styleId="426">
    <w:name w:val="样式 标题 1 + 五号 段前: 3 磅 段后: 3 磅 行距: 1.5 倍行距"/>
    <w:basedOn w:val="3"/>
    <w:qFormat/>
    <w:uiPriority w:val="0"/>
    <w:pPr>
      <w:spacing w:before="60" w:beforeLines="0" w:after="60" w:afterLines="0" w:line="360" w:lineRule="auto"/>
      <w:ind w:left="200" w:leftChars="200"/>
      <w:jc w:val="both"/>
    </w:pPr>
    <w:rPr>
      <w:rFonts w:cs="宋体"/>
      <w:kern w:val="2"/>
      <w:sz w:val="32"/>
      <w:szCs w:val="20"/>
    </w:rPr>
  </w:style>
  <w:style w:type="paragraph" w:customStyle="1" w:styleId="427">
    <w:name w:val="不缩进"/>
    <w:basedOn w:val="1"/>
    <w:qFormat/>
    <w:uiPriority w:val="0"/>
    <w:pPr>
      <w:jc w:val="center"/>
    </w:pPr>
    <w:rPr>
      <w:sz w:val="24"/>
      <w:szCs w:val="20"/>
    </w:rPr>
  </w:style>
  <w:style w:type="paragraph" w:customStyle="1" w:styleId="428">
    <w:name w:val="目录"/>
    <w:basedOn w:val="1"/>
    <w:qFormat/>
    <w:uiPriority w:val="0"/>
    <w:pPr>
      <w:widowControl/>
      <w:spacing w:line="480" w:lineRule="auto"/>
      <w:jc w:val="center"/>
    </w:pPr>
    <w:rPr>
      <w:rFonts w:ascii="宋体"/>
      <w:b/>
      <w:kern w:val="0"/>
      <w:sz w:val="24"/>
      <w:szCs w:val="20"/>
    </w:rPr>
  </w:style>
  <w:style w:type="paragraph" w:customStyle="1" w:styleId="429">
    <w:name w:val="xl51"/>
    <w:basedOn w:val="1"/>
    <w:qFormat/>
    <w:uiPriority w:val="0"/>
    <w:pPr>
      <w:widowControl/>
      <w:pBdr>
        <w:bottom w:val="single" w:color="auto" w:sz="4" w:space="0"/>
        <w:right w:val="single" w:color="auto" w:sz="4" w:space="0"/>
      </w:pBdr>
      <w:spacing w:before="100" w:beforeLines="0" w:beforeAutospacing="1" w:after="100" w:afterLines="0" w:afterAutospacing="1"/>
      <w:textAlignment w:val="center"/>
    </w:pPr>
    <w:rPr>
      <w:rFonts w:ascii="Arial" w:hAnsi="Arial" w:eastAsia="Arial Unicode MS"/>
      <w:kern w:val="0"/>
      <w:szCs w:val="20"/>
    </w:rPr>
  </w:style>
  <w:style w:type="paragraph" w:customStyle="1" w:styleId="430">
    <w:name w:val="样式 首行缩进:  2 字符 Char Char"/>
    <w:basedOn w:val="1"/>
    <w:qFormat/>
    <w:uiPriority w:val="0"/>
    <w:pPr>
      <w:spacing w:line="360" w:lineRule="auto"/>
      <w:ind w:left="200" w:leftChars="200" w:firstLine="480" w:firstLineChars="200"/>
      <w:jc w:val="left"/>
    </w:pPr>
    <w:rPr>
      <w:sz w:val="24"/>
    </w:rPr>
  </w:style>
  <w:style w:type="paragraph" w:customStyle="1" w:styleId="431">
    <w:name w:val="font10"/>
    <w:basedOn w:val="1"/>
    <w:qFormat/>
    <w:uiPriority w:val="0"/>
    <w:pPr>
      <w:widowControl/>
      <w:spacing w:before="100" w:beforeLines="0" w:beforeAutospacing="1" w:after="100" w:afterLines="0" w:afterAutospacing="1"/>
      <w:jc w:val="left"/>
    </w:pPr>
    <w:rPr>
      <w:rFonts w:hint="eastAsia" w:ascii="仿宋_GB2312" w:hAnsi="宋体" w:eastAsia="仿宋_GB2312"/>
      <w:b/>
      <w:bCs/>
      <w:kern w:val="0"/>
      <w:sz w:val="20"/>
      <w:szCs w:val="20"/>
    </w:rPr>
  </w:style>
  <w:style w:type="paragraph" w:customStyle="1" w:styleId="432">
    <w:name w:val=" Char Char Char Char Char Char Char Char Char Char Char Char Char Char Char Char"/>
    <w:basedOn w:val="1"/>
    <w:qFormat/>
    <w:uiPriority w:val="0"/>
    <w:pPr>
      <w:tabs>
        <w:tab w:val="left" w:pos="360"/>
      </w:tabs>
    </w:pPr>
    <w:rPr>
      <w:sz w:val="24"/>
    </w:rPr>
  </w:style>
  <w:style w:type="paragraph" w:customStyle="1" w:styleId="433">
    <w:name w:val="EHPT"/>
    <w:basedOn w:val="1"/>
    <w:next w:val="28"/>
    <w:qFormat/>
    <w:uiPriority w:val="0"/>
    <w:pPr>
      <w:ind w:right="-694"/>
    </w:pPr>
    <w:rPr>
      <w:sz w:val="24"/>
      <w:szCs w:val="20"/>
    </w:rPr>
  </w:style>
  <w:style w:type="paragraph" w:customStyle="1" w:styleId="434">
    <w:name w:val="批注主题 Char Char"/>
    <w:basedOn w:val="23"/>
    <w:next w:val="23"/>
    <w:qFormat/>
    <w:uiPriority w:val="0"/>
    <w:rPr>
      <w:b/>
      <w:szCs w:val="20"/>
    </w:rPr>
  </w:style>
  <w:style w:type="paragraph" w:customStyle="1" w:styleId="435">
    <w:name w:val="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43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宋体" w:hAnsi="宋体"/>
      <w:kern w:val="0"/>
      <w:sz w:val="24"/>
    </w:rPr>
  </w:style>
  <w:style w:type="character" w:customStyle="1" w:styleId="437">
    <w:name w:val="NormalCharacter"/>
    <w:link w:val="438"/>
    <w:qFormat/>
    <w:uiPriority w:val="0"/>
    <w:rPr>
      <w:rFonts w:ascii="Verdana" w:hAnsi="Verdana"/>
      <w:kern w:val="0"/>
      <w:sz w:val="20"/>
      <w:szCs w:val="20"/>
      <w:lang w:eastAsia="en-US"/>
    </w:rPr>
  </w:style>
  <w:style w:type="paragraph" w:customStyle="1" w:styleId="438">
    <w:name w:val="UserStyle_0"/>
    <w:basedOn w:val="1"/>
    <w:link w:val="437"/>
    <w:semiHidden/>
    <w:qFormat/>
    <w:uiPriority w:val="0"/>
    <w:pPr>
      <w:widowControl/>
      <w:spacing w:after="160" w:line="240" w:lineRule="exact"/>
      <w:jc w:val="left"/>
      <w:textAlignment w:val="baseline"/>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69</Pages>
  <Words>34401</Words>
  <Characters>36571</Characters>
  <Lines>247</Lines>
  <Paragraphs>69</Paragraphs>
  <TotalTime>11</TotalTime>
  <ScaleCrop>false</ScaleCrop>
  <LinksUpToDate>false</LinksUpToDate>
  <CharactersWithSpaces>40763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2019-03-17T14:15:00Z</dcterms:created>
  <dc:creator>刘鹏13926933340</dc:creator>
  <cp:lastModifiedBy>郭桂好</cp:lastModifiedBy>
  <cp:lastPrinted>2020-07-17T11:43:00Z</cp:lastPrinted>
  <dcterms:modified xsi:type="dcterms:W3CDTF">2023-09-08T06:29:29Z</dcterms:modified>
  <dc:title>珠海市竞争性磋商采购文件（服务类）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8EF4C1C988BD45A7AF0EC1C893B908E8_13</vt:lpwstr>
  </property>
</Properties>
</file>