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2940" w:leftChars="0" w:right="0" w:firstLine="420" w:firstLineChars="0"/>
        <w:jc w:val="both"/>
        <w:rPr>
          <w:rFonts w:hint="eastAsia" w:ascii="微软雅黑" w:hAnsi="微软雅黑" w:eastAsia="微软雅黑" w:cs="微软雅黑"/>
          <w:i w:val="0"/>
          <w:iCs w:val="0"/>
          <w:caps w:val="0"/>
          <w:color w:val="000000"/>
          <w:spacing w:val="0"/>
          <w:sz w:val="24"/>
          <w:szCs w:val="24"/>
        </w:rPr>
      </w:pPr>
      <w:r>
        <w:rPr>
          <w:rStyle w:val="4"/>
          <w:rFonts w:hint="default" w:ascii="仿宋_GB2312" w:hAnsi="微软雅黑" w:eastAsia="仿宋_GB2312" w:cs="仿宋_GB2312"/>
          <w:b/>
          <w:bCs/>
          <w:i w:val="0"/>
          <w:iCs w:val="0"/>
          <w:caps w:val="0"/>
          <w:color w:val="000000"/>
          <w:spacing w:val="0"/>
          <w:sz w:val="36"/>
          <w:szCs w:val="36"/>
          <w:shd w:val="clear" w:fill="FFFFFF"/>
        </w:rPr>
        <w:t>技术服务要求</w:t>
      </w:r>
    </w:p>
    <w:p>
      <w:pPr>
        <w:pStyle w:val="2"/>
        <w:widowControl/>
        <w:spacing w:before="50" w:beforeAutospacing="0" w:after="50" w:afterAutospacing="0"/>
        <w:rPr>
          <w:rFonts w:hint="eastAsia" w:ascii="宋体" w:hAnsi="宋体" w:eastAsia="宋体" w:cs="宋体"/>
        </w:rPr>
      </w:pPr>
    </w:p>
    <w:p>
      <w:pPr>
        <w:pStyle w:val="2"/>
        <w:widowControl/>
        <w:spacing w:before="50" w:beforeAutospacing="0" w:after="50" w:afterAutospacing="0"/>
        <w:rPr>
          <w:rFonts w:hint="eastAsia" w:ascii="宋体" w:hAnsi="宋体"/>
          <w:color w:val="000000"/>
        </w:rPr>
      </w:pPr>
    </w:p>
    <w:p>
      <w:pPr>
        <w:pStyle w:val="2"/>
        <w:widowControl/>
        <w:numPr>
          <w:ilvl w:val="0"/>
          <w:numId w:val="1"/>
        </w:numPr>
        <w:spacing w:beforeAutospacing="0" w:afterAutospacing="0" w:line="360" w:lineRule="auto"/>
        <w:rPr>
          <w:rStyle w:val="4"/>
          <w:rFonts w:ascii="宋体" w:hAnsi="宋体" w:eastAsia="宋体" w:cs="宋体"/>
          <w:bCs/>
        </w:rPr>
      </w:pPr>
      <w:r>
        <w:rPr>
          <w:rFonts w:hint="eastAsia" w:ascii="宋体" w:hAnsi="宋体" w:eastAsia="宋体" w:cs="宋体"/>
          <w:b/>
          <w:bCs/>
        </w:rPr>
        <w:t>技术和服务要求</w:t>
      </w:r>
      <w:r>
        <w:rPr>
          <w:rStyle w:val="4"/>
          <w:rFonts w:hint="eastAsia" w:ascii="宋体" w:hAnsi="宋体" w:eastAsia="宋体" w:cs="宋体"/>
          <w:bCs/>
        </w:rPr>
        <w:t>（以“★”标示的内容为不允许负偏离的实质性要求）</w:t>
      </w:r>
    </w:p>
    <w:p>
      <w:pPr>
        <w:spacing w:line="360" w:lineRule="auto"/>
        <w:ind w:firstLine="482" w:firstLineChars="200"/>
        <w:rPr>
          <w:rFonts w:ascii="宋体" w:hAnsi="宋体" w:eastAsia="宋体" w:cs="宋体"/>
          <w:b/>
          <w:bCs/>
          <w:color w:val="000000"/>
          <w:sz w:val="24"/>
        </w:rPr>
      </w:pPr>
      <w:r>
        <w:rPr>
          <w:rFonts w:hint="eastAsia" w:ascii="宋体" w:hAnsi="宋体" w:eastAsia="宋体" w:cs="宋体"/>
          <w:b/>
          <w:bCs/>
          <w:color w:val="000000"/>
          <w:sz w:val="24"/>
        </w:rPr>
        <w:t>（1）技术服务要求</w:t>
      </w:r>
    </w:p>
    <w:p>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运维工作主要由以下几个方面构成：</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宋体" w:hAnsi="宋体" w:eastAsia="宋体" w:cs="宋体"/>
          <w:color w:val="000000"/>
          <w:sz w:val="24"/>
        </w:rPr>
      </w:pPr>
      <w:r>
        <w:rPr>
          <w:rFonts w:hint="eastAsia" w:ascii="宋体" w:hAnsi="宋体" w:eastAsia="宋体" w:cs="宋体"/>
          <w:color w:val="000000"/>
          <w:sz w:val="24"/>
          <w:lang w:val="en-US" w:eastAsia="zh-CN"/>
        </w:rPr>
        <w:t>1.</w:t>
      </w:r>
      <w:r>
        <w:rPr>
          <w:rFonts w:hint="eastAsia" w:ascii="宋体" w:hAnsi="宋体" w:eastAsia="宋体" w:cs="宋体"/>
          <w:color w:val="000000"/>
          <w:sz w:val="24"/>
        </w:rPr>
        <w:t>视频监控系统：台江区人民法院共有视频监控摄像机，NVR存储主机、中心管理服务器、视频监控平台管理软件等软硬件设备。根据工作需要，维护单位需要进行有关系统软硬件的日常巡检维护工作和相关设备的操作辅助工作，同时需编制相关维护文档。</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宋体" w:hAnsi="宋体" w:eastAsia="宋体" w:cs="宋体"/>
          <w:color w:val="000000"/>
          <w:sz w:val="24"/>
        </w:rPr>
      </w:pPr>
      <w:r>
        <w:rPr>
          <w:rFonts w:hint="eastAsia" w:ascii="宋体" w:hAnsi="宋体" w:eastAsia="宋体" w:cs="宋体"/>
          <w:color w:val="000000"/>
          <w:sz w:val="24"/>
          <w:lang w:val="en-US" w:eastAsia="zh-CN"/>
        </w:rPr>
        <w:t>2.</w:t>
      </w:r>
      <w:r>
        <w:rPr>
          <w:rFonts w:hint="eastAsia" w:ascii="宋体" w:hAnsi="宋体" w:eastAsia="宋体" w:cs="宋体"/>
          <w:color w:val="000000"/>
          <w:sz w:val="24"/>
        </w:rPr>
        <w:t>综合布线系统：维护单位需要进行有关系统软硬件的日常巡检维护工作和相关设备的操作辅助工作，同时需编制相关维护文档，包括但不限于配线架与墙面端口的对照表、端口通断情况、楼层配线间配线架理线和机房配线架理与交换机连接路由表、标签标示修复、断线或线路不通等故障检修。</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宋体" w:hAnsi="宋体" w:eastAsia="宋体" w:cs="宋体"/>
          <w:color w:val="000000"/>
          <w:sz w:val="24"/>
        </w:rPr>
      </w:pPr>
      <w:r>
        <w:rPr>
          <w:rFonts w:hint="eastAsia" w:ascii="宋体" w:hAnsi="宋体" w:eastAsia="宋体" w:cs="宋体"/>
          <w:color w:val="000000"/>
          <w:sz w:val="24"/>
          <w:lang w:val="en-US" w:eastAsia="zh-CN"/>
        </w:rPr>
        <w:t>3.</w:t>
      </w:r>
      <w:r>
        <w:rPr>
          <w:rFonts w:hint="eastAsia" w:ascii="宋体" w:hAnsi="宋体" w:eastAsia="宋体" w:cs="宋体"/>
          <w:color w:val="000000"/>
          <w:sz w:val="24"/>
        </w:rPr>
        <w:t>门禁管理系统：台江区人民法院门禁系统分别安装各楼层通道、机房等重要位置。根据工作需要，维护单位需要进行有关系统软硬件的日常巡检维护工作和相关设备的操作辅助工作，同时需编制相关维护文档。</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宋体" w:hAnsi="宋体" w:eastAsia="宋体" w:cs="宋体"/>
          <w:color w:val="000000"/>
          <w:sz w:val="24"/>
        </w:rPr>
      </w:pPr>
      <w:r>
        <w:rPr>
          <w:rFonts w:hint="eastAsia" w:ascii="宋体" w:hAnsi="宋体" w:eastAsia="宋体" w:cs="宋体"/>
          <w:color w:val="000000"/>
          <w:sz w:val="24"/>
          <w:lang w:val="en-US" w:eastAsia="zh-CN"/>
        </w:rPr>
        <w:t>4.</w:t>
      </w:r>
      <w:r>
        <w:rPr>
          <w:rFonts w:hint="eastAsia" w:ascii="宋体" w:hAnsi="宋体" w:eastAsia="宋体" w:cs="宋体"/>
          <w:color w:val="000000"/>
          <w:sz w:val="24"/>
        </w:rPr>
        <w:t>计算机网络管理及办公系统：台江区人民法院共配备了台式计算机、便携式计算机、打印机、复印机、传真机等信息化办公设备，内网节点，政务网节点，外网节点，语音节点，接入层交换机，服务器交换机，核心交换机，网络安全设备等设备。根据工作需要，维护单位需要进行有关系统软硬件的日常巡检维护工作和相关设备的操作辅助工作，同时需编制相关维护文档。</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宋体" w:hAnsi="宋体" w:eastAsia="宋体" w:cs="宋体"/>
          <w:color w:val="000000"/>
          <w:sz w:val="24"/>
        </w:rPr>
      </w:pPr>
      <w:r>
        <w:rPr>
          <w:rFonts w:hint="eastAsia" w:ascii="宋体" w:hAnsi="宋体" w:eastAsia="宋体" w:cs="宋体"/>
          <w:color w:val="000000"/>
          <w:sz w:val="24"/>
          <w:lang w:val="en-US" w:eastAsia="zh-CN"/>
        </w:rPr>
        <w:t>5.</w:t>
      </w:r>
      <w:r>
        <w:rPr>
          <w:rFonts w:hint="eastAsia" w:ascii="宋体" w:hAnsi="宋体" w:eastAsia="宋体" w:cs="宋体"/>
          <w:color w:val="000000"/>
          <w:sz w:val="24"/>
        </w:rPr>
        <w:t>程控电话管理系统：台江区人民法院配备了一台大型程控电话主机、语音网关等设备。根据工作需要，维护单位需要进行有关系统软硬件的日常巡检维护工作和相关设备的操作辅助工作，同时需编制相关维护文档。</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宋体" w:hAnsi="宋体" w:eastAsia="宋体" w:cs="宋体"/>
          <w:color w:val="000000"/>
          <w:sz w:val="24"/>
        </w:rPr>
      </w:pPr>
      <w:r>
        <w:rPr>
          <w:rFonts w:hint="eastAsia" w:ascii="宋体" w:hAnsi="宋体" w:eastAsia="宋体" w:cs="宋体"/>
          <w:color w:val="000000"/>
          <w:sz w:val="24"/>
          <w:lang w:val="en-US" w:eastAsia="zh-CN"/>
        </w:rPr>
        <w:t>6.</w:t>
      </w:r>
      <w:r>
        <w:rPr>
          <w:rFonts w:hint="eastAsia" w:ascii="宋体" w:hAnsi="宋体" w:eastAsia="宋体" w:cs="宋体"/>
          <w:color w:val="000000"/>
          <w:sz w:val="24"/>
        </w:rPr>
        <w:t>机房管理系统：台江区人民法院中心机房，机房内安装了不间断电源系统、精密空调、机房场地监控系统及大楼内所有系统的服务器、核心交换机等设备。同时机房内核心设备上安装有法院现建有视频监控管理平台、科技法庭管理平台等多个应用管理平台等应用服器及相关应用软件进行维护。根据工作需要，维护单位需要进行有关系统软硬件的日常巡检维护工作和相关设备的操作辅助工作，发生故障及时派员排除故障，同时需编制相关维护文档。</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宋体" w:hAnsi="宋体" w:eastAsia="宋体" w:cs="宋体"/>
          <w:color w:val="000000"/>
          <w:sz w:val="24"/>
        </w:rPr>
      </w:pPr>
      <w:r>
        <w:rPr>
          <w:rFonts w:hint="eastAsia" w:ascii="宋体" w:hAnsi="宋体" w:eastAsia="宋体" w:cs="宋体"/>
          <w:color w:val="000000"/>
          <w:sz w:val="24"/>
          <w:lang w:val="en-US" w:eastAsia="zh-CN"/>
        </w:rPr>
        <w:t>7.</w:t>
      </w:r>
      <w:r>
        <w:rPr>
          <w:rFonts w:hint="eastAsia" w:ascii="宋体" w:hAnsi="宋体" w:eastAsia="宋体" w:cs="宋体"/>
          <w:color w:val="000000"/>
          <w:sz w:val="24"/>
        </w:rPr>
        <w:t>多媒体会议/音视频系统：台江区人民法院普通会议室、审委会会议室、视频会议设备。会议室内安装了高清视频终端、音视频矩阵、视频会议专用摄像机、音箱、功放等设备。根据工作需要，维护单位需要进行有关系统软硬件的日常巡检维护工作和相关设备的操作辅助工作，同时需编制相关维护文档。</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宋体" w:hAnsi="宋体" w:eastAsia="宋体" w:cs="宋体"/>
          <w:color w:val="000000"/>
          <w:sz w:val="24"/>
        </w:rPr>
      </w:pPr>
      <w:r>
        <w:rPr>
          <w:rFonts w:hint="eastAsia" w:ascii="宋体" w:hAnsi="宋体" w:eastAsia="宋体" w:cs="宋体"/>
          <w:color w:val="000000"/>
          <w:sz w:val="24"/>
          <w:lang w:val="en-US" w:eastAsia="zh-CN"/>
        </w:rPr>
        <w:t>8.</w:t>
      </w:r>
      <w:r>
        <w:rPr>
          <w:rFonts w:hint="eastAsia" w:ascii="宋体" w:hAnsi="宋体" w:eastAsia="宋体" w:cs="宋体"/>
          <w:color w:val="000000"/>
          <w:sz w:val="24"/>
        </w:rPr>
        <w:t>科技法庭系统：台江区人民法院高清科技法庭系统。根据庭审工作需要，在重要案件庭审保障时，维护单位必须提供一台核心设备（庭审主机）的备机，还需要进行有关系统软硬件的日常巡检维护工作和相关设备的操作辅助工作，同时需编制相关维护文档。</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宋体" w:hAnsi="宋体" w:eastAsia="宋体" w:cs="宋体"/>
          <w:color w:val="000000"/>
          <w:sz w:val="24"/>
        </w:rPr>
      </w:pPr>
      <w:r>
        <w:rPr>
          <w:rFonts w:hint="eastAsia" w:ascii="宋体" w:hAnsi="宋体" w:eastAsia="宋体" w:cs="宋体"/>
          <w:color w:val="000000"/>
          <w:sz w:val="24"/>
          <w:lang w:val="en-US" w:eastAsia="zh-CN"/>
        </w:rPr>
        <w:t>9.</w:t>
      </w:r>
      <w:r>
        <w:rPr>
          <w:rFonts w:hint="eastAsia" w:ascii="宋体" w:hAnsi="宋体" w:eastAsia="宋体" w:cs="宋体"/>
          <w:color w:val="000000"/>
          <w:sz w:val="24"/>
        </w:rPr>
        <w:t xml:space="preserve">语音识别系统：台江区人民法院语音识别系统。根据工作需要，所有高清科技法庭及数字审委会都配备了智能语音识别系统，需要进行有关系统软硬件的日常巡检维护工作和相关设备的操作辅助工作，同时需编制相关维护文档。 </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000000"/>
          <w:sz w:val="24"/>
        </w:rPr>
      </w:pPr>
      <w:r>
        <w:rPr>
          <w:rFonts w:hint="eastAsia" w:ascii="宋体" w:hAnsi="宋体" w:eastAsia="宋体" w:cs="宋体"/>
          <w:color w:val="000000"/>
          <w:sz w:val="24"/>
          <w:lang w:val="en-US" w:eastAsia="zh-CN"/>
        </w:rPr>
        <w:t>10.</w:t>
      </w:r>
      <w:r>
        <w:rPr>
          <w:rFonts w:hint="eastAsia" w:ascii="宋体" w:hAnsi="宋体" w:eastAsia="宋体" w:cs="宋体"/>
          <w:color w:val="000000"/>
          <w:sz w:val="24"/>
        </w:rPr>
        <w:t>集控中心系统：集控中心位于台江区人民法院7楼，中心内液晶拼接屏及相关音视频控制设备。根据工作需要，维护单位需要进行有关系统软硬件的日常巡检维护工作和相关设备的操作辅助工作，同时需编制相关维护文档。</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000000"/>
          <w:sz w:val="24"/>
        </w:rPr>
      </w:pPr>
      <w:r>
        <w:rPr>
          <w:rFonts w:hint="eastAsia" w:ascii="宋体" w:hAnsi="宋体" w:eastAsia="宋体" w:cs="宋体"/>
          <w:color w:val="000000"/>
          <w:sz w:val="24"/>
          <w:lang w:val="en-US" w:eastAsia="zh-CN"/>
        </w:rPr>
        <w:t>11.</w:t>
      </w:r>
      <w:r>
        <w:rPr>
          <w:rFonts w:hint="eastAsia" w:ascii="宋体" w:hAnsi="宋体" w:eastAsia="宋体" w:cs="宋体"/>
          <w:color w:val="000000"/>
          <w:sz w:val="24"/>
        </w:rPr>
        <w:t>数字审委会系统：台江区人民法院9楼数字审委会系统。维护单位需要进行有关系统软硬件的日常巡检维护工作和相关设备的操作辅助工作，同时需编制相关维护文档。</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000000"/>
          <w:sz w:val="24"/>
        </w:rPr>
      </w:pPr>
      <w:r>
        <w:rPr>
          <w:rFonts w:hint="eastAsia" w:ascii="宋体" w:hAnsi="宋体" w:eastAsia="宋体" w:cs="宋体"/>
          <w:color w:val="000000"/>
          <w:sz w:val="24"/>
          <w:lang w:val="en-US" w:eastAsia="zh-CN"/>
        </w:rPr>
        <w:t>12.</w:t>
      </w:r>
      <w:r>
        <w:rPr>
          <w:rFonts w:hint="eastAsia" w:ascii="宋体" w:hAnsi="宋体" w:eastAsia="宋体" w:cs="宋体"/>
          <w:color w:val="000000"/>
          <w:sz w:val="24"/>
        </w:rPr>
        <w:t>信息化设备、信息化系统等信息化项目设备统计工作，包含各类信息化统计数据的收集等工作，辅助完成上级单位交办的信息化安全、信息统计等相关信息化工作。</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000000"/>
          <w:sz w:val="24"/>
        </w:rPr>
      </w:pPr>
      <w:r>
        <w:rPr>
          <w:rFonts w:hint="eastAsia" w:ascii="宋体" w:hAnsi="宋体" w:eastAsia="宋体" w:cs="宋体"/>
          <w:color w:val="000000"/>
          <w:sz w:val="24"/>
          <w:lang w:val="en-US" w:eastAsia="zh-CN"/>
        </w:rPr>
        <w:t>13.</w:t>
      </w:r>
      <w:r>
        <w:rPr>
          <w:rFonts w:hint="eastAsia" w:ascii="宋体" w:hAnsi="宋体" w:eastAsia="宋体" w:cs="宋体"/>
          <w:color w:val="000000"/>
          <w:sz w:val="24"/>
        </w:rPr>
        <w:t>运维服务即将到期前需与后续运维人员进行至少为期一个月的信息化运维培训交接工作。</w:t>
      </w:r>
    </w:p>
    <w:p>
      <w:pPr>
        <w:numPr>
          <w:ilvl w:val="0"/>
          <w:numId w:val="2"/>
        </w:numPr>
        <w:spacing w:line="360" w:lineRule="auto"/>
        <w:ind w:firstLine="482" w:firstLineChars="200"/>
        <w:rPr>
          <w:rFonts w:ascii="宋体" w:hAnsi="宋体" w:eastAsia="宋体" w:cs="宋体"/>
          <w:b/>
          <w:bCs/>
          <w:color w:val="000000"/>
          <w:sz w:val="24"/>
        </w:rPr>
      </w:pPr>
      <w:r>
        <w:rPr>
          <w:rFonts w:hint="eastAsia" w:ascii="宋体" w:hAnsi="宋体" w:eastAsia="宋体" w:cs="宋体"/>
          <w:b/>
          <w:bCs/>
          <w:color w:val="000000"/>
          <w:sz w:val="24"/>
        </w:rPr>
        <w:t>人员要求</w:t>
      </w:r>
    </w:p>
    <w:p>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★1.信息化运维外包服务采用1+1运行模式，服务期限：1年。暨长期驻点人员1名，遇重要或特殊情况需增派人员的额外派驻1名人员到场实施信息化运维。</w:t>
      </w:r>
    </w:p>
    <w:p>
      <w:pPr>
        <w:numPr>
          <w:ilvl w:val="0"/>
          <w:numId w:val="3"/>
        </w:num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驻点人员资质要求：</w:t>
      </w:r>
      <w:r>
        <w:rPr>
          <w:rFonts w:hint="eastAsia" w:ascii="宋体" w:hAnsi="宋体" w:eastAsia="宋体" w:cs="宋体"/>
          <w:sz w:val="24"/>
        </w:rPr>
        <w:t xml:space="preserve"> 教育部批准的高等学校，计算机、工程类、通信等相关专业本科及以上学历；有三年以上IT管理经验；</w:t>
      </w:r>
      <w:r>
        <w:rPr>
          <w:rFonts w:hint="eastAsia" w:ascii="宋体" w:hAnsi="宋体" w:eastAsia="宋体" w:cs="宋体"/>
          <w:color w:val="000000"/>
          <w:sz w:val="24"/>
        </w:rPr>
        <w:t>熟知各个运行维护岗位的工作和特点；熟悉IT项目管理；熟悉运行维护服务相关标准，如：ITIL、ISO20000等；熟悉运行维护流程的制定、执行、优化与改进等过程；熟悉法院业务流程；具备较强的公文写作能力；具备较好的沟通能力；具有工作责任心；具有很强的服务意识。</w:t>
      </w:r>
    </w:p>
    <w:p>
      <w:pPr>
        <w:numPr>
          <w:ilvl w:val="0"/>
          <w:numId w:val="3"/>
        </w:num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二线支持人员的能力资质不得低于上述长驻人员。法院有重大信息化运维要求及发生重大故障急需排除故障时，需及时派二线人员进驻进行运维/排除故障。</w:t>
      </w:r>
    </w:p>
    <w:p>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★4.中标人禁止将本项目进行分包或者转包，驻点人员必须为中标公司正式员工。</w:t>
      </w:r>
    </w:p>
    <w:p>
      <w:pPr>
        <w:spacing w:line="360" w:lineRule="auto"/>
        <w:ind w:firstLine="480" w:firstLineChars="200"/>
        <w:rPr>
          <w:rStyle w:val="4"/>
          <w:rFonts w:ascii="宋体" w:hAnsi="宋体" w:eastAsia="宋体" w:cs="宋体"/>
          <w:bCs/>
          <w:sz w:val="24"/>
        </w:rPr>
      </w:pPr>
      <w:r>
        <w:rPr>
          <w:rFonts w:hint="eastAsia" w:ascii="宋体" w:hAnsi="宋体" w:eastAsia="宋体" w:cs="宋体"/>
          <w:color w:val="000000"/>
          <w:sz w:val="24"/>
        </w:rPr>
        <w:t>★5.</w:t>
      </w:r>
      <w:r>
        <w:rPr>
          <w:rFonts w:hint="eastAsia" w:ascii="宋体" w:hAnsi="宋体" w:eastAsia="宋体" w:cs="宋体"/>
          <w:color w:val="000000"/>
          <w:sz w:val="24"/>
          <w:lang w:eastAsia="zh-CN"/>
        </w:rPr>
        <w:t>报价方</w:t>
      </w:r>
      <w:r>
        <w:rPr>
          <w:rFonts w:hint="eastAsia" w:ascii="宋体" w:hAnsi="宋体" w:eastAsia="宋体" w:cs="宋体"/>
          <w:color w:val="000000"/>
          <w:sz w:val="24"/>
        </w:rPr>
        <w:t>在招标文件中应对长驻人员进行实质性响应，提供一名本项目长驻项目工程师人员名单及联系方式，招标文件上列明长驻人员应为实际现场服务技术人员。派驻人员</w:t>
      </w:r>
      <w:r>
        <w:rPr>
          <w:rFonts w:hint="eastAsia" w:ascii="宋体" w:hAnsi="宋体" w:eastAsia="宋体" w:cs="宋体"/>
          <w:color w:val="000000"/>
          <w:sz w:val="24"/>
          <w:lang w:val="en-US" w:eastAsia="zh-CN"/>
        </w:rPr>
        <w:t>需要通过客户方面试合格，方可入场。</w:t>
      </w:r>
      <w:bookmarkStart w:id="0" w:name="_GoBack"/>
      <w:bookmarkEnd w:id="0"/>
      <w:r>
        <w:rPr>
          <w:rFonts w:hint="eastAsia" w:ascii="宋体" w:hAnsi="宋体" w:eastAsia="宋体" w:cs="宋体"/>
          <w:color w:val="000000"/>
          <w:sz w:val="24"/>
        </w:rPr>
        <w:t>派驻人员在项目执行过程中一年内不得更换，中标方如有特殊原因需要调换派驻人员的，需事先征得台江区人民法院同意，若现场服务人员无法满足我院服务要求，需按照我院要求更换人员。若未经过同意发生人员变更（离场）情况，可扣除运维服务费用。</w:t>
      </w:r>
    </w:p>
    <w:p>
      <w:pPr>
        <w:pStyle w:val="2"/>
        <w:widowControl/>
        <w:spacing w:before="50" w:beforeAutospacing="0" w:after="50" w:afterAutospacing="0"/>
        <w:rPr>
          <w:rFonts w:ascii="宋体" w:hAnsi="宋体" w:eastAsia="宋体" w:cs="宋体"/>
        </w:rPr>
      </w:pPr>
    </w:p>
    <w:p>
      <w:pPr>
        <w:pStyle w:val="2"/>
        <w:widowControl/>
        <w:spacing w:before="50" w:beforeAutospacing="0" w:after="50" w:afterAutospacing="0"/>
      </w:pPr>
      <w:r>
        <w:rPr>
          <w:rFonts w:hint="eastAsia" w:ascii="宋体" w:hAnsi="宋体" w:eastAsia="宋体" w:cs="宋体"/>
          <w:lang w:val="en-US" w:eastAsia="zh-CN"/>
        </w:rPr>
        <w:t>二</w:t>
      </w:r>
      <w:r>
        <w:rPr>
          <w:rFonts w:hint="eastAsia" w:ascii="宋体" w:hAnsi="宋体" w:eastAsia="宋体" w:cs="宋体"/>
        </w:rPr>
        <w:t>、商务条件</w:t>
      </w:r>
      <w:r>
        <w:rPr>
          <w:rStyle w:val="4"/>
          <w:rFonts w:hint="eastAsia" w:ascii="宋体" w:hAnsi="宋体" w:eastAsia="宋体" w:cs="宋体"/>
          <w:bCs/>
        </w:rPr>
        <w:t>（以“★”标示的内容为不允许负偏离的实质性要求）</w:t>
      </w:r>
    </w:p>
    <w:p>
      <w:pPr>
        <w:pStyle w:val="2"/>
        <w:widowControl/>
        <w:spacing w:before="50" w:beforeAutospacing="0" w:after="50" w:afterAutospacing="0"/>
      </w:pPr>
      <w:r>
        <w:rPr>
          <w:rStyle w:val="4"/>
          <w:rFonts w:hint="eastAsia" w:ascii="宋体" w:hAnsi="宋体" w:eastAsia="宋体" w:cs="宋体"/>
          <w:bCs/>
        </w:rPr>
        <w:t>包：1</w:t>
      </w:r>
      <w:r>
        <w:rPr>
          <w:rStyle w:val="4"/>
          <w:rFonts w:hint="eastAsia" w:ascii="宋体" w:hAnsi="宋体" w:eastAsia="宋体" w:cs="宋体"/>
          <w:bCs/>
        </w:rPr>
        <w:br w:type="textWrapping"/>
      </w:r>
      <w:r>
        <w:rPr>
          <w:rStyle w:val="4"/>
          <w:rFonts w:hint="eastAsia" w:ascii="宋体" w:hAnsi="宋体" w:eastAsia="宋体" w:cs="宋体"/>
          <w:bCs/>
        </w:rPr>
        <w:t>1、交付地点：福建省福州市台江区广达路89号</w:t>
      </w:r>
      <w:r>
        <w:rPr>
          <w:rStyle w:val="4"/>
          <w:rFonts w:hint="eastAsia" w:ascii="宋体" w:hAnsi="宋体" w:eastAsia="宋体" w:cs="宋体"/>
          <w:bCs/>
        </w:rPr>
        <w:br w:type="textWrapping"/>
      </w:r>
      <w:r>
        <w:rPr>
          <w:rStyle w:val="4"/>
          <w:rFonts w:hint="eastAsia" w:ascii="宋体" w:hAnsi="宋体" w:eastAsia="宋体" w:cs="宋体"/>
          <w:bCs/>
        </w:rPr>
        <w:t>2、交付时间：合同签订后 (15 ) 天内进场服务</w:t>
      </w:r>
      <w:r>
        <w:rPr>
          <w:rStyle w:val="4"/>
          <w:rFonts w:hint="eastAsia" w:ascii="宋体" w:hAnsi="宋体" w:eastAsia="宋体" w:cs="宋体"/>
          <w:bCs/>
        </w:rPr>
        <w:br w:type="textWrapping"/>
      </w:r>
      <w:r>
        <w:rPr>
          <w:rStyle w:val="4"/>
          <w:rFonts w:hint="eastAsia" w:ascii="宋体" w:hAnsi="宋体" w:eastAsia="宋体" w:cs="宋体"/>
          <w:bCs/>
        </w:rPr>
        <w:t>3、交付条件：验收合格后</w:t>
      </w:r>
      <w:r>
        <w:rPr>
          <w:rStyle w:val="4"/>
          <w:rFonts w:hint="eastAsia" w:ascii="宋体" w:hAnsi="宋体" w:eastAsia="宋体" w:cs="宋体"/>
          <w:bCs/>
        </w:rPr>
        <w:br w:type="textWrapping"/>
      </w:r>
      <w:r>
        <w:rPr>
          <w:rStyle w:val="4"/>
          <w:rFonts w:hint="eastAsia" w:ascii="宋体" w:hAnsi="宋体" w:eastAsia="宋体" w:cs="宋体"/>
          <w:bCs/>
        </w:rPr>
        <w:t>4、是否收取履约保证金：否</w:t>
      </w:r>
      <w:r>
        <w:rPr>
          <w:rStyle w:val="4"/>
          <w:rFonts w:hint="eastAsia" w:ascii="宋体" w:hAnsi="宋体" w:eastAsia="宋体" w:cs="宋体"/>
          <w:bCs/>
        </w:rPr>
        <w:br w:type="textWrapping"/>
      </w:r>
      <w:r>
        <w:rPr>
          <w:rStyle w:val="4"/>
          <w:rFonts w:hint="eastAsia" w:ascii="宋体" w:hAnsi="宋体" w:eastAsia="宋体" w:cs="宋体"/>
          <w:bCs/>
        </w:rPr>
        <w:t>5、是否邀请</w:t>
      </w:r>
      <w:r>
        <w:rPr>
          <w:rStyle w:val="4"/>
          <w:rFonts w:hint="eastAsia" w:ascii="宋体" w:hAnsi="宋体" w:eastAsia="宋体" w:cs="宋体"/>
          <w:bCs/>
          <w:lang w:eastAsia="zh-CN"/>
        </w:rPr>
        <w:t>报价方</w:t>
      </w:r>
      <w:r>
        <w:rPr>
          <w:rStyle w:val="4"/>
          <w:rFonts w:hint="eastAsia" w:ascii="宋体" w:hAnsi="宋体" w:eastAsia="宋体" w:cs="宋体"/>
          <w:bCs/>
        </w:rPr>
        <w:t>参与验收：否</w:t>
      </w:r>
      <w:r>
        <w:rPr>
          <w:rStyle w:val="4"/>
          <w:rFonts w:hint="eastAsia" w:ascii="宋体" w:hAnsi="宋体" w:eastAsia="宋体" w:cs="宋体"/>
          <w:bCs/>
        </w:rPr>
        <w:br w:type="textWrapping"/>
      </w:r>
      <w:r>
        <w:rPr>
          <w:rStyle w:val="4"/>
          <w:rFonts w:hint="eastAsia" w:ascii="宋体" w:hAnsi="宋体" w:eastAsia="宋体" w:cs="宋体"/>
          <w:bCs/>
        </w:rPr>
        <w:t>6、验收方式数据表格</w:t>
      </w:r>
    </w:p>
    <w:tbl>
      <w:tblPr>
        <w:tblStyle w:val="5"/>
        <w:tblW w:w="8316" w:type="dxa"/>
        <w:tblInd w:w="0" w:type="dxa"/>
        <w:tblBorders>
          <w:top w:val="outset" w:color="666666" w:sz="4" w:space="0"/>
          <w:left w:val="outset" w:color="666666" w:sz="4" w:space="0"/>
          <w:bottom w:val="outset" w:color="666666" w:sz="4" w:space="0"/>
          <w:right w:val="outset" w:color="666666" w:sz="4" w:space="0"/>
          <w:insideH w:val="outset" w:color="auto" w:sz="6" w:space="0"/>
          <w:insideV w:val="outset" w:color="auto" w:sz="6" w:space="0"/>
        </w:tblBorders>
        <w:tblLayout w:type="fixed"/>
        <w:tblCellMar>
          <w:top w:w="0" w:type="dxa"/>
          <w:left w:w="0" w:type="dxa"/>
          <w:bottom w:w="0" w:type="dxa"/>
          <w:right w:w="0" w:type="dxa"/>
        </w:tblCellMar>
      </w:tblPr>
      <w:tblGrid>
        <w:gridCol w:w="1663"/>
        <w:gridCol w:w="6653"/>
      </w:tblGrid>
      <w:tr>
        <w:tblPrEx>
          <w:tblBorders>
            <w:top w:val="outset" w:color="666666" w:sz="4" w:space="0"/>
            <w:left w:val="outset" w:color="666666" w:sz="4" w:space="0"/>
            <w:bottom w:val="outset" w:color="666666" w:sz="4" w:space="0"/>
            <w:right w:val="outset" w:color="666666" w:sz="4" w:space="0"/>
            <w:insideH w:val="outset" w:color="auto" w:sz="6" w:space="0"/>
            <w:insideV w:val="outset" w:color="auto" w:sz="6" w:space="0"/>
          </w:tblBorders>
          <w:tblLayout w:type="fixed"/>
        </w:tblPrEx>
        <w:trPr>
          <w:tblHeader/>
        </w:trPr>
        <w:tc>
          <w:tcPr>
            <w:tcW w:w="1663" w:type="dxa"/>
            <w:tcBorders>
              <w:top w:val="single" w:color="666666" w:sz="4" w:space="0"/>
              <w:left w:val="single" w:color="666666" w:sz="4" w:space="0"/>
              <w:bottom w:val="single" w:color="666666" w:sz="4" w:space="0"/>
              <w:right w:val="single" w:color="666666" w:sz="4" w:space="0"/>
            </w:tcBorders>
            <w:shd w:val="clear" w:color="auto" w:fill="FFFFFF"/>
            <w:vAlign w:val="center"/>
          </w:tcPr>
          <w:p>
            <w:pPr>
              <w:widowControl/>
              <w:jc w:val="left"/>
            </w:pPr>
            <w:r>
              <w:rPr>
                <w:rFonts w:ascii="宋体" w:hAnsi="宋体" w:eastAsia="宋体" w:cs="宋体"/>
                <w:kern w:val="0"/>
                <w:sz w:val="24"/>
                <w:lang w:bidi="ar"/>
              </w:rPr>
              <w:t>验收期次</w:t>
            </w:r>
          </w:p>
        </w:tc>
        <w:tc>
          <w:tcPr>
            <w:tcW w:w="6653" w:type="dxa"/>
            <w:tcBorders>
              <w:top w:val="single" w:color="666666" w:sz="4" w:space="0"/>
              <w:left w:val="single" w:color="666666" w:sz="4" w:space="0"/>
              <w:bottom w:val="single" w:color="666666" w:sz="4" w:space="0"/>
              <w:right w:val="single" w:color="666666" w:sz="4" w:space="0"/>
            </w:tcBorders>
            <w:shd w:val="clear" w:color="auto" w:fill="FFFFFF"/>
            <w:vAlign w:val="center"/>
          </w:tcPr>
          <w:p>
            <w:pPr>
              <w:widowControl/>
              <w:jc w:val="left"/>
            </w:pPr>
            <w:r>
              <w:rPr>
                <w:rFonts w:ascii="宋体" w:hAnsi="宋体" w:eastAsia="宋体" w:cs="宋体"/>
                <w:kern w:val="0"/>
                <w:sz w:val="24"/>
                <w:lang w:bidi="ar"/>
              </w:rPr>
              <w:t>验收期次说明</w:t>
            </w:r>
          </w:p>
        </w:tc>
      </w:tr>
      <w:tr>
        <w:tblPrEx>
          <w:tblBorders>
            <w:top w:val="outset" w:color="666666" w:sz="4" w:space="0"/>
            <w:left w:val="outset" w:color="666666" w:sz="4" w:space="0"/>
            <w:bottom w:val="outset" w:color="666666" w:sz="4" w:space="0"/>
            <w:right w:val="outset" w:color="666666" w:sz="4" w:space="0"/>
            <w:insideH w:val="outset" w:color="auto" w:sz="6" w:space="0"/>
            <w:insideV w:val="outset" w:color="auto" w:sz="6" w:space="0"/>
          </w:tblBorders>
          <w:tblLayout w:type="fixed"/>
          <w:tblCellMar>
            <w:top w:w="0" w:type="dxa"/>
            <w:left w:w="0" w:type="dxa"/>
            <w:bottom w:w="0" w:type="dxa"/>
            <w:right w:w="0" w:type="dxa"/>
          </w:tblCellMar>
        </w:tblPrEx>
        <w:tc>
          <w:tcPr>
            <w:tcW w:w="1663" w:type="dxa"/>
            <w:tcBorders>
              <w:top w:val="single" w:color="666666" w:sz="4" w:space="0"/>
              <w:left w:val="single" w:color="666666" w:sz="4" w:space="0"/>
              <w:bottom w:val="single" w:color="666666" w:sz="4" w:space="0"/>
              <w:right w:val="single" w:color="666666" w:sz="4" w:space="0"/>
            </w:tcBorders>
            <w:shd w:val="clear" w:color="auto" w:fill="FFFFFF"/>
            <w:vAlign w:val="center"/>
          </w:tcPr>
          <w:p>
            <w:pPr>
              <w:widowControl/>
              <w:jc w:val="left"/>
              <w:rPr>
                <w:rFonts w:hint="eastAsia" w:eastAsiaTheme="minorEastAsia"/>
                <w:lang w:eastAsia="zh-CN"/>
              </w:rPr>
            </w:pPr>
            <w:r>
              <w:rPr>
                <w:rFonts w:hint="eastAsia" w:ascii="宋体" w:hAnsi="宋体" w:eastAsia="宋体" w:cs="宋体"/>
                <w:kern w:val="0"/>
                <w:sz w:val="24"/>
                <w:lang w:val="en-US" w:eastAsia="zh-CN" w:bidi="ar"/>
              </w:rPr>
              <w:t>1</w:t>
            </w:r>
          </w:p>
        </w:tc>
        <w:tc>
          <w:tcPr>
            <w:tcW w:w="6653" w:type="dxa"/>
            <w:tcBorders>
              <w:top w:val="single" w:color="666666" w:sz="4" w:space="0"/>
              <w:left w:val="single" w:color="666666" w:sz="4" w:space="0"/>
              <w:bottom w:val="single" w:color="666666" w:sz="4" w:space="0"/>
              <w:right w:val="single" w:color="666666" w:sz="4" w:space="0"/>
            </w:tcBorders>
            <w:shd w:val="clear" w:color="auto" w:fill="FFFFFF"/>
            <w:vAlign w:val="center"/>
          </w:tcPr>
          <w:p>
            <w:pPr>
              <w:widowControl/>
              <w:jc w:val="left"/>
            </w:pPr>
            <w:r>
              <w:rPr>
                <w:rFonts w:ascii="宋体" w:hAnsi="宋体" w:eastAsia="宋体" w:cs="宋体"/>
                <w:kern w:val="0"/>
                <w:sz w:val="24"/>
                <w:lang w:bidi="ar"/>
              </w:rPr>
              <w:t>根据</w:t>
            </w:r>
            <w:r>
              <w:rPr>
                <w:rFonts w:hint="eastAsia" w:ascii="宋体" w:hAnsi="宋体" w:eastAsia="宋体" w:cs="宋体"/>
                <w:kern w:val="0"/>
                <w:sz w:val="24"/>
                <w:lang w:bidi="ar"/>
              </w:rPr>
              <w:t>招标文件信息化运维服务要求验收</w:t>
            </w:r>
          </w:p>
        </w:tc>
      </w:tr>
    </w:tbl>
    <w:p>
      <w:pPr>
        <w:widowControl/>
        <w:jc w:val="left"/>
      </w:pPr>
      <w:r>
        <w:rPr>
          <w:rStyle w:val="4"/>
          <w:rFonts w:ascii="宋体" w:hAnsi="宋体" w:eastAsia="宋体" w:cs="宋体"/>
          <w:bCs/>
          <w:kern w:val="0"/>
          <w:sz w:val="24"/>
          <w:lang w:bidi="ar"/>
        </w:rPr>
        <w:t>7、支付方式数据表格</w:t>
      </w:r>
    </w:p>
    <w:tbl>
      <w:tblPr>
        <w:tblStyle w:val="5"/>
        <w:tblW w:w="8316" w:type="dxa"/>
        <w:tblInd w:w="0" w:type="dxa"/>
        <w:tblBorders>
          <w:top w:val="outset" w:color="666666" w:sz="4" w:space="0"/>
          <w:left w:val="outset" w:color="666666" w:sz="4" w:space="0"/>
          <w:bottom w:val="outset" w:color="666666" w:sz="4" w:space="0"/>
          <w:right w:val="outset" w:color="666666" w:sz="4" w:space="0"/>
          <w:insideH w:val="outset" w:color="auto" w:sz="6" w:space="0"/>
          <w:insideV w:val="outset" w:color="auto" w:sz="6" w:space="0"/>
        </w:tblBorders>
        <w:tblLayout w:type="fixed"/>
        <w:tblCellMar>
          <w:top w:w="0" w:type="dxa"/>
          <w:left w:w="0" w:type="dxa"/>
          <w:bottom w:w="0" w:type="dxa"/>
          <w:right w:w="0" w:type="dxa"/>
        </w:tblCellMar>
      </w:tblPr>
      <w:tblGrid>
        <w:gridCol w:w="1663"/>
        <w:gridCol w:w="1663"/>
        <w:gridCol w:w="4990"/>
      </w:tblGrid>
      <w:tr>
        <w:tblPrEx>
          <w:tblBorders>
            <w:top w:val="outset" w:color="666666" w:sz="4" w:space="0"/>
            <w:left w:val="outset" w:color="666666" w:sz="4" w:space="0"/>
            <w:bottom w:val="outset" w:color="666666" w:sz="4" w:space="0"/>
            <w:right w:val="outset" w:color="666666" w:sz="4" w:space="0"/>
            <w:insideH w:val="outset" w:color="auto" w:sz="6" w:space="0"/>
            <w:insideV w:val="outset" w:color="auto" w:sz="6" w:space="0"/>
          </w:tblBorders>
          <w:tblLayout w:type="fixed"/>
          <w:tblCellMar>
            <w:top w:w="0" w:type="dxa"/>
            <w:left w:w="0" w:type="dxa"/>
            <w:bottom w:w="0" w:type="dxa"/>
            <w:right w:w="0" w:type="dxa"/>
          </w:tblCellMar>
        </w:tblPrEx>
        <w:trPr>
          <w:tblHeader/>
        </w:trPr>
        <w:tc>
          <w:tcPr>
            <w:tcW w:w="1663" w:type="dxa"/>
            <w:tcBorders>
              <w:top w:val="single" w:color="666666" w:sz="4" w:space="0"/>
              <w:left w:val="single" w:color="666666" w:sz="4" w:space="0"/>
              <w:bottom w:val="single" w:color="666666" w:sz="4" w:space="0"/>
              <w:right w:val="single" w:color="666666" w:sz="4" w:space="0"/>
            </w:tcBorders>
            <w:shd w:val="clear" w:color="auto" w:fill="FFFFFF"/>
            <w:vAlign w:val="center"/>
          </w:tcPr>
          <w:p>
            <w:pPr>
              <w:widowControl/>
              <w:jc w:val="left"/>
            </w:pPr>
            <w:r>
              <w:rPr>
                <w:rFonts w:ascii="宋体" w:hAnsi="宋体" w:eastAsia="宋体" w:cs="宋体"/>
                <w:kern w:val="0"/>
                <w:sz w:val="24"/>
                <w:lang w:bidi="ar"/>
              </w:rPr>
              <w:t>支付期次</w:t>
            </w:r>
          </w:p>
        </w:tc>
        <w:tc>
          <w:tcPr>
            <w:tcW w:w="1663" w:type="dxa"/>
            <w:tcBorders>
              <w:top w:val="single" w:color="666666" w:sz="4" w:space="0"/>
              <w:left w:val="single" w:color="666666" w:sz="4" w:space="0"/>
              <w:bottom w:val="single" w:color="666666" w:sz="4" w:space="0"/>
              <w:right w:val="single" w:color="666666" w:sz="4" w:space="0"/>
            </w:tcBorders>
            <w:shd w:val="clear" w:color="auto" w:fill="FFFFFF"/>
            <w:vAlign w:val="center"/>
          </w:tcPr>
          <w:p>
            <w:pPr>
              <w:widowControl/>
              <w:jc w:val="left"/>
            </w:pPr>
            <w:r>
              <w:rPr>
                <w:rFonts w:ascii="宋体" w:hAnsi="宋体" w:eastAsia="宋体" w:cs="宋体"/>
                <w:kern w:val="0"/>
                <w:sz w:val="24"/>
                <w:lang w:bidi="ar"/>
              </w:rPr>
              <w:t>支付比例(%)</w:t>
            </w:r>
          </w:p>
        </w:tc>
        <w:tc>
          <w:tcPr>
            <w:tcW w:w="4990" w:type="dxa"/>
            <w:tcBorders>
              <w:top w:val="single" w:color="666666" w:sz="4" w:space="0"/>
              <w:left w:val="single" w:color="666666" w:sz="4" w:space="0"/>
              <w:bottom w:val="single" w:color="666666" w:sz="4" w:space="0"/>
              <w:right w:val="single" w:color="666666" w:sz="4" w:space="0"/>
            </w:tcBorders>
            <w:shd w:val="clear" w:color="auto" w:fill="FFFFFF"/>
            <w:vAlign w:val="center"/>
          </w:tcPr>
          <w:p>
            <w:pPr>
              <w:widowControl/>
              <w:jc w:val="left"/>
            </w:pPr>
            <w:r>
              <w:rPr>
                <w:rFonts w:ascii="宋体" w:hAnsi="宋体" w:eastAsia="宋体" w:cs="宋体"/>
                <w:kern w:val="0"/>
                <w:sz w:val="24"/>
                <w:lang w:bidi="ar"/>
              </w:rPr>
              <w:t>支付期次说明</w:t>
            </w:r>
          </w:p>
        </w:tc>
      </w:tr>
      <w:tr>
        <w:tblPrEx>
          <w:tblBorders>
            <w:top w:val="outset" w:color="666666" w:sz="4" w:space="0"/>
            <w:left w:val="outset" w:color="666666" w:sz="4" w:space="0"/>
            <w:bottom w:val="outset" w:color="666666" w:sz="4" w:space="0"/>
            <w:right w:val="outset" w:color="666666" w:sz="4" w:space="0"/>
            <w:insideH w:val="outset" w:color="auto" w:sz="6" w:space="0"/>
            <w:insideV w:val="outset" w:color="auto" w:sz="6" w:space="0"/>
          </w:tblBorders>
          <w:tblLayout w:type="fixed"/>
          <w:tblCellMar>
            <w:top w:w="0" w:type="dxa"/>
            <w:left w:w="0" w:type="dxa"/>
            <w:bottom w:w="0" w:type="dxa"/>
            <w:right w:w="0" w:type="dxa"/>
          </w:tblCellMar>
        </w:tblPrEx>
        <w:tc>
          <w:tcPr>
            <w:tcW w:w="1663" w:type="dxa"/>
            <w:tcBorders>
              <w:top w:val="single" w:color="666666" w:sz="4" w:space="0"/>
              <w:left w:val="single" w:color="666666" w:sz="4" w:space="0"/>
              <w:bottom w:val="single" w:color="666666" w:sz="4" w:space="0"/>
              <w:right w:val="single" w:color="666666" w:sz="4" w:space="0"/>
            </w:tcBorders>
            <w:shd w:val="clear" w:color="auto" w:fill="FFFFFF"/>
            <w:vAlign w:val="center"/>
          </w:tcPr>
          <w:p>
            <w:pPr>
              <w:widowControl/>
              <w:jc w:val="left"/>
            </w:pPr>
            <w:r>
              <w:rPr>
                <w:rFonts w:ascii="宋体" w:hAnsi="宋体" w:eastAsia="宋体" w:cs="宋体"/>
                <w:kern w:val="0"/>
                <w:sz w:val="24"/>
                <w:lang w:bidi="ar"/>
              </w:rPr>
              <w:t>1</w:t>
            </w:r>
          </w:p>
        </w:tc>
        <w:tc>
          <w:tcPr>
            <w:tcW w:w="1663" w:type="dxa"/>
            <w:tcBorders>
              <w:top w:val="single" w:color="666666" w:sz="4" w:space="0"/>
              <w:left w:val="single" w:color="666666" w:sz="4" w:space="0"/>
              <w:bottom w:val="single" w:color="666666" w:sz="4" w:space="0"/>
              <w:right w:val="single" w:color="666666" w:sz="4" w:space="0"/>
            </w:tcBorders>
            <w:shd w:val="clear" w:color="auto" w:fill="FFFFFF"/>
            <w:vAlign w:val="center"/>
          </w:tcPr>
          <w:p>
            <w:pPr>
              <w:widowControl/>
              <w:jc w:val="left"/>
            </w:pPr>
            <w:r>
              <w:rPr>
                <w:rFonts w:ascii="宋体" w:hAnsi="宋体" w:eastAsia="宋体" w:cs="宋体"/>
                <w:kern w:val="0"/>
                <w:sz w:val="24"/>
                <w:lang w:bidi="ar"/>
              </w:rPr>
              <w:t>25</w:t>
            </w:r>
          </w:p>
        </w:tc>
        <w:tc>
          <w:tcPr>
            <w:tcW w:w="4990" w:type="dxa"/>
            <w:tcBorders>
              <w:top w:val="single" w:color="666666" w:sz="4" w:space="0"/>
              <w:left w:val="single" w:color="666666" w:sz="4" w:space="0"/>
              <w:bottom w:val="single" w:color="666666" w:sz="4" w:space="0"/>
              <w:right w:val="single" w:color="666666" w:sz="4" w:space="0"/>
            </w:tcBorders>
            <w:shd w:val="clear" w:color="auto" w:fill="FFFFFF"/>
            <w:vAlign w:val="center"/>
          </w:tcPr>
          <w:p>
            <w:pPr>
              <w:widowControl/>
              <w:jc w:val="left"/>
              <w:rPr>
                <w:rFonts w:ascii="宋体" w:hAnsi="宋体" w:eastAsia="宋体" w:cs="宋体"/>
                <w:sz w:val="24"/>
              </w:rPr>
            </w:pPr>
            <w:r>
              <w:rPr>
                <w:rFonts w:hint="eastAsia" w:ascii="宋体" w:hAnsi="宋体" w:eastAsia="宋体" w:cs="宋体"/>
                <w:sz w:val="24"/>
              </w:rPr>
              <w:t>运</w:t>
            </w:r>
            <w:r>
              <w:rPr>
                <w:rFonts w:hint="eastAsia" w:ascii="宋体" w:hAnsi="宋体" w:eastAsia="宋体" w:cs="宋体"/>
                <w:kern w:val="0"/>
                <w:sz w:val="24"/>
                <w:lang w:bidi="ar"/>
              </w:rPr>
              <w:t>维开始后按季度运维结束后一个月内支付</w:t>
            </w:r>
          </w:p>
        </w:tc>
      </w:tr>
      <w:tr>
        <w:tblPrEx>
          <w:tblBorders>
            <w:top w:val="outset" w:color="666666" w:sz="4" w:space="0"/>
            <w:left w:val="outset" w:color="666666" w:sz="4" w:space="0"/>
            <w:bottom w:val="outset" w:color="666666" w:sz="4" w:space="0"/>
            <w:right w:val="outset" w:color="666666" w:sz="4" w:space="0"/>
            <w:insideH w:val="outset" w:color="auto" w:sz="6" w:space="0"/>
            <w:insideV w:val="outset" w:color="auto" w:sz="6" w:space="0"/>
          </w:tblBorders>
          <w:tblLayout w:type="fixed"/>
          <w:tblCellMar>
            <w:top w:w="0" w:type="dxa"/>
            <w:left w:w="0" w:type="dxa"/>
            <w:bottom w:w="0" w:type="dxa"/>
            <w:right w:w="0" w:type="dxa"/>
          </w:tblCellMar>
        </w:tblPrEx>
        <w:tc>
          <w:tcPr>
            <w:tcW w:w="1663" w:type="dxa"/>
            <w:tcBorders>
              <w:top w:val="single" w:color="666666" w:sz="4" w:space="0"/>
              <w:left w:val="single" w:color="666666" w:sz="4" w:space="0"/>
              <w:bottom w:val="single" w:color="666666" w:sz="4" w:space="0"/>
              <w:right w:val="single" w:color="666666" w:sz="4" w:space="0"/>
            </w:tcBorders>
            <w:shd w:val="clear" w:color="auto" w:fill="FFFFFF"/>
            <w:vAlign w:val="center"/>
          </w:tcPr>
          <w:p>
            <w:pPr>
              <w:widowControl/>
              <w:jc w:val="left"/>
            </w:pPr>
            <w:r>
              <w:rPr>
                <w:rFonts w:ascii="宋体" w:hAnsi="宋体" w:eastAsia="宋体" w:cs="宋体"/>
                <w:kern w:val="0"/>
                <w:sz w:val="24"/>
                <w:lang w:bidi="ar"/>
              </w:rPr>
              <w:t>2</w:t>
            </w:r>
          </w:p>
        </w:tc>
        <w:tc>
          <w:tcPr>
            <w:tcW w:w="1663" w:type="dxa"/>
            <w:tcBorders>
              <w:top w:val="single" w:color="666666" w:sz="4" w:space="0"/>
              <w:left w:val="single" w:color="666666" w:sz="4" w:space="0"/>
              <w:bottom w:val="single" w:color="666666" w:sz="4" w:space="0"/>
              <w:right w:val="single" w:color="666666" w:sz="4" w:space="0"/>
            </w:tcBorders>
            <w:shd w:val="clear" w:color="auto" w:fill="FFFFFF"/>
            <w:vAlign w:val="center"/>
          </w:tcPr>
          <w:p>
            <w:pPr>
              <w:widowControl/>
              <w:jc w:val="left"/>
            </w:pPr>
            <w:r>
              <w:rPr>
                <w:rFonts w:ascii="宋体" w:hAnsi="宋体" w:eastAsia="宋体" w:cs="宋体"/>
                <w:kern w:val="0"/>
                <w:sz w:val="24"/>
                <w:lang w:bidi="ar"/>
              </w:rPr>
              <w:t>25</w:t>
            </w:r>
          </w:p>
        </w:tc>
        <w:tc>
          <w:tcPr>
            <w:tcW w:w="4990" w:type="dxa"/>
            <w:tcBorders>
              <w:top w:val="single" w:color="666666" w:sz="4" w:space="0"/>
              <w:left w:val="single" w:color="666666" w:sz="4" w:space="0"/>
              <w:bottom w:val="single" w:color="666666" w:sz="4" w:space="0"/>
              <w:right w:val="single" w:color="666666" w:sz="4" w:space="0"/>
            </w:tcBorders>
            <w:shd w:val="clear" w:color="auto" w:fill="FFFFFF"/>
            <w:vAlign w:val="center"/>
          </w:tcPr>
          <w:p>
            <w:pPr>
              <w:widowControl/>
              <w:jc w:val="left"/>
              <w:rPr>
                <w:rFonts w:ascii="宋体" w:hAnsi="宋体" w:eastAsia="宋体" w:cs="宋体"/>
                <w:sz w:val="24"/>
              </w:rPr>
            </w:pPr>
            <w:r>
              <w:rPr>
                <w:rFonts w:hint="eastAsia" w:ascii="宋体" w:hAnsi="宋体" w:eastAsia="宋体" w:cs="宋体"/>
                <w:sz w:val="24"/>
              </w:rPr>
              <w:t>运维开始后按季度运维结束后一个月内支付</w:t>
            </w:r>
          </w:p>
        </w:tc>
      </w:tr>
      <w:tr>
        <w:tblPrEx>
          <w:tblBorders>
            <w:top w:val="outset" w:color="666666" w:sz="4" w:space="0"/>
            <w:left w:val="outset" w:color="666666" w:sz="4" w:space="0"/>
            <w:bottom w:val="outset" w:color="666666" w:sz="4" w:space="0"/>
            <w:right w:val="outset" w:color="666666" w:sz="4" w:space="0"/>
            <w:insideH w:val="outset" w:color="auto" w:sz="6" w:space="0"/>
            <w:insideV w:val="outset" w:color="auto" w:sz="6" w:space="0"/>
          </w:tblBorders>
          <w:tblLayout w:type="fixed"/>
          <w:tblCellMar>
            <w:top w:w="0" w:type="dxa"/>
            <w:left w:w="0" w:type="dxa"/>
            <w:bottom w:w="0" w:type="dxa"/>
            <w:right w:w="0" w:type="dxa"/>
          </w:tblCellMar>
        </w:tblPrEx>
        <w:tc>
          <w:tcPr>
            <w:tcW w:w="1663" w:type="dxa"/>
            <w:tcBorders>
              <w:top w:val="single" w:color="666666" w:sz="4" w:space="0"/>
              <w:left w:val="single" w:color="666666" w:sz="4" w:space="0"/>
              <w:bottom w:val="single" w:color="666666" w:sz="4" w:space="0"/>
              <w:right w:val="single" w:color="666666" w:sz="4" w:space="0"/>
            </w:tcBorders>
            <w:shd w:val="clear" w:color="auto" w:fill="FFFFFF"/>
            <w:vAlign w:val="center"/>
          </w:tcPr>
          <w:p>
            <w:pPr>
              <w:widowControl/>
              <w:jc w:val="left"/>
            </w:pPr>
            <w:r>
              <w:rPr>
                <w:rFonts w:ascii="宋体" w:hAnsi="宋体" w:eastAsia="宋体" w:cs="宋体"/>
                <w:kern w:val="0"/>
                <w:sz w:val="24"/>
                <w:lang w:bidi="ar"/>
              </w:rPr>
              <w:t>3</w:t>
            </w:r>
          </w:p>
        </w:tc>
        <w:tc>
          <w:tcPr>
            <w:tcW w:w="1663" w:type="dxa"/>
            <w:tcBorders>
              <w:top w:val="single" w:color="666666" w:sz="4" w:space="0"/>
              <w:left w:val="single" w:color="666666" w:sz="4" w:space="0"/>
              <w:bottom w:val="single" w:color="666666" w:sz="4" w:space="0"/>
              <w:right w:val="single" w:color="666666" w:sz="4" w:space="0"/>
            </w:tcBorders>
            <w:shd w:val="clear" w:color="auto" w:fill="FFFFFF"/>
            <w:vAlign w:val="center"/>
          </w:tcPr>
          <w:p>
            <w:pPr>
              <w:widowControl/>
              <w:jc w:val="left"/>
            </w:pPr>
            <w:r>
              <w:rPr>
                <w:rFonts w:ascii="宋体" w:hAnsi="宋体" w:eastAsia="宋体" w:cs="宋体"/>
                <w:kern w:val="0"/>
                <w:sz w:val="24"/>
                <w:lang w:bidi="ar"/>
              </w:rPr>
              <w:t>25</w:t>
            </w:r>
          </w:p>
        </w:tc>
        <w:tc>
          <w:tcPr>
            <w:tcW w:w="4990" w:type="dxa"/>
            <w:tcBorders>
              <w:top w:val="single" w:color="666666" w:sz="4" w:space="0"/>
              <w:left w:val="single" w:color="666666" w:sz="4" w:space="0"/>
              <w:bottom w:val="single" w:color="666666" w:sz="4" w:space="0"/>
              <w:right w:val="single" w:color="666666" w:sz="4" w:space="0"/>
            </w:tcBorders>
            <w:shd w:val="clear" w:color="auto" w:fill="FFFFFF"/>
            <w:vAlign w:val="center"/>
          </w:tcPr>
          <w:p>
            <w:pPr>
              <w:widowControl/>
              <w:jc w:val="left"/>
              <w:rPr>
                <w:rFonts w:ascii="宋体" w:hAnsi="宋体" w:eastAsia="宋体" w:cs="宋体"/>
                <w:sz w:val="24"/>
              </w:rPr>
            </w:pPr>
            <w:r>
              <w:rPr>
                <w:rFonts w:hint="eastAsia" w:ascii="宋体" w:hAnsi="宋体" w:eastAsia="宋体" w:cs="宋体"/>
                <w:sz w:val="24"/>
              </w:rPr>
              <w:t>运维开始后按季度运维结束后一个月内支付</w:t>
            </w:r>
          </w:p>
        </w:tc>
      </w:tr>
      <w:tr>
        <w:tblPrEx>
          <w:tblBorders>
            <w:top w:val="outset" w:color="666666" w:sz="4" w:space="0"/>
            <w:left w:val="outset" w:color="666666" w:sz="4" w:space="0"/>
            <w:bottom w:val="outset" w:color="666666" w:sz="4" w:space="0"/>
            <w:right w:val="outset" w:color="666666" w:sz="4" w:space="0"/>
            <w:insideH w:val="outset" w:color="auto" w:sz="6" w:space="0"/>
            <w:insideV w:val="outset" w:color="auto" w:sz="6" w:space="0"/>
          </w:tblBorders>
          <w:tblLayout w:type="fixed"/>
          <w:tblCellMar>
            <w:top w:w="0" w:type="dxa"/>
            <w:left w:w="0" w:type="dxa"/>
            <w:bottom w:w="0" w:type="dxa"/>
            <w:right w:w="0" w:type="dxa"/>
          </w:tblCellMar>
        </w:tblPrEx>
        <w:tc>
          <w:tcPr>
            <w:tcW w:w="1663" w:type="dxa"/>
            <w:tcBorders>
              <w:top w:val="single" w:color="666666" w:sz="4" w:space="0"/>
              <w:left w:val="single" w:color="666666" w:sz="4" w:space="0"/>
              <w:bottom w:val="single" w:color="666666" w:sz="4" w:space="0"/>
              <w:right w:val="single" w:color="666666" w:sz="4" w:space="0"/>
            </w:tcBorders>
            <w:shd w:val="clear" w:color="auto" w:fill="FFFFFF"/>
            <w:vAlign w:val="center"/>
          </w:tcPr>
          <w:p>
            <w:pPr>
              <w:widowControl/>
              <w:jc w:val="left"/>
            </w:pPr>
            <w:r>
              <w:rPr>
                <w:rFonts w:ascii="宋体" w:hAnsi="宋体" w:eastAsia="宋体" w:cs="宋体"/>
                <w:kern w:val="0"/>
                <w:sz w:val="24"/>
                <w:lang w:bidi="ar"/>
              </w:rPr>
              <w:t>4</w:t>
            </w:r>
          </w:p>
        </w:tc>
        <w:tc>
          <w:tcPr>
            <w:tcW w:w="1663" w:type="dxa"/>
            <w:tcBorders>
              <w:top w:val="single" w:color="666666" w:sz="4" w:space="0"/>
              <w:left w:val="single" w:color="666666" w:sz="4" w:space="0"/>
              <w:bottom w:val="single" w:color="666666" w:sz="4" w:space="0"/>
              <w:right w:val="single" w:color="666666" w:sz="4" w:space="0"/>
            </w:tcBorders>
            <w:shd w:val="clear" w:color="auto" w:fill="FFFFFF"/>
            <w:vAlign w:val="center"/>
          </w:tcPr>
          <w:p>
            <w:pPr>
              <w:widowControl/>
              <w:jc w:val="left"/>
            </w:pPr>
            <w:r>
              <w:rPr>
                <w:rFonts w:ascii="宋体" w:hAnsi="宋体" w:eastAsia="宋体" w:cs="宋体"/>
                <w:kern w:val="0"/>
                <w:sz w:val="24"/>
                <w:lang w:bidi="ar"/>
              </w:rPr>
              <w:t>25</w:t>
            </w:r>
          </w:p>
        </w:tc>
        <w:tc>
          <w:tcPr>
            <w:tcW w:w="4990" w:type="dxa"/>
            <w:tcBorders>
              <w:top w:val="single" w:color="666666" w:sz="4" w:space="0"/>
              <w:left w:val="single" w:color="666666" w:sz="4" w:space="0"/>
              <w:bottom w:val="single" w:color="666666" w:sz="4" w:space="0"/>
              <w:right w:val="single" w:color="666666" w:sz="4" w:space="0"/>
            </w:tcBorders>
            <w:shd w:val="clear" w:color="auto" w:fill="FFFFFF"/>
            <w:vAlign w:val="center"/>
          </w:tcPr>
          <w:p>
            <w:pPr>
              <w:widowControl/>
              <w:jc w:val="left"/>
              <w:rPr>
                <w:rFonts w:ascii="宋体" w:hAnsi="宋体" w:eastAsia="宋体" w:cs="宋体"/>
                <w:sz w:val="24"/>
              </w:rPr>
            </w:pPr>
            <w:r>
              <w:rPr>
                <w:rFonts w:hint="eastAsia" w:ascii="宋体" w:hAnsi="宋体" w:eastAsia="宋体" w:cs="宋体"/>
                <w:sz w:val="24"/>
              </w:rPr>
              <w:t>运维开始后按季度运维结束后一个月内支付</w:t>
            </w:r>
          </w:p>
        </w:tc>
      </w:tr>
    </w:tbl>
    <w:p>
      <w:pPr>
        <w:pStyle w:val="2"/>
        <w:widowControl/>
        <w:spacing w:before="50" w:beforeAutospacing="0" w:after="50" w:afterAutospacing="0"/>
      </w:pPr>
      <w:r>
        <w:rPr>
          <w:sz w:val="16"/>
          <w:szCs w:val="16"/>
        </w:rPr>
        <w:t> </w:t>
      </w:r>
    </w:p>
    <w:p>
      <w:pPr>
        <w:pStyle w:val="2"/>
        <w:widowControl/>
        <w:spacing w:before="50" w:beforeAutospacing="0" w:after="50" w:afterAutospacing="0"/>
        <w:rPr>
          <w:rFonts w:hint="eastAsia" w:ascii="宋体" w:hAnsi="宋体" w:eastAsia="宋体" w:cs="宋体"/>
          <w:lang w:val="en-US" w:eastAsia="zh-CN"/>
        </w:rPr>
      </w:pPr>
    </w:p>
    <w:p>
      <w:pPr>
        <w:pStyle w:val="2"/>
        <w:widowControl/>
        <w:spacing w:before="50" w:beforeAutospacing="0" w:after="50" w:afterAutospacing="0"/>
        <w:rPr>
          <w:rFonts w:hint="eastAsia" w:ascii="宋体" w:hAnsi="宋体" w:eastAsia="宋体" w:cs="宋体"/>
          <w:lang w:val="en-US" w:eastAsia="zh-CN"/>
        </w:rPr>
      </w:pPr>
    </w:p>
    <w:p>
      <w:pPr>
        <w:pStyle w:val="2"/>
        <w:widowControl/>
        <w:spacing w:before="50" w:beforeAutospacing="0" w:after="50" w:afterAutospacing="0"/>
        <w:rPr>
          <w:rFonts w:ascii="宋体" w:hAnsi="宋体" w:eastAsia="宋体" w:cs="宋体"/>
        </w:rPr>
      </w:pPr>
      <w:r>
        <w:rPr>
          <w:rFonts w:hint="eastAsia" w:ascii="宋体" w:hAnsi="宋体" w:eastAsia="宋体" w:cs="宋体"/>
          <w:lang w:val="en-US" w:eastAsia="zh-CN"/>
        </w:rPr>
        <w:t>三</w:t>
      </w:r>
      <w:r>
        <w:rPr>
          <w:rFonts w:hint="eastAsia" w:ascii="宋体" w:hAnsi="宋体" w:eastAsia="宋体" w:cs="宋体"/>
        </w:rPr>
        <w:t>、其他事项</w:t>
      </w:r>
    </w:p>
    <w:p>
      <w:pPr>
        <w:pStyle w:val="2"/>
        <w:widowControl/>
        <w:spacing w:before="50" w:beforeAutospacing="0" w:after="50" w:afterAutospacing="0"/>
        <w:rPr>
          <w:rFonts w:ascii="宋体" w:hAnsi="宋体" w:eastAsia="宋体" w:cs="宋体"/>
        </w:rPr>
      </w:pPr>
      <w:r>
        <w:rPr>
          <w:rFonts w:hint="eastAsia" w:ascii="宋体" w:hAnsi="宋体" w:eastAsia="宋体" w:cs="宋体"/>
        </w:rPr>
        <w:t>1、除招标文件另有规定外，若出现有关法律、法规和规章有强制性规定但招标文件未列明的情形，则</w:t>
      </w:r>
      <w:r>
        <w:rPr>
          <w:rFonts w:hint="eastAsia" w:ascii="宋体" w:hAnsi="宋体" w:eastAsia="宋体" w:cs="宋体"/>
          <w:lang w:eastAsia="zh-CN"/>
        </w:rPr>
        <w:t>报价方</w:t>
      </w:r>
      <w:r>
        <w:rPr>
          <w:rFonts w:hint="eastAsia" w:ascii="宋体" w:hAnsi="宋体" w:eastAsia="宋体" w:cs="宋体"/>
        </w:rPr>
        <w:t>应按照有关法律、法规和规章强制性规定执行。</w:t>
      </w:r>
    </w:p>
    <w:p>
      <w:pPr>
        <w:pStyle w:val="2"/>
        <w:widowControl/>
        <w:spacing w:before="50" w:beforeAutospacing="0" w:after="50" w:afterAutospacing="0"/>
        <w:rPr>
          <w:rFonts w:ascii="宋体" w:hAnsi="宋体" w:eastAsia="宋体" w:cs="宋体"/>
        </w:rPr>
      </w:pPr>
      <w:r>
        <w:rPr>
          <w:rFonts w:hint="eastAsia" w:ascii="宋体" w:hAnsi="宋体" w:eastAsia="宋体" w:cs="宋体"/>
        </w:rPr>
        <w:t> </w:t>
      </w:r>
    </w:p>
    <w:p>
      <w:pPr>
        <w:bidi w:val="0"/>
        <w:rPr>
          <w:rStyle w:val="4"/>
          <w:rFonts w:hint="default" w:ascii="仿宋_GB2312" w:hAnsi="微软雅黑" w:eastAsia="仿宋_GB2312" w:cs="仿宋_GB2312"/>
          <w:b/>
          <w:bCs/>
          <w:i w:val="0"/>
          <w:iCs w:val="0"/>
          <w:caps w:val="0"/>
          <w:color w:val="000000"/>
          <w:spacing w:val="0"/>
          <w:sz w:val="31"/>
          <w:szCs w:val="31"/>
          <w:shd w:val="clear" w:fill="FFFFFF"/>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EA34696"/>
    <w:multiLevelType w:val="singleLevel"/>
    <w:tmpl w:val="9EA34696"/>
    <w:lvl w:ilvl="0" w:tentative="0">
      <w:start w:val="2"/>
      <w:numFmt w:val="decimal"/>
      <w:suff w:val="nothing"/>
      <w:lvlText w:val="（%1）"/>
      <w:lvlJc w:val="left"/>
    </w:lvl>
  </w:abstractNum>
  <w:abstractNum w:abstractNumId="1">
    <w:nsid w:val="B3408529"/>
    <w:multiLevelType w:val="singleLevel"/>
    <w:tmpl w:val="B3408529"/>
    <w:lvl w:ilvl="0" w:tentative="0">
      <w:start w:val="1"/>
      <w:numFmt w:val="chineseCounting"/>
      <w:suff w:val="nothing"/>
      <w:lvlText w:val="%1、"/>
      <w:lvlJc w:val="left"/>
      <w:rPr>
        <w:rFonts w:hint="eastAsia"/>
      </w:rPr>
    </w:lvl>
  </w:abstractNum>
  <w:abstractNum w:abstractNumId="2">
    <w:nsid w:val="28110E06"/>
    <w:multiLevelType w:val="singleLevel"/>
    <w:tmpl w:val="28110E06"/>
    <w:lvl w:ilvl="0" w:tentative="0">
      <w:start w:val="2"/>
      <w:numFmt w:val="decimal"/>
      <w:lvlText w:val="%1."/>
      <w:lvlJc w:val="left"/>
      <w:pPr>
        <w:tabs>
          <w:tab w:val="left" w:pos="312"/>
        </w:tabs>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wY2IyODllMDY0YjE5NWEwZDAwZjg0ZWRjNjA5NzYifQ=="/>
  </w:docVars>
  <w:rsids>
    <w:rsidRoot w:val="13286B82"/>
    <w:rsid w:val="0181483B"/>
    <w:rsid w:val="13286B82"/>
    <w:rsid w:val="13F57A80"/>
    <w:rsid w:val="173341C5"/>
    <w:rsid w:val="17F32F99"/>
    <w:rsid w:val="193F08F1"/>
    <w:rsid w:val="19A83F68"/>
    <w:rsid w:val="1A085564"/>
    <w:rsid w:val="1E05054E"/>
    <w:rsid w:val="1F823FCC"/>
    <w:rsid w:val="21645B73"/>
    <w:rsid w:val="25492A6D"/>
    <w:rsid w:val="2B0F2581"/>
    <w:rsid w:val="2B2F2C45"/>
    <w:rsid w:val="2B683841"/>
    <w:rsid w:val="2BEF060C"/>
    <w:rsid w:val="2E7713D2"/>
    <w:rsid w:val="335448DC"/>
    <w:rsid w:val="34AB1F9E"/>
    <w:rsid w:val="36577455"/>
    <w:rsid w:val="3970562D"/>
    <w:rsid w:val="3F56366E"/>
    <w:rsid w:val="42803B20"/>
    <w:rsid w:val="480D2181"/>
    <w:rsid w:val="49ED38CE"/>
    <w:rsid w:val="4A973973"/>
    <w:rsid w:val="4D6376CF"/>
    <w:rsid w:val="51C2139E"/>
    <w:rsid w:val="566370B2"/>
    <w:rsid w:val="59FB30B7"/>
    <w:rsid w:val="63D20EF7"/>
    <w:rsid w:val="652E015F"/>
    <w:rsid w:val="65867591"/>
    <w:rsid w:val="6879594D"/>
    <w:rsid w:val="698D18C5"/>
    <w:rsid w:val="72E531DE"/>
    <w:rsid w:val="75265A60"/>
    <w:rsid w:val="75DA0561"/>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2343</Words>
  <Characters>2371</Characters>
  <Lines>0</Lines>
  <Paragraphs>0</Paragraphs>
  <ScaleCrop>false</ScaleCrop>
  <LinksUpToDate>false</LinksUpToDate>
  <CharactersWithSpaces>2379</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2023-08-30T06:18:00Z</dcterms:created>
  <dc:creator>D.z</dc:creator>
  <cp:lastModifiedBy>Administrator</cp:lastModifiedBy>
  <dcterms:modified xsi:type="dcterms:W3CDTF">2023-09-13T00:40:42Z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2CC85A637A1049B795B0BBC9D95B4A3E_11</vt:lpwstr>
  </property>
</Properties>
</file>