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80" w:rsidRDefault="00065B80">
      <w:pPr>
        <w:pStyle w:val="Default"/>
        <w:rPr>
          <w:sz w:val="84"/>
          <w:szCs w:val="84"/>
        </w:rPr>
      </w:pPr>
    </w:p>
    <w:p w:rsidR="00065B80" w:rsidRDefault="009A7EE1">
      <w:pPr>
        <w:pStyle w:val="Default"/>
        <w:jc w:val="center"/>
        <w:rPr>
          <w:sz w:val="84"/>
          <w:szCs w:val="84"/>
        </w:rPr>
      </w:pPr>
      <w:r>
        <w:rPr>
          <w:rFonts w:hint="eastAsia"/>
          <w:sz w:val="84"/>
          <w:szCs w:val="84"/>
        </w:rPr>
        <w:t>202</w:t>
      </w:r>
      <w:r>
        <w:rPr>
          <w:rFonts w:hint="eastAsia"/>
          <w:sz w:val="84"/>
          <w:szCs w:val="84"/>
        </w:rPr>
        <w:t>1</w:t>
      </w:r>
      <w:r>
        <w:rPr>
          <w:rFonts w:hint="eastAsia"/>
          <w:sz w:val="84"/>
          <w:szCs w:val="84"/>
        </w:rPr>
        <w:t>年度</w:t>
      </w:r>
    </w:p>
    <w:p w:rsidR="00065B80" w:rsidRDefault="009A7EE1">
      <w:pPr>
        <w:pStyle w:val="Default"/>
        <w:jc w:val="center"/>
        <w:rPr>
          <w:sz w:val="84"/>
          <w:szCs w:val="84"/>
        </w:rPr>
      </w:pPr>
      <w:r>
        <w:rPr>
          <w:rFonts w:hint="eastAsia"/>
          <w:sz w:val="84"/>
          <w:szCs w:val="84"/>
        </w:rPr>
        <w:t>娄底市中级人民法院</w:t>
      </w:r>
    </w:p>
    <w:p w:rsidR="00065B80" w:rsidRDefault="009A7EE1">
      <w:pPr>
        <w:pStyle w:val="Default"/>
        <w:jc w:val="center"/>
        <w:rPr>
          <w:sz w:val="84"/>
          <w:szCs w:val="84"/>
        </w:rPr>
      </w:pPr>
      <w:r>
        <w:rPr>
          <w:rFonts w:hint="eastAsia"/>
          <w:sz w:val="84"/>
          <w:szCs w:val="84"/>
        </w:rPr>
        <w:t>部门（单位）部门决算</w:t>
      </w:r>
    </w:p>
    <w:p w:rsidR="00065B80" w:rsidRDefault="00065B80">
      <w:pPr>
        <w:pStyle w:val="Default"/>
        <w:jc w:val="center"/>
        <w:rPr>
          <w:sz w:val="56"/>
          <w:szCs w:val="56"/>
        </w:rPr>
      </w:pPr>
    </w:p>
    <w:p w:rsidR="00065B80" w:rsidRDefault="00065B80">
      <w:pPr>
        <w:pStyle w:val="Default"/>
        <w:jc w:val="center"/>
        <w:rPr>
          <w:sz w:val="56"/>
          <w:szCs w:val="56"/>
        </w:rPr>
      </w:pPr>
    </w:p>
    <w:p w:rsidR="00065B80" w:rsidRDefault="00065B80">
      <w:pPr>
        <w:pStyle w:val="Default"/>
        <w:jc w:val="center"/>
        <w:rPr>
          <w:sz w:val="56"/>
          <w:szCs w:val="56"/>
        </w:rPr>
      </w:pPr>
    </w:p>
    <w:p w:rsidR="00065B80" w:rsidRDefault="00065B80">
      <w:pPr>
        <w:pStyle w:val="Default"/>
        <w:jc w:val="center"/>
        <w:rPr>
          <w:sz w:val="56"/>
          <w:szCs w:val="56"/>
        </w:rPr>
      </w:pPr>
    </w:p>
    <w:p w:rsidR="00065B80" w:rsidRDefault="00065B80">
      <w:pPr>
        <w:pStyle w:val="Default"/>
        <w:rPr>
          <w:sz w:val="56"/>
          <w:szCs w:val="56"/>
        </w:rPr>
      </w:pPr>
    </w:p>
    <w:p w:rsidR="00065B80" w:rsidRDefault="009A7EE1">
      <w:pPr>
        <w:pStyle w:val="Default"/>
        <w:spacing w:line="500" w:lineRule="exact"/>
        <w:jc w:val="center"/>
        <w:rPr>
          <w:b/>
          <w:sz w:val="36"/>
          <w:szCs w:val="28"/>
        </w:rPr>
      </w:pPr>
      <w:r>
        <w:rPr>
          <w:rFonts w:hint="eastAsia"/>
          <w:b/>
          <w:sz w:val="36"/>
          <w:szCs w:val="28"/>
        </w:rPr>
        <w:lastRenderedPageBreak/>
        <w:t>目录</w:t>
      </w:r>
    </w:p>
    <w:p w:rsidR="00065B80" w:rsidRDefault="009A7EE1">
      <w:pPr>
        <w:pStyle w:val="Default"/>
        <w:spacing w:line="500" w:lineRule="exact"/>
        <w:rPr>
          <w:rFonts w:ascii="仿宋_GB2312" w:hAnsi="仿宋_GB2312" w:cs="仿宋_GB2312"/>
          <w:b/>
          <w:sz w:val="28"/>
          <w:szCs w:val="28"/>
        </w:rPr>
      </w:pPr>
      <w:r>
        <w:rPr>
          <w:rFonts w:hint="eastAsia"/>
          <w:b/>
          <w:sz w:val="28"/>
          <w:szCs w:val="28"/>
        </w:rPr>
        <w:t>第一部分湖南省娄底市中级人民法院概况</w:t>
      </w:r>
    </w:p>
    <w:p w:rsidR="00065B80" w:rsidRDefault="009A7EE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065B80" w:rsidRDefault="009A7EE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065B80" w:rsidRDefault="009A7EE1">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065B80" w:rsidRDefault="009A7EE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065B80" w:rsidRDefault="009A7EE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065B80" w:rsidRDefault="009A7EE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065B80" w:rsidRDefault="009A7EE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065B80" w:rsidRDefault="009A7EE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065B80" w:rsidRDefault="009A7EE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065B80" w:rsidRDefault="009A7EE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065B80" w:rsidRDefault="009A7EE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065B80" w:rsidRDefault="009A7EE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065B80" w:rsidRDefault="009A7EE1">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065B80" w:rsidRDefault="009A7EE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065B80" w:rsidRDefault="009A7EE1">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065B80" w:rsidRDefault="009A7EE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065B80" w:rsidRDefault="009A7EE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065B80" w:rsidRDefault="009A7EE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lastRenderedPageBreak/>
        <w:t>五、一般公共预算财政拨款支出决算情况说明</w:t>
      </w:r>
    </w:p>
    <w:p w:rsidR="00065B80" w:rsidRDefault="009A7EE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065B80" w:rsidRDefault="009A7EE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065B80" w:rsidRDefault="009A7EE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065B80" w:rsidRDefault="009A7EE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065B80" w:rsidRDefault="009A7EE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065B80" w:rsidRDefault="009A7EE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065B80" w:rsidRDefault="009A7EE1">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065B80" w:rsidRDefault="009A7EE1">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w:t>
      </w:r>
      <w:r>
        <w:rPr>
          <w:rFonts w:asciiTheme="minorEastAsia" w:eastAsiaTheme="minorEastAsia" w:hAnsiTheme="minorEastAsia" w:cs="仿宋_GB2312" w:hint="eastAsia"/>
          <w:sz w:val="28"/>
          <w:szCs w:val="28"/>
        </w:rPr>
        <w:t>202</w:t>
      </w:r>
      <w:r>
        <w:rPr>
          <w:rFonts w:asciiTheme="minorEastAsia" w:eastAsiaTheme="minorEastAsia" w:hAnsiTheme="minorEastAsia" w:cs="仿宋_GB2312" w:hint="eastAsia"/>
          <w:sz w:val="28"/>
          <w:szCs w:val="28"/>
        </w:rPr>
        <w:t>1</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度预算绩效情况的说明</w:t>
      </w:r>
    </w:p>
    <w:p w:rsidR="00065B80" w:rsidRDefault="009A7EE1">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065B80" w:rsidRDefault="009A7EE1">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065B80" w:rsidRDefault="00065B80">
      <w:pPr>
        <w:jc w:val="center"/>
        <w:rPr>
          <w:sz w:val="72"/>
          <w:szCs w:val="72"/>
        </w:rPr>
      </w:pPr>
    </w:p>
    <w:p w:rsidR="00065B80" w:rsidRDefault="00065B80">
      <w:pPr>
        <w:jc w:val="center"/>
        <w:rPr>
          <w:sz w:val="72"/>
          <w:szCs w:val="72"/>
        </w:rPr>
      </w:pPr>
    </w:p>
    <w:p w:rsidR="00065B80" w:rsidRDefault="00065B80">
      <w:pPr>
        <w:jc w:val="center"/>
        <w:rPr>
          <w:sz w:val="72"/>
          <w:szCs w:val="72"/>
        </w:rPr>
      </w:pPr>
    </w:p>
    <w:p w:rsidR="00065B80" w:rsidRDefault="00065B80">
      <w:pPr>
        <w:jc w:val="center"/>
        <w:rPr>
          <w:sz w:val="72"/>
          <w:szCs w:val="72"/>
        </w:rPr>
      </w:pPr>
    </w:p>
    <w:p w:rsidR="00065B80" w:rsidRDefault="00065B80">
      <w:pP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9A7EE1">
      <w:pPr>
        <w:pStyle w:val="Default"/>
        <w:jc w:val="center"/>
        <w:rPr>
          <w:sz w:val="72"/>
          <w:szCs w:val="72"/>
        </w:rPr>
      </w:pPr>
      <w:r>
        <w:rPr>
          <w:rFonts w:hint="eastAsia"/>
          <w:sz w:val="72"/>
          <w:szCs w:val="72"/>
        </w:rPr>
        <w:t>第一部分</w:t>
      </w:r>
    </w:p>
    <w:p w:rsidR="00065B80" w:rsidRDefault="00065B80">
      <w:pPr>
        <w:pStyle w:val="Default"/>
        <w:jc w:val="center"/>
        <w:rPr>
          <w:sz w:val="72"/>
          <w:szCs w:val="72"/>
        </w:rPr>
      </w:pPr>
    </w:p>
    <w:p w:rsidR="00065B80" w:rsidRDefault="009A7EE1">
      <w:pPr>
        <w:pStyle w:val="Default"/>
        <w:jc w:val="center"/>
        <w:rPr>
          <w:sz w:val="72"/>
          <w:szCs w:val="72"/>
        </w:rPr>
      </w:pPr>
      <w:r>
        <w:rPr>
          <w:rFonts w:hint="eastAsia"/>
          <w:sz w:val="72"/>
          <w:szCs w:val="72"/>
        </w:rPr>
        <w:t>湖南省娄底市中级人民法院单位概况</w:t>
      </w: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9A7EE1">
      <w:pPr>
        <w:ind w:firstLineChars="200" w:firstLine="640"/>
        <w:jc w:val="left"/>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部门职责</w:t>
      </w:r>
    </w:p>
    <w:p w:rsidR="00065B80" w:rsidRDefault="009A7EE1">
      <w:pPr>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湖南省娄底市中级人民法院是国家的审判机关，在市委、市政府的领导下和上级法院的指导监督下依法独立行使审判权，对市人民代表大会及其常务委员会负责报告工作，并自觉地接受人大的监督开展工作。</w:t>
      </w:r>
    </w:p>
    <w:p w:rsidR="00065B80" w:rsidRDefault="009A7EE1">
      <w:pPr>
        <w:widowControl/>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065B80" w:rsidRDefault="009A7EE1">
      <w:pPr>
        <w:pStyle w:val="aa"/>
        <w:widowControl/>
        <w:shd w:val="clear" w:color="auto" w:fill="FFFFFF"/>
        <w:spacing w:beforeAutospacing="0" w:afterAutospacing="0" w:line="360" w:lineRule="atLeast"/>
        <w:ind w:firstLine="640"/>
        <w:rPr>
          <w:rFonts w:asciiTheme="minorEastAsia" w:eastAsiaTheme="minorEastAsia" w:hAnsiTheme="minorEastAsia" w:cstheme="minorBidi"/>
          <w:bCs/>
          <w:sz w:val="32"/>
          <w:szCs w:val="32"/>
        </w:rPr>
      </w:pPr>
      <w:r>
        <w:rPr>
          <w:rFonts w:asciiTheme="minorEastAsia" w:hAnsiTheme="minorEastAsia" w:hint="eastAsia"/>
          <w:bCs/>
          <w:sz w:val="32"/>
          <w:szCs w:val="32"/>
        </w:rPr>
        <w:t>（一）内设机构设置。湖南省娄底市中级人民法院内设机构包括：</w:t>
      </w:r>
      <w:r>
        <w:rPr>
          <w:rFonts w:asciiTheme="minorEastAsia" w:eastAsiaTheme="minorEastAsia" w:hAnsiTheme="minorEastAsia" w:cstheme="minorBidi" w:hint="eastAsia"/>
          <w:bCs/>
          <w:sz w:val="32"/>
          <w:szCs w:val="32"/>
        </w:rPr>
        <w:t>办公室、政治部、立案信访局、刑事审判第一庭、刑事审判第二庭、民事审判第一庭、民事审判第二庭、民事审判第三庭、行政审判庭、审判监督庭、执行局、司法警察支队、研究室、司法行政装备管理科、司</w:t>
      </w:r>
      <w:r>
        <w:rPr>
          <w:rFonts w:asciiTheme="minorEastAsia" w:eastAsiaTheme="minorEastAsia" w:hAnsiTheme="minorEastAsia" w:cstheme="minorBidi" w:hint="eastAsia"/>
          <w:bCs/>
          <w:sz w:val="32"/>
          <w:szCs w:val="32"/>
        </w:rPr>
        <w:t>法技术室、审管办、书记员管理科、刑事审判第三庭、安全保卫科、未成年人案件综合审判庭、机关党委、民四庭、国家赔偿委员会、新闻信息网络科、法官培训中心。</w:t>
      </w:r>
    </w:p>
    <w:p w:rsidR="00065B80" w:rsidRDefault="009A7EE1">
      <w:pPr>
        <w:widowControl/>
        <w:spacing w:line="600" w:lineRule="exact"/>
        <w:ind w:firstLineChars="150" w:firstLine="480"/>
        <w:rPr>
          <w:rFonts w:asciiTheme="minorEastAsia" w:hAnsiTheme="minorEastAsia"/>
          <w:bCs/>
          <w:kern w:val="0"/>
          <w:sz w:val="32"/>
          <w:szCs w:val="32"/>
        </w:rPr>
      </w:pPr>
      <w:r>
        <w:rPr>
          <w:rFonts w:asciiTheme="minorEastAsia" w:hAnsiTheme="minorEastAsia" w:hint="eastAsia"/>
          <w:bCs/>
          <w:kern w:val="0"/>
          <w:sz w:val="32"/>
          <w:szCs w:val="32"/>
        </w:rPr>
        <w:t>（二）决算单位构成。湖南省娄底市中级人民法院</w:t>
      </w:r>
      <w:r>
        <w:rPr>
          <w:rFonts w:asciiTheme="minorEastAsia" w:hAnsiTheme="minorEastAsia"/>
          <w:bCs/>
          <w:kern w:val="0"/>
          <w:sz w:val="32"/>
          <w:szCs w:val="32"/>
        </w:rPr>
        <w:t>20</w:t>
      </w:r>
      <w:r>
        <w:rPr>
          <w:rFonts w:asciiTheme="minorEastAsia" w:hAnsiTheme="minorEastAsia" w:hint="eastAsia"/>
          <w:bCs/>
          <w:kern w:val="0"/>
          <w:sz w:val="32"/>
          <w:szCs w:val="32"/>
        </w:rPr>
        <w:t>2</w:t>
      </w:r>
      <w:r>
        <w:rPr>
          <w:rFonts w:asciiTheme="minorEastAsia" w:hAnsiTheme="minorEastAsia" w:hint="eastAsia"/>
          <w:bCs/>
          <w:kern w:val="0"/>
          <w:sz w:val="32"/>
          <w:szCs w:val="32"/>
        </w:rPr>
        <w:t>1</w:t>
      </w:r>
      <w:r>
        <w:rPr>
          <w:rFonts w:asciiTheme="minorEastAsia" w:hAnsiTheme="minorEastAsia" w:hint="eastAsia"/>
          <w:bCs/>
          <w:kern w:val="0"/>
          <w:sz w:val="32"/>
          <w:szCs w:val="32"/>
        </w:rPr>
        <w:t>年部门决算汇总公开单位构成包括：湖南省娄底市中级人民法院本级</w:t>
      </w:r>
      <w:r>
        <w:rPr>
          <w:rFonts w:asciiTheme="minorEastAsia" w:hAnsiTheme="minorEastAsia" w:hint="eastAsia"/>
          <w:bCs/>
          <w:kern w:val="0"/>
          <w:sz w:val="32"/>
          <w:szCs w:val="32"/>
        </w:rPr>
        <w:t>，本单位无下级预算单位</w:t>
      </w:r>
      <w:bookmarkStart w:id="0" w:name="_GoBack"/>
      <w:bookmarkEnd w:id="0"/>
      <w:r>
        <w:rPr>
          <w:rFonts w:asciiTheme="minorEastAsia" w:hAnsiTheme="minorEastAsia" w:hint="eastAsia"/>
          <w:bCs/>
          <w:kern w:val="0"/>
          <w:sz w:val="32"/>
          <w:szCs w:val="32"/>
        </w:rPr>
        <w:t>。</w:t>
      </w:r>
    </w:p>
    <w:p w:rsidR="00065B80" w:rsidRDefault="00065B80">
      <w:pPr>
        <w:jc w:val="left"/>
        <w:rPr>
          <w:rFonts w:ascii="仿宋_GB2312" w:eastAsia="仿宋_GB2312" w:hAnsiTheme="minorEastAsia"/>
          <w:sz w:val="28"/>
          <w:szCs w:val="32"/>
        </w:rPr>
      </w:pPr>
    </w:p>
    <w:p w:rsidR="00065B80" w:rsidRDefault="00065B80">
      <w:pPr>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9A7EE1">
      <w:pPr>
        <w:pStyle w:val="Default"/>
        <w:jc w:val="center"/>
        <w:rPr>
          <w:sz w:val="72"/>
          <w:szCs w:val="72"/>
        </w:rPr>
      </w:pPr>
      <w:r>
        <w:rPr>
          <w:rFonts w:hint="eastAsia"/>
          <w:sz w:val="72"/>
          <w:szCs w:val="72"/>
        </w:rPr>
        <w:t>第二部分</w:t>
      </w:r>
    </w:p>
    <w:p w:rsidR="00065B80" w:rsidRDefault="00065B80">
      <w:pPr>
        <w:pStyle w:val="Default"/>
        <w:jc w:val="center"/>
        <w:rPr>
          <w:sz w:val="72"/>
          <w:szCs w:val="72"/>
        </w:rPr>
      </w:pPr>
    </w:p>
    <w:p w:rsidR="00065B80" w:rsidRDefault="009A7EE1">
      <w:pPr>
        <w:pStyle w:val="Default"/>
        <w:jc w:val="center"/>
        <w:rPr>
          <w:sz w:val="72"/>
          <w:szCs w:val="72"/>
        </w:rPr>
      </w:pPr>
      <w:r>
        <w:rPr>
          <w:rFonts w:hint="eastAsia"/>
          <w:sz w:val="72"/>
          <w:szCs w:val="72"/>
        </w:rPr>
        <w:t>部门决算</w:t>
      </w:r>
    </w:p>
    <w:p w:rsidR="00065B80" w:rsidRDefault="00065B80">
      <w:pPr>
        <w:jc w:val="center"/>
        <w:rPr>
          <w:sz w:val="72"/>
          <w:szCs w:val="72"/>
        </w:rPr>
      </w:pPr>
    </w:p>
    <w:p w:rsidR="00065B80" w:rsidRDefault="00065B80" w:rsidP="00F02B7A">
      <w:pPr>
        <w:pStyle w:val="a0"/>
        <w:ind w:firstLine="210"/>
      </w:pPr>
    </w:p>
    <w:p w:rsidR="00065B80" w:rsidRDefault="00065B80" w:rsidP="00F02B7A">
      <w:pPr>
        <w:pStyle w:val="a0"/>
        <w:ind w:firstLine="720"/>
        <w:rPr>
          <w:sz w:val="72"/>
          <w:szCs w:val="72"/>
        </w:rPr>
      </w:pPr>
    </w:p>
    <w:tbl>
      <w:tblPr>
        <w:tblW w:w="15733" w:type="dxa"/>
        <w:tblInd w:w="91" w:type="dxa"/>
        <w:tblLook w:val="04A0"/>
      </w:tblPr>
      <w:tblGrid>
        <w:gridCol w:w="579"/>
        <w:gridCol w:w="291"/>
        <w:gridCol w:w="291"/>
        <w:gridCol w:w="3409"/>
        <w:gridCol w:w="46"/>
        <w:gridCol w:w="704"/>
        <w:gridCol w:w="884"/>
        <w:gridCol w:w="621"/>
        <w:gridCol w:w="967"/>
        <w:gridCol w:w="1588"/>
        <w:gridCol w:w="1362"/>
        <w:gridCol w:w="226"/>
        <w:gridCol w:w="524"/>
        <w:gridCol w:w="1064"/>
        <w:gridCol w:w="1077"/>
        <w:gridCol w:w="511"/>
        <w:gridCol w:w="1589"/>
      </w:tblGrid>
      <w:tr w:rsidR="00065B80">
        <w:trPr>
          <w:gridAfter w:val="2"/>
          <w:wAfter w:w="2100" w:type="dxa"/>
          <w:trHeight w:val="309"/>
        </w:trPr>
        <w:tc>
          <w:tcPr>
            <w:tcW w:w="13633" w:type="dxa"/>
            <w:gridSpan w:val="15"/>
            <w:tcBorders>
              <w:top w:val="nil"/>
              <w:left w:val="nil"/>
              <w:bottom w:val="nil"/>
              <w:right w:val="single" w:sz="4" w:space="0" w:color="808080"/>
            </w:tcBorders>
            <w:shd w:val="clear" w:color="auto" w:fill="FFFFFF"/>
            <w:noWrap/>
            <w:vAlign w:val="center"/>
          </w:tcPr>
          <w:p w:rsidR="00065B80" w:rsidRDefault="009A7EE1">
            <w:pPr>
              <w:widowControl/>
              <w:spacing w:line="240" w:lineRule="exact"/>
              <w:jc w:val="center"/>
              <w:rPr>
                <w:rFonts w:ascii="宋体" w:eastAsia="宋体" w:hAnsi="宋体" w:cs="宋体"/>
                <w:color w:val="000000"/>
                <w:sz w:val="18"/>
                <w:szCs w:val="18"/>
              </w:rPr>
            </w:pPr>
            <w:r>
              <w:rPr>
                <w:rFonts w:ascii="黑体" w:eastAsia="黑体" w:hAnsi="宋体" w:cs="黑体" w:hint="eastAsia"/>
                <w:color w:val="000000"/>
                <w:kern w:val="0"/>
                <w:sz w:val="28"/>
                <w:szCs w:val="28"/>
                <w:lang/>
              </w:rPr>
              <w:lastRenderedPageBreak/>
              <w:t>收入支出决算总表</w:t>
            </w:r>
          </w:p>
        </w:tc>
      </w:tr>
      <w:tr w:rsidR="00065B80">
        <w:trPr>
          <w:gridAfter w:val="2"/>
          <w:wAfter w:w="2100" w:type="dxa"/>
          <w:trHeight w:val="90"/>
        </w:trPr>
        <w:tc>
          <w:tcPr>
            <w:tcW w:w="4570" w:type="dxa"/>
            <w:gridSpan w:val="4"/>
            <w:tcBorders>
              <w:top w:val="nil"/>
              <w:left w:val="nil"/>
              <w:bottom w:val="nil"/>
              <w:right w:val="nil"/>
            </w:tcBorders>
            <w:shd w:val="clear" w:color="auto" w:fill="FFFFFF"/>
            <w:noWrap/>
            <w:vAlign w:val="center"/>
          </w:tcPr>
          <w:p w:rsidR="00065B80" w:rsidRDefault="00065B80">
            <w:pPr>
              <w:widowControl/>
              <w:spacing w:line="220" w:lineRule="exact"/>
              <w:jc w:val="left"/>
              <w:rPr>
                <w:rFonts w:ascii="宋体" w:eastAsia="宋体" w:hAnsi="宋体" w:cs="宋体"/>
                <w:color w:val="000000"/>
                <w:sz w:val="18"/>
                <w:szCs w:val="18"/>
              </w:rPr>
            </w:pPr>
          </w:p>
        </w:tc>
        <w:tc>
          <w:tcPr>
            <w:tcW w:w="750" w:type="dxa"/>
            <w:gridSpan w:val="2"/>
            <w:tcBorders>
              <w:top w:val="nil"/>
              <w:left w:val="nil"/>
              <w:bottom w:val="nil"/>
              <w:right w:val="nil"/>
            </w:tcBorders>
            <w:shd w:val="clear" w:color="auto" w:fill="FFFFFF"/>
            <w:noWrap/>
            <w:vAlign w:val="center"/>
          </w:tcPr>
          <w:p w:rsidR="00065B80" w:rsidRDefault="00065B80">
            <w:pPr>
              <w:widowControl/>
              <w:spacing w:line="220" w:lineRule="exact"/>
              <w:jc w:val="left"/>
              <w:rPr>
                <w:rFonts w:ascii="宋体" w:eastAsia="宋体" w:hAnsi="宋体" w:cs="宋体"/>
                <w:color w:val="000000"/>
                <w:sz w:val="18"/>
                <w:szCs w:val="18"/>
              </w:rPr>
            </w:pPr>
          </w:p>
        </w:tc>
        <w:tc>
          <w:tcPr>
            <w:tcW w:w="1505" w:type="dxa"/>
            <w:gridSpan w:val="2"/>
            <w:tcBorders>
              <w:top w:val="nil"/>
              <w:left w:val="nil"/>
              <w:bottom w:val="nil"/>
              <w:right w:val="nil"/>
            </w:tcBorders>
            <w:shd w:val="clear" w:color="auto" w:fill="FFFFFF"/>
            <w:noWrap/>
            <w:vAlign w:val="center"/>
          </w:tcPr>
          <w:p w:rsidR="00065B80" w:rsidRDefault="00065B80">
            <w:pPr>
              <w:widowControl/>
              <w:spacing w:line="220" w:lineRule="exact"/>
              <w:jc w:val="left"/>
              <w:rPr>
                <w:rFonts w:ascii="宋体" w:eastAsia="宋体" w:hAnsi="宋体" w:cs="宋体"/>
                <w:color w:val="000000"/>
                <w:sz w:val="18"/>
                <w:szCs w:val="18"/>
              </w:rPr>
            </w:pPr>
          </w:p>
        </w:tc>
        <w:tc>
          <w:tcPr>
            <w:tcW w:w="3917" w:type="dxa"/>
            <w:gridSpan w:val="3"/>
            <w:tcBorders>
              <w:top w:val="nil"/>
              <w:left w:val="nil"/>
              <w:bottom w:val="nil"/>
              <w:right w:val="nil"/>
            </w:tcBorders>
            <w:shd w:val="clear" w:color="auto" w:fill="FFFFFF"/>
            <w:noWrap/>
            <w:vAlign w:val="center"/>
          </w:tcPr>
          <w:p w:rsidR="00065B80" w:rsidRDefault="00065B80">
            <w:pPr>
              <w:widowControl/>
              <w:spacing w:line="220" w:lineRule="exact"/>
              <w:jc w:val="left"/>
              <w:rPr>
                <w:rFonts w:ascii="宋体" w:eastAsia="宋体" w:hAnsi="宋体" w:cs="宋体"/>
                <w:color w:val="000000"/>
                <w:sz w:val="18"/>
                <w:szCs w:val="18"/>
              </w:rPr>
            </w:pPr>
          </w:p>
        </w:tc>
        <w:tc>
          <w:tcPr>
            <w:tcW w:w="750" w:type="dxa"/>
            <w:gridSpan w:val="2"/>
            <w:tcBorders>
              <w:top w:val="nil"/>
              <w:left w:val="nil"/>
              <w:bottom w:val="nil"/>
              <w:right w:val="nil"/>
            </w:tcBorders>
            <w:shd w:val="clear" w:color="auto" w:fill="FFFFFF"/>
            <w:noWrap/>
            <w:vAlign w:val="center"/>
          </w:tcPr>
          <w:p w:rsidR="00065B80" w:rsidRDefault="00065B80">
            <w:pPr>
              <w:widowControl/>
              <w:spacing w:line="220" w:lineRule="exact"/>
              <w:jc w:val="left"/>
              <w:rPr>
                <w:rFonts w:ascii="宋体" w:eastAsia="宋体" w:hAnsi="宋体" w:cs="宋体"/>
                <w:color w:val="000000"/>
                <w:sz w:val="18"/>
                <w:szCs w:val="18"/>
              </w:rPr>
            </w:pPr>
          </w:p>
        </w:tc>
        <w:tc>
          <w:tcPr>
            <w:tcW w:w="2141" w:type="dxa"/>
            <w:gridSpan w:val="2"/>
            <w:tcBorders>
              <w:top w:val="nil"/>
              <w:left w:val="nil"/>
              <w:bottom w:val="nil"/>
              <w:right w:val="single" w:sz="4" w:space="0" w:color="80808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公开</w:t>
            </w:r>
            <w:r>
              <w:rPr>
                <w:rFonts w:ascii="宋体" w:eastAsia="宋体" w:hAnsi="宋体" w:cs="宋体" w:hint="eastAsia"/>
                <w:color w:val="000000"/>
                <w:kern w:val="0"/>
                <w:sz w:val="22"/>
                <w:lang/>
              </w:rPr>
              <w:t>01</w:t>
            </w:r>
            <w:r>
              <w:rPr>
                <w:rFonts w:ascii="宋体" w:eastAsia="宋体" w:hAnsi="宋体" w:cs="宋体" w:hint="eastAsia"/>
                <w:color w:val="000000"/>
                <w:kern w:val="0"/>
                <w:sz w:val="22"/>
                <w:lang/>
              </w:rPr>
              <w:t>表</w:t>
            </w:r>
          </w:p>
        </w:tc>
      </w:tr>
      <w:tr w:rsidR="00065B80">
        <w:trPr>
          <w:gridAfter w:val="2"/>
          <w:wAfter w:w="2100" w:type="dxa"/>
          <w:trHeight w:val="118"/>
        </w:trPr>
        <w:tc>
          <w:tcPr>
            <w:tcW w:w="4570" w:type="dxa"/>
            <w:gridSpan w:val="4"/>
            <w:tcBorders>
              <w:top w:val="nil"/>
              <w:left w:val="nil"/>
              <w:bottom w:val="single" w:sz="4" w:space="0" w:color="808080"/>
              <w:right w:val="nil"/>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部门：湖南省娄底市中级人民法院</w:t>
            </w:r>
          </w:p>
        </w:tc>
        <w:tc>
          <w:tcPr>
            <w:tcW w:w="750" w:type="dxa"/>
            <w:gridSpan w:val="2"/>
            <w:tcBorders>
              <w:top w:val="nil"/>
              <w:left w:val="nil"/>
              <w:bottom w:val="single" w:sz="4" w:space="0" w:color="808080"/>
              <w:right w:val="nil"/>
            </w:tcBorders>
            <w:shd w:val="clear" w:color="auto" w:fill="FFFFFF"/>
            <w:noWrap/>
            <w:vAlign w:val="center"/>
          </w:tcPr>
          <w:p w:rsidR="00065B80" w:rsidRDefault="00065B80">
            <w:pPr>
              <w:widowControl/>
              <w:spacing w:line="220" w:lineRule="exact"/>
              <w:jc w:val="left"/>
              <w:rPr>
                <w:rFonts w:ascii="宋体" w:eastAsia="宋体" w:hAnsi="宋体" w:cs="宋体"/>
                <w:color w:val="000000"/>
                <w:sz w:val="18"/>
                <w:szCs w:val="18"/>
              </w:rPr>
            </w:pPr>
          </w:p>
        </w:tc>
        <w:tc>
          <w:tcPr>
            <w:tcW w:w="1505" w:type="dxa"/>
            <w:gridSpan w:val="2"/>
            <w:tcBorders>
              <w:top w:val="nil"/>
              <w:left w:val="nil"/>
              <w:bottom w:val="single" w:sz="4" w:space="0" w:color="808080"/>
              <w:right w:val="nil"/>
            </w:tcBorders>
            <w:shd w:val="clear" w:color="auto" w:fill="FFFFFF"/>
            <w:noWrap/>
            <w:vAlign w:val="center"/>
          </w:tcPr>
          <w:p w:rsidR="00065B80" w:rsidRDefault="00065B80">
            <w:pPr>
              <w:widowControl/>
              <w:spacing w:line="220" w:lineRule="exact"/>
              <w:jc w:val="center"/>
              <w:textAlignment w:val="center"/>
              <w:rPr>
                <w:rFonts w:ascii="宋体" w:eastAsia="宋体" w:hAnsi="宋体" w:cs="宋体"/>
                <w:color w:val="000000"/>
                <w:sz w:val="24"/>
                <w:szCs w:val="24"/>
              </w:rPr>
            </w:pPr>
          </w:p>
        </w:tc>
        <w:tc>
          <w:tcPr>
            <w:tcW w:w="3917" w:type="dxa"/>
            <w:gridSpan w:val="3"/>
            <w:tcBorders>
              <w:top w:val="nil"/>
              <w:left w:val="nil"/>
              <w:bottom w:val="single" w:sz="4" w:space="0" w:color="808080"/>
              <w:right w:val="nil"/>
            </w:tcBorders>
            <w:shd w:val="clear" w:color="auto" w:fill="FFFFFF"/>
            <w:noWrap/>
            <w:vAlign w:val="center"/>
          </w:tcPr>
          <w:p w:rsidR="00065B80" w:rsidRDefault="009A7EE1">
            <w:pPr>
              <w:widowControl/>
              <w:spacing w:line="220" w:lineRule="exact"/>
              <w:jc w:val="left"/>
              <w:rPr>
                <w:rFonts w:ascii="宋体" w:eastAsia="宋体" w:hAnsi="宋体" w:cs="宋体"/>
                <w:color w:val="000000"/>
                <w:sz w:val="18"/>
                <w:szCs w:val="18"/>
              </w:rPr>
            </w:pPr>
            <w:r>
              <w:rPr>
                <w:rFonts w:ascii="宋体" w:eastAsia="宋体" w:hAnsi="宋体" w:cs="宋体" w:hint="eastAsia"/>
                <w:color w:val="000000"/>
                <w:kern w:val="0"/>
                <w:sz w:val="24"/>
                <w:szCs w:val="24"/>
                <w:lang/>
              </w:rPr>
              <w:t>2021</w:t>
            </w:r>
            <w:r>
              <w:rPr>
                <w:rFonts w:ascii="宋体" w:eastAsia="宋体" w:hAnsi="宋体" w:cs="宋体" w:hint="eastAsia"/>
                <w:color w:val="000000"/>
                <w:kern w:val="0"/>
                <w:sz w:val="24"/>
                <w:szCs w:val="24"/>
                <w:lang/>
              </w:rPr>
              <w:t>年度</w:t>
            </w:r>
          </w:p>
        </w:tc>
        <w:tc>
          <w:tcPr>
            <w:tcW w:w="750" w:type="dxa"/>
            <w:gridSpan w:val="2"/>
            <w:tcBorders>
              <w:top w:val="nil"/>
              <w:left w:val="nil"/>
              <w:bottom w:val="single" w:sz="4" w:space="0" w:color="808080"/>
              <w:right w:val="nil"/>
            </w:tcBorders>
            <w:shd w:val="clear" w:color="auto" w:fill="FFFFFF"/>
            <w:noWrap/>
            <w:vAlign w:val="center"/>
          </w:tcPr>
          <w:p w:rsidR="00065B80" w:rsidRDefault="00065B80">
            <w:pPr>
              <w:widowControl/>
              <w:spacing w:line="220" w:lineRule="exact"/>
              <w:jc w:val="left"/>
              <w:rPr>
                <w:rFonts w:ascii="宋体" w:eastAsia="宋体" w:hAnsi="宋体" w:cs="宋体"/>
                <w:color w:val="000000"/>
                <w:sz w:val="18"/>
                <w:szCs w:val="18"/>
              </w:rPr>
            </w:pPr>
          </w:p>
        </w:tc>
        <w:tc>
          <w:tcPr>
            <w:tcW w:w="2141" w:type="dxa"/>
            <w:gridSpan w:val="2"/>
            <w:tcBorders>
              <w:top w:val="nil"/>
              <w:left w:val="nil"/>
              <w:bottom w:val="single" w:sz="4" w:space="0" w:color="808080"/>
              <w:right w:val="single" w:sz="4" w:space="0" w:color="80808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金额单位：万元</w:t>
            </w:r>
          </w:p>
        </w:tc>
      </w:tr>
      <w:tr w:rsidR="00065B80">
        <w:trPr>
          <w:gridAfter w:val="2"/>
          <w:wAfter w:w="2100" w:type="dxa"/>
          <w:trHeight w:val="123"/>
        </w:trPr>
        <w:tc>
          <w:tcPr>
            <w:tcW w:w="6825" w:type="dxa"/>
            <w:gridSpan w:val="8"/>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收入</w:t>
            </w:r>
          </w:p>
        </w:tc>
        <w:tc>
          <w:tcPr>
            <w:tcW w:w="6808" w:type="dxa"/>
            <w:gridSpan w:val="7"/>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支出</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1505"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金额</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2141"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金额</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栏次</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220" w:lineRule="exact"/>
              <w:jc w:val="center"/>
              <w:rPr>
                <w:rFonts w:ascii="宋体" w:eastAsia="宋体" w:hAnsi="宋体" w:cs="宋体"/>
                <w:color w:val="000000"/>
                <w:sz w:val="20"/>
                <w:szCs w:val="20"/>
              </w:rPr>
            </w:pPr>
          </w:p>
        </w:tc>
        <w:tc>
          <w:tcPr>
            <w:tcW w:w="1505"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栏次</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220" w:lineRule="exact"/>
              <w:jc w:val="center"/>
              <w:rPr>
                <w:rFonts w:ascii="宋体" w:eastAsia="宋体" w:hAnsi="宋体" w:cs="宋体"/>
                <w:color w:val="000000"/>
                <w:sz w:val="20"/>
                <w:szCs w:val="20"/>
              </w:rPr>
            </w:pPr>
          </w:p>
        </w:tc>
        <w:tc>
          <w:tcPr>
            <w:tcW w:w="2141"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一、一般公共预算财政拨款收入</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5,887.50</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一、一般公共服务支出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32</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二、政府性基金预算财政拨款收入</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二、外交支出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33</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三、国有资本经营预算财政拨款收入</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三、国防支出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34</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四、上级补助收入</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四、公共安全支出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35</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5,245.81</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五、事业收入</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五、教育支出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36</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2.73</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六、经营收入</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六、科学技术支出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37</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七、附属单位上缴收入</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七、文化旅游体育与传媒支出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38</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八、其他收入</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1,244.80</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八、社会保障和就业支出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254.81</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九、卫生健康支出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40</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245.35</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十、节能环保支出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41</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十一、城乡社区支出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42</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十二、农林水支出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43</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13</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十三、交通运输支出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44</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14</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十四、资源勘探工业信息等支出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45</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15</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十五、商业服务业等支出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46</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16</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十六、金融支出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47</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17</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十七、援助其他地区支出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48</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18</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十八、自然资源海洋气象等支出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49</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19</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十九、住房保障支出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50</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287.86</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二十、粮油物资储备支出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51</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21</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二十一、国有资本经营预算支出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52</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22</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二十二、灾害防治及应急管理支出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53</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23</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二十三、其他支出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54</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center"/>
              <w:rPr>
                <w:rFonts w:ascii="宋体" w:eastAsia="宋体" w:hAnsi="宋体" w:cs="宋体"/>
                <w:b/>
                <w:bCs/>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24</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二十四、债务还本支出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55</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二十五、债务付息支出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56</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26</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二十六、抗疫特别国债安排的支出</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57</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本年收入合计</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7,132.30</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本年支出合计</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58</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6,037.55</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使用非财政拨款结余</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结余分配</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59</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年初结转和结余</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29</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445.23</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年末结转和结余</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60</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1,539.71</w:t>
            </w: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right"/>
              <w:rPr>
                <w:rFonts w:ascii="宋体" w:eastAsia="宋体" w:hAnsi="宋体" w:cs="宋体"/>
                <w:color w:val="000000"/>
                <w:sz w:val="20"/>
                <w:szCs w:val="20"/>
              </w:rPr>
            </w:pP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220" w:lineRule="exact"/>
              <w:jc w:val="left"/>
              <w:rPr>
                <w:rFonts w:ascii="宋体" w:eastAsia="宋体" w:hAnsi="宋体" w:cs="宋体"/>
                <w:color w:val="000000"/>
                <w:sz w:val="20"/>
                <w:szCs w:val="20"/>
              </w:rPr>
            </w:pP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61</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220" w:lineRule="exact"/>
              <w:jc w:val="left"/>
              <w:rPr>
                <w:rFonts w:ascii="宋体" w:eastAsia="宋体" w:hAnsi="宋体" w:cs="宋体"/>
                <w:color w:val="000000"/>
                <w:sz w:val="20"/>
                <w:szCs w:val="20"/>
              </w:rPr>
            </w:pPr>
          </w:p>
        </w:tc>
      </w:tr>
      <w:tr w:rsidR="00065B80">
        <w:trPr>
          <w:gridAfter w:val="2"/>
          <w:wAfter w:w="2100" w:type="dxa"/>
          <w:trHeight w:val="123"/>
        </w:trPr>
        <w:tc>
          <w:tcPr>
            <w:tcW w:w="4570"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总计</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w:t>
            </w:r>
          </w:p>
        </w:tc>
        <w:tc>
          <w:tcPr>
            <w:tcW w:w="1505"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7,577.53</w:t>
            </w:r>
          </w:p>
        </w:tc>
        <w:tc>
          <w:tcPr>
            <w:tcW w:w="3917" w:type="dxa"/>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总计</w:t>
            </w:r>
          </w:p>
        </w:tc>
        <w:tc>
          <w:tcPr>
            <w:tcW w:w="750"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62</w:t>
            </w:r>
          </w:p>
        </w:tc>
        <w:tc>
          <w:tcPr>
            <w:tcW w:w="2141"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7,577.53</w:t>
            </w:r>
          </w:p>
        </w:tc>
      </w:tr>
      <w:tr w:rsidR="00065B80">
        <w:trPr>
          <w:gridAfter w:val="2"/>
          <w:wAfter w:w="2100" w:type="dxa"/>
          <w:trHeight w:val="123"/>
        </w:trPr>
        <w:tc>
          <w:tcPr>
            <w:tcW w:w="13633" w:type="dxa"/>
            <w:gridSpan w:val="15"/>
            <w:tcBorders>
              <w:top w:val="nil"/>
              <w:left w:val="nil"/>
              <w:bottom w:val="nil"/>
              <w:right w:val="nil"/>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注：</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本表反映部门本年度的总收支和年末结转结余情况。</w:t>
            </w:r>
          </w:p>
        </w:tc>
      </w:tr>
      <w:tr w:rsidR="00065B80">
        <w:trPr>
          <w:gridAfter w:val="2"/>
          <w:wAfter w:w="2100" w:type="dxa"/>
          <w:trHeight w:val="90"/>
        </w:trPr>
        <w:tc>
          <w:tcPr>
            <w:tcW w:w="13633" w:type="dxa"/>
            <w:gridSpan w:val="15"/>
            <w:tcBorders>
              <w:top w:val="nil"/>
              <w:left w:val="nil"/>
              <w:bottom w:val="nil"/>
              <w:right w:val="nil"/>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2.</w:t>
            </w:r>
            <w:r>
              <w:rPr>
                <w:rFonts w:ascii="宋体" w:eastAsia="宋体" w:hAnsi="宋体" w:cs="宋体" w:hint="eastAsia"/>
                <w:color w:val="000000"/>
                <w:kern w:val="0"/>
                <w:sz w:val="20"/>
                <w:szCs w:val="20"/>
                <w:lang/>
              </w:rPr>
              <w:t>本套报表金额单位转换时可能存在尾数误差。</w:t>
            </w:r>
          </w:p>
        </w:tc>
      </w:tr>
      <w:tr w:rsidR="00065B80">
        <w:trPr>
          <w:gridAfter w:val="2"/>
          <w:wAfter w:w="2100" w:type="dxa"/>
          <w:trHeight w:val="90"/>
        </w:trPr>
        <w:tc>
          <w:tcPr>
            <w:tcW w:w="13633" w:type="dxa"/>
            <w:gridSpan w:val="15"/>
            <w:tcBorders>
              <w:top w:val="nil"/>
              <w:left w:val="nil"/>
              <w:bottom w:val="nil"/>
              <w:right w:val="nil"/>
            </w:tcBorders>
            <w:shd w:val="clear" w:color="auto" w:fill="FFFFFF"/>
            <w:noWrap/>
            <w:vAlign w:val="center"/>
          </w:tcPr>
          <w:p w:rsidR="00065B80" w:rsidRDefault="00065B80">
            <w:pPr>
              <w:widowControl/>
              <w:spacing w:line="220" w:lineRule="exact"/>
              <w:jc w:val="left"/>
              <w:textAlignment w:val="center"/>
              <w:rPr>
                <w:rFonts w:ascii="宋体" w:eastAsia="宋体" w:hAnsi="宋体" w:cs="宋体"/>
                <w:color w:val="000000"/>
                <w:kern w:val="0"/>
                <w:sz w:val="20"/>
                <w:szCs w:val="20"/>
                <w:lang/>
              </w:rPr>
            </w:pPr>
          </w:p>
        </w:tc>
      </w:tr>
      <w:tr w:rsidR="00065B80">
        <w:trPr>
          <w:trHeight w:val="334"/>
        </w:trPr>
        <w:tc>
          <w:tcPr>
            <w:tcW w:w="15733" w:type="dxa"/>
            <w:gridSpan w:val="17"/>
            <w:tcBorders>
              <w:top w:val="nil"/>
              <w:left w:val="nil"/>
              <w:bottom w:val="nil"/>
              <w:right w:val="single" w:sz="4" w:space="0" w:color="808080"/>
            </w:tcBorders>
            <w:shd w:val="clear" w:color="auto" w:fill="FFFFFF"/>
            <w:noWrap/>
            <w:vAlign w:val="center"/>
          </w:tcPr>
          <w:p w:rsidR="00065B80" w:rsidRDefault="009A7EE1">
            <w:pPr>
              <w:jc w:val="center"/>
              <w:rPr>
                <w:rFonts w:ascii="宋体" w:eastAsia="宋体" w:hAnsi="宋体" w:cs="宋体"/>
                <w:color w:val="000000"/>
                <w:sz w:val="18"/>
                <w:szCs w:val="18"/>
              </w:rPr>
            </w:pPr>
            <w:r>
              <w:rPr>
                <w:rFonts w:ascii="黑体" w:eastAsia="黑体" w:hAnsi="宋体" w:cs="黑体" w:hint="eastAsia"/>
                <w:color w:val="000000"/>
                <w:kern w:val="0"/>
                <w:sz w:val="30"/>
                <w:szCs w:val="30"/>
                <w:lang/>
              </w:rPr>
              <w:lastRenderedPageBreak/>
              <w:t>收入决算表</w:t>
            </w:r>
          </w:p>
        </w:tc>
      </w:tr>
      <w:tr w:rsidR="00065B80">
        <w:trPr>
          <w:trHeight w:val="167"/>
        </w:trPr>
        <w:tc>
          <w:tcPr>
            <w:tcW w:w="579" w:type="dxa"/>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291" w:type="dxa"/>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291" w:type="dxa"/>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3455" w:type="dxa"/>
            <w:gridSpan w:val="2"/>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588" w:type="dxa"/>
            <w:gridSpan w:val="2"/>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588" w:type="dxa"/>
            <w:gridSpan w:val="2"/>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588" w:type="dxa"/>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588" w:type="dxa"/>
            <w:gridSpan w:val="2"/>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588" w:type="dxa"/>
            <w:gridSpan w:val="2"/>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588" w:type="dxa"/>
            <w:gridSpan w:val="2"/>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589" w:type="dxa"/>
            <w:tcBorders>
              <w:top w:val="nil"/>
              <w:left w:val="nil"/>
              <w:bottom w:val="nil"/>
              <w:right w:val="single" w:sz="4" w:space="0" w:color="808080"/>
            </w:tcBorders>
            <w:shd w:val="clear" w:color="auto" w:fill="FFFFFF"/>
            <w:noWrap/>
            <w:vAlign w:val="center"/>
          </w:tcPr>
          <w:p w:rsidR="00065B80" w:rsidRDefault="009A7E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公开</w:t>
            </w:r>
            <w:r>
              <w:rPr>
                <w:rFonts w:ascii="宋体" w:eastAsia="宋体" w:hAnsi="宋体" w:cs="宋体" w:hint="eastAsia"/>
                <w:color w:val="000000"/>
                <w:kern w:val="0"/>
                <w:sz w:val="22"/>
                <w:lang/>
              </w:rPr>
              <w:t>02</w:t>
            </w:r>
            <w:r>
              <w:rPr>
                <w:rFonts w:ascii="宋体" w:eastAsia="宋体" w:hAnsi="宋体" w:cs="宋体" w:hint="eastAsia"/>
                <w:color w:val="000000"/>
                <w:kern w:val="0"/>
                <w:sz w:val="22"/>
                <w:lang/>
              </w:rPr>
              <w:t>表</w:t>
            </w:r>
          </w:p>
        </w:tc>
      </w:tr>
      <w:tr w:rsidR="00065B80">
        <w:trPr>
          <w:trHeight w:val="167"/>
        </w:trPr>
        <w:tc>
          <w:tcPr>
            <w:tcW w:w="4616" w:type="dxa"/>
            <w:gridSpan w:val="5"/>
            <w:tcBorders>
              <w:top w:val="nil"/>
              <w:left w:val="nil"/>
              <w:bottom w:val="single" w:sz="4" w:space="0" w:color="808080"/>
              <w:right w:val="nil"/>
            </w:tcBorders>
            <w:shd w:val="clear" w:color="auto" w:fill="FFFFFF"/>
            <w:noWrap/>
            <w:vAlign w:val="center"/>
          </w:tcPr>
          <w:p w:rsidR="00065B80" w:rsidRDefault="009A7EE1">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kern w:val="0"/>
                <w:sz w:val="22"/>
                <w:lang/>
              </w:rPr>
              <w:t>部门：湖南省娄底市中级人民法院</w:t>
            </w:r>
          </w:p>
        </w:tc>
        <w:tc>
          <w:tcPr>
            <w:tcW w:w="1588" w:type="dxa"/>
            <w:gridSpan w:val="2"/>
            <w:tcBorders>
              <w:top w:val="nil"/>
              <w:left w:val="nil"/>
              <w:bottom w:val="single" w:sz="4" w:space="0" w:color="808080"/>
              <w:right w:val="nil"/>
            </w:tcBorders>
            <w:shd w:val="clear" w:color="auto" w:fill="FFFFFF"/>
            <w:noWrap/>
            <w:vAlign w:val="center"/>
          </w:tcPr>
          <w:p w:rsidR="00065B80" w:rsidRDefault="00065B80">
            <w:pPr>
              <w:widowControl/>
              <w:spacing w:line="260" w:lineRule="exact"/>
              <w:jc w:val="left"/>
              <w:rPr>
                <w:rFonts w:ascii="宋体" w:eastAsia="宋体" w:hAnsi="宋体" w:cs="宋体"/>
                <w:color w:val="000000"/>
                <w:sz w:val="18"/>
                <w:szCs w:val="18"/>
              </w:rPr>
            </w:pPr>
          </w:p>
        </w:tc>
        <w:tc>
          <w:tcPr>
            <w:tcW w:w="3176" w:type="dxa"/>
            <w:gridSpan w:val="3"/>
            <w:tcBorders>
              <w:top w:val="nil"/>
              <w:left w:val="nil"/>
              <w:bottom w:val="single" w:sz="4" w:space="0" w:color="808080"/>
              <w:right w:val="nil"/>
            </w:tcBorders>
            <w:shd w:val="clear" w:color="auto" w:fill="FFFFFF"/>
            <w:noWrap/>
            <w:vAlign w:val="center"/>
          </w:tcPr>
          <w:p w:rsidR="00065B80" w:rsidRDefault="009A7EE1">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kern w:val="0"/>
                <w:sz w:val="22"/>
                <w:lang/>
              </w:rPr>
              <w:t>2021</w:t>
            </w:r>
            <w:r>
              <w:rPr>
                <w:rFonts w:ascii="宋体" w:eastAsia="宋体" w:hAnsi="宋体" w:cs="宋体" w:hint="eastAsia"/>
                <w:color w:val="000000"/>
                <w:kern w:val="0"/>
                <w:sz w:val="22"/>
                <w:lang/>
              </w:rPr>
              <w:t>年度</w:t>
            </w:r>
          </w:p>
        </w:tc>
        <w:tc>
          <w:tcPr>
            <w:tcW w:w="1588" w:type="dxa"/>
            <w:gridSpan w:val="2"/>
            <w:tcBorders>
              <w:top w:val="nil"/>
              <w:left w:val="nil"/>
              <w:bottom w:val="single" w:sz="4" w:space="0" w:color="808080"/>
              <w:right w:val="nil"/>
            </w:tcBorders>
            <w:shd w:val="clear" w:color="auto" w:fill="FFFFFF"/>
            <w:noWrap/>
            <w:vAlign w:val="center"/>
          </w:tcPr>
          <w:p w:rsidR="00065B80" w:rsidRDefault="00065B80">
            <w:pPr>
              <w:widowControl/>
              <w:spacing w:line="260" w:lineRule="exact"/>
              <w:jc w:val="left"/>
              <w:rPr>
                <w:rFonts w:ascii="宋体" w:eastAsia="宋体" w:hAnsi="宋体" w:cs="宋体"/>
                <w:color w:val="000000"/>
                <w:sz w:val="18"/>
                <w:szCs w:val="18"/>
              </w:rPr>
            </w:pPr>
          </w:p>
        </w:tc>
        <w:tc>
          <w:tcPr>
            <w:tcW w:w="1588" w:type="dxa"/>
            <w:gridSpan w:val="2"/>
            <w:tcBorders>
              <w:top w:val="nil"/>
              <w:left w:val="nil"/>
              <w:bottom w:val="single" w:sz="4" w:space="0" w:color="808080"/>
              <w:right w:val="nil"/>
            </w:tcBorders>
            <w:shd w:val="clear" w:color="auto" w:fill="FFFFFF"/>
            <w:noWrap/>
            <w:vAlign w:val="center"/>
          </w:tcPr>
          <w:p w:rsidR="00065B80" w:rsidRDefault="00065B80">
            <w:pPr>
              <w:widowControl/>
              <w:spacing w:line="260" w:lineRule="exact"/>
              <w:jc w:val="left"/>
              <w:rPr>
                <w:rFonts w:ascii="宋体" w:eastAsia="宋体" w:hAnsi="宋体" w:cs="宋体"/>
                <w:color w:val="000000"/>
                <w:sz w:val="18"/>
                <w:szCs w:val="18"/>
              </w:rPr>
            </w:pPr>
          </w:p>
        </w:tc>
        <w:tc>
          <w:tcPr>
            <w:tcW w:w="3177" w:type="dxa"/>
            <w:gridSpan w:val="3"/>
            <w:tcBorders>
              <w:top w:val="nil"/>
              <w:left w:val="nil"/>
              <w:bottom w:val="single" w:sz="4" w:space="0" w:color="808080"/>
              <w:right w:val="single" w:sz="4" w:space="0" w:color="808080"/>
            </w:tcBorders>
            <w:shd w:val="clear" w:color="auto" w:fill="FFFFFF"/>
            <w:noWrap/>
            <w:vAlign w:val="center"/>
          </w:tcPr>
          <w:p w:rsidR="00065B80" w:rsidRDefault="009A7EE1">
            <w:pPr>
              <w:widowControl/>
              <w:spacing w:line="26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金额单位：万元</w:t>
            </w:r>
          </w:p>
        </w:tc>
      </w:tr>
      <w:tr w:rsidR="00065B80">
        <w:trPr>
          <w:trHeight w:val="172"/>
        </w:trPr>
        <w:tc>
          <w:tcPr>
            <w:tcW w:w="4616" w:type="dxa"/>
            <w:gridSpan w:val="5"/>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w:t>
            </w:r>
          </w:p>
        </w:tc>
        <w:tc>
          <w:tcPr>
            <w:tcW w:w="1588" w:type="dxa"/>
            <w:gridSpan w:val="2"/>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本年收入合计</w:t>
            </w:r>
          </w:p>
        </w:tc>
        <w:tc>
          <w:tcPr>
            <w:tcW w:w="1588" w:type="dxa"/>
            <w:gridSpan w:val="2"/>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财政拨款收入</w:t>
            </w:r>
          </w:p>
        </w:tc>
        <w:tc>
          <w:tcPr>
            <w:tcW w:w="1588" w:type="dxa"/>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上级补助收入</w:t>
            </w:r>
          </w:p>
        </w:tc>
        <w:tc>
          <w:tcPr>
            <w:tcW w:w="1588" w:type="dxa"/>
            <w:gridSpan w:val="2"/>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事业收入</w:t>
            </w:r>
          </w:p>
        </w:tc>
        <w:tc>
          <w:tcPr>
            <w:tcW w:w="1588" w:type="dxa"/>
            <w:gridSpan w:val="2"/>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经营收入</w:t>
            </w:r>
          </w:p>
        </w:tc>
        <w:tc>
          <w:tcPr>
            <w:tcW w:w="1588" w:type="dxa"/>
            <w:gridSpan w:val="2"/>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附属单位上缴收入</w:t>
            </w:r>
          </w:p>
        </w:tc>
        <w:tc>
          <w:tcPr>
            <w:tcW w:w="1589" w:type="dxa"/>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其他收入</w:t>
            </w:r>
          </w:p>
        </w:tc>
      </w:tr>
      <w:tr w:rsidR="00065B80">
        <w:trPr>
          <w:trHeight w:val="312"/>
        </w:trPr>
        <w:tc>
          <w:tcPr>
            <w:tcW w:w="1161"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功能分类科目编码</w:t>
            </w:r>
          </w:p>
        </w:tc>
        <w:tc>
          <w:tcPr>
            <w:tcW w:w="3455" w:type="dxa"/>
            <w:gridSpan w:val="2"/>
            <w:vMerge w:val="restar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科目名称</w:t>
            </w: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9"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r>
      <w:tr w:rsidR="00065B80">
        <w:trPr>
          <w:trHeight w:val="312"/>
        </w:trPr>
        <w:tc>
          <w:tcPr>
            <w:tcW w:w="1161" w:type="dxa"/>
            <w:gridSpan w:val="3"/>
            <w:vMerge/>
            <w:tcBorders>
              <w:top w:val="nil"/>
              <w:left w:val="single" w:sz="4" w:space="0" w:color="000000"/>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3455" w:type="dxa"/>
            <w:gridSpan w:val="2"/>
            <w:vMerge/>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9"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r>
      <w:tr w:rsidR="00065B80">
        <w:trPr>
          <w:trHeight w:val="312"/>
        </w:trPr>
        <w:tc>
          <w:tcPr>
            <w:tcW w:w="1161" w:type="dxa"/>
            <w:gridSpan w:val="3"/>
            <w:vMerge/>
            <w:tcBorders>
              <w:top w:val="nil"/>
              <w:left w:val="single" w:sz="4" w:space="0" w:color="000000"/>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3455" w:type="dxa"/>
            <w:gridSpan w:val="2"/>
            <w:vMerge/>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8"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c>
          <w:tcPr>
            <w:tcW w:w="1589"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20" w:lineRule="exact"/>
              <w:jc w:val="center"/>
              <w:rPr>
                <w:rFonts w:ascii="宋体" w:eastAsia="宋体" w:hAnsi="宋体" w:cs="宋体"/>
                <w:color w:val="000000"/>
                <w:sz w:val="20"/>
                <w:szCs w:val="20"/>
              </w:rPr>
            </w:pPr>
          </w:p>
        </w:tc>
      </w:tr>
      <w:tr w:rsidR="00065B80">
        <w:trPr>
          <w:trHeight w:val="172"/>
        </w:trPr>
        <w:tc>
          <w:tcPr>
            <w:tcW w:w="4616" w:type="dxa"/>
            <w:gridSpan w:val="5"/>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栏次</w:t>
            </w:r>
          </w:p>
        </w:tc>
        <w:tc>
          <w:tcPr>
            <w:tcW w:w="1588" w:type="dxa"/>
            <w:gridSpan w:val="2"/>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588" w:type="dxa"/>
            <w:gridSpan w:val="2"/>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588" w:type="dxa"/>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1588" w:type="dxa"/>
            <w:gridSpan w:val="2"/>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1588" w:type="dxa"/>
            <w:gridSpan w:val="2"/>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588" w:type="dxa"/>
            <w:gridSpan w:val="2"/>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c>
          <w:tcPr>
            <w:tcW w:w="1589" w:type="dxa"/>
            <w:tcBorders>
              <w:top w:val="nil"/>
              <w:left w:val="nil"/>
              <w:bottom w:val="single" w:sz="4" w:space="0" w:color="000000"/>
              <w:right w:val="single" w:sz="4" w:space="0" w:color="000000"/>
            </w:tcBorders>
            <w:shd w:val="clear" w:color="auto" w:fill="C0C0C0"/>
            <w:vAlign w:val="center"/>
          </w:tcPr>
          <w:p w:rsidR="00065B80" w:rsidRDefault="009A7EE1">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w:t>
            </w:r>
          </w:p>
        </w:tc>
      </w:tr>
      <w:tr w:rsidR="00065B80">
        <w:trPr>
          <w:trHeight w:val="172"/>
        </w:trPr>
        <w:tc>
          <w:tcPr>
            <w:tcW w:w="4616" w:type="dxa"/>
            <w:gridSpan w:val="5"/>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合计</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7,132.30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5,887.50</w:t>
            </w:r>
          </w:p>
        </w:tc>
        <w:tc>
          <w:tcPr>
            <w:tcW w:w="1588"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1,244.80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204</w:t>
            </w:r>
          </w:p>
        </w:tc>
        <w:tc>
          <w:tcPr>
            <w:tcW w:w="3455"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公共安全支出</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6,295.30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5,050.50</w:t>
            </w:r>
          </w:p>
        </w:tc>
        <w:tc>
          <w:tcPr>
            <w:tcW w:w="1588"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1,244.80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20405</w:t>
            </w:r>
          </w:p>
        </w:tc>
        <w:tc>
          <w:tcPr>
            <w:tcW w:w="3455"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法院</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6,295.30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5,050.50</w:t>
            </w:r>
          </w:p>
        </w:tc>
        <w:tc>
          <w:tcPr>
            <w:tcW w:w="1588"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1,244.80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2040501</w:t>
            </w:r>
          </w:p>
        </w:tc>
        <w:tc>
          <w:tcPr>
            <w:tcW w:w="3455" w:type="dxa"/>
            <w:gridSpan w:val="2"/>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行政运行</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3,626.20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3,626.20</w:t>
            </w:r>
          </w:p>
        </w:tc>
        <w:tc>
          <w:tcPr>
            <w:tcW w:w="1588"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2040502</w:t>
            </w:r>
          </w:p>
        </w:tc>
        <w:tc>
          <w:tcPr>
            <w:tcW w:w="3455" w:type="dxa"/>
            <w:gridSpan w:val="2"/>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一般行政管理事务</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1,259.30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1,259.30</w:t>
            </w:r>
          </w:p>
        </w:tc>
        <w:tc>
          <w:tcPr>
            <w:tcW w:w="1588"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2040504</w:t>
            </w:r>
          </w:p>
        </w:tc>
        <w:tc>
          <w:tcPr>
            <w:tcW w:w="3455" w:type="dxa"/>
            <w:gridSpan w:val="2"/>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案件审判</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35.00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35.00</w:t>
            </w:r>
          </w:p>
        </w:tc>
        <w:tc>
          <w:tcPr>
            <w:tcW w:w="1588"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2040506</w:t>
            </w:r>
          </w:p>
        </w:tc>
        <w:tc>
          <w:tcPr>
            <w:tcW w:w="3455" w:type="dxa"/>
            <w:gridSpan w:val="2"/>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“两庭”建设</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130.00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130.00</w:t>
            </w:r>
          </w:p>
        </w:tc>
        <w:tc>
          <w:tcPr>
            <w:tcW w:w="1588"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2040599</w:t>
            </w:r>
          </w:p>
        </w:tc>
        <w:tc>
          <w:tcPr>
            <w:tcW w:w="3455" w:type="dxa"/>
            <w:gridSpan w:val="2"/>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其他法院支出</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1,244.80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1,244.80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205</w:t>
            </w:r>
          </w:p>
        </w:tc>
        <w:tc>
          <w:tcPr>
            <w:tcW w:w="3455"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教育支出</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5.00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5.00</w:t>
            </w:r>
          </w:p>
        </w:tc>
        <w:tc>
          <w:tcPr>
            <w:tcW w:w="1588"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20508</w:t>
            </w:r>
          </w:p>
        </w:tc>
        <w:tc>
          <w:tcPr>
            <w:tcW w:w="3455"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进修及培训</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5.00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5.00</w:t>
            </w:r>
          </w:p>
        </w:tc>
        <w:tc>
          <w:tcPr>
            <w:tcW w:w="1588"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2050803</w:t>
            </w:r>
          </w:p>
        </w:tc>
        <w:tc>
          <w:tcPr>
            <w:tcW w:w="3455" w:type="dxa"/>
            <w:gridSpan w:val="2"/>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培训支出</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5.00</w:t>
            </w:r>
          </w:p>
        </w:tc>
        <w:tc>
          <w:tcPr>
            <w:tcW w:w="1588"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208</w:t>
            </w:r>
          </w:p>
        </w:tc>
        <w:tc>
          <w:tcPr>
            <w:tcW w:w="3455"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社会保障和就业支出</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256.00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256.00</w:t>
            </w:r>
          </w:p>
        </w:tc>
        <w:tc>
          <w:tcPr>
            <w:tcW w:w="1588"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20805</w:t>
            </w:r>
          </w:p>
        </w:tc>
        <w:tc>
          <w:tcPr>
            <w:tcW w:w="3455"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行政事业单位养老支出</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250.00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250.00</w:t>
            </w:r>
          </w:p>
        </w:tc>
        <w:tc>
          <w:tcPr>
            <w:tcW w:w="1588"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2080505</w:t>
            </w:r>
          </w:p>
        </w:tc>
        <w:tc>
          <w:tcPr>
            <w:tcW w:w="3455" w:type="dxa"/>
            <w:gridSpan w:val="2"/>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机关事业单位基本养老保险缴费支出</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250.00</w:t>
            </w:r>
          </w:p>
        </w:tc>
        <w:tc>
          <w:tcPr>
            <w:tcW w:w="1588"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20899</w:t>
            </w:r>
          </w:p>
        </w:tc>
        <w:tc>
          <w:tcPr>
            <w:tcW w:w="3455"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其他社会保障和就业支出</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6.00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6.00</w:t>
            </w:r>
          </w:p>
        </w:tc>
        <w:tc>
          <w:tcPr>
            <w:tcW w:w="1588"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2089999</w:t>
            </w:r>
          </w:p>
        </w:tc>
        <w:tc>
          <w:tcPr>
            <w:tcW w:w="3455" w:type="dxa"/>
            <w:gridSpan w:val="2"/>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其他社会保障和就业支出</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6.00</w:t>
            </w:r>
          </w:p>
        </w:tc>
        <w:tc>
          <w:tcPr>
            <w:tcW w:w="1588"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210</w:t>
            </w:r>
          </w:p>
        </w:tc>
        <w:tc>
          <w:tcPr>
            <w:tcW w:w="3455"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卫生健康支出</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277.00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277.00</w:t>
            </w:r>
          </w:p>
        </w:tc>
        <w:tc>
          <w:tcPr>
            <w:tcW w:w="1588"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21011</w:t>
            </w:r>
          </w:p>
        </w:tc>
        <w:tc>
          <w:tcPr>
            <w:tcW w:w="3455"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行政事业单位医疗</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277.00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277.00</w:t>
            </w:r>
          </w:p>
        </w:tc>
        <w:tc>
          <w:tcPr>
            <w:tcW w:w="1588"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2101101</w:t>
            </w:r>
          </w:p>
        </w:tc>
        <w:tc>
          <w:tcPr>
            <w:tcW w:w="3455" w:type="dxa"/>
            <w:gridSpan w:val="2"/>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行政单位医疗</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199.00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199.00</w:t>
            </w:r>
          </w:p>
        </w:tc>
        <w:tc>
          <w:tcPr>
            <w:tcW w:w="1588"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2101103</w:t>
            </w:r>
          </w:p>
        </w:tc>
        <w:tc>
          <w:tcPr>
            <w:tcW w:w="3455" w:type="dxa"/>
            <w:gridSpan w:val="2"/>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公务员医疗补助</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78.00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78.00</w:t>
            </w:r>
          </w:p>
        </w:tc>
        <w:tc>
          <w:tcPr>
            <w:tcW w:w="1588"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221</w:t>
            </w:r>
          </w:p>
        </w:tc>
        <w:tc>
          <w:tcPr>
            <w:tcW w:w="3455"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住房保障支出</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299.00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299.00</w:t>
            </w:r>
          </w:p>
        </w:tc>
        <w:tc>
          <w:tcPr>
            <w:tcW w:w="1588"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22102</w:t>
            </w:r>
          </w:p>
        </w:tc>
        <w:tc>
          <w:tcPr>
            <w:tcW w:w="3455"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住房改革支出</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299.00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299.00</w:t>
            </w:r>
          </w:p>
        </w:tc>
        <w:tc>
          <w:tcPr>
            <w:tcW w:w="1588"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2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172"/>
        </w:trPr>
        <w:tc>
          <w:tcPr>
            <w:tcW w:w="1161" w:type="dxa"/>
            <w:gridSpan w:val="3"/>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2210201</w:t>
            </w:r>
          </w:p>
        </w:tc>
        <w:tc>
          <w:tcPr>
            <w:tcW w:w="3455" w:type="dxa"/>
            <w:gridSpan w:val="2"/>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住房公积金</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299.00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299.00</w:t>
            </w:r>
          </w:p>
        </w:tc>
        <w:tc>
          <w:tcPr>
            <w:tcW w:w="1588"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8"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58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172"/>
        </w:trPr>
        <w:tc>
          <w:tcPr>
            <w:tcW w:w="15733" w:type="dxa"/>
            <w:gridSpan w:val="17"/>
            <w:tcBorders>
              <w:top w:val="nil"/>
              <w:left w:val="nil"/>
              <w:bottom w:val="nil"/>
              <w:right w:val="nil"/>
            </w:tcBorders>
            <w:shd w:val="clear" w:color="auto" w:fill="FFFFFF"/>
            <w:noWrap/>
            <w:vAlign w:val="center"/>
          </w:tcPr>
          <w:p w:rsidR="00065B80" w:rsidRDefault="009A7EE1">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注：本表反映部门本年度取得的各项收入情况。</w:t>
            </w:r>
          </w:p>
        </w:tc>
      </w:tr>
    </w:tbl>
    <w:p w:rsidR="00065B80" w:rsidRDefault="00065B80" w:rsidP="00F02B7A">
      <w:pPr>
        <w:pStyle w:val="a0"/>
        <w:ind w:firstLine="720"/>
        <w:rPr>
          <w:sz w:val="72"/>
          <w:szCs w:val="72"/>
        </w:rPr>
      </w:pPr>
    </w:p>
    <w:tbl>
      <w:tblPr>
        <w:tblW w:w="15315" w:type="dxa"/>
        <w:tblInd w:w="93" w:type="dxa"/>
        <w:tblLayout w:type="fixed"/>
        <w:tblLook w:val="04A0"/>
      </w:tblPr>
      <w:tblGrid>
        <w:gridCol w:w="2642"/>
        <w:gridCol w:w="194"/>
        <w:gridCol w:w="265"/>
        <w:gridCol w:w="236"/>
        <w:gridCol w:w="1994"/>
        <w:gridCol w:w="1711"/>
        <w:gridCol w:w="1263"/>
        <w:gridCol w:w="1723"/>
        <w:gridCol w:w="919"/>
        <w:gridCol w:w="1456"/>
        <w:gridCol w:w="1456"/>
        <w:gridCol w:w="1456"/>
      </w:tblGrid>
      <w:tr w:rsidR="00065B80">
        <w:trPr>
          <w:trHeight w:val="90"/>
        </w:trPr>
        <w:tc>
          <w:tcPr>
            <w:tcW w:w="15315" w:type="dxa"/>
            <w:gridSpan w:val="12"/>
            <w:tcBorders>
              <w:top w:val="nil"/>
              <w:left w:val="nil"/>
              <w:bottom w:val="nil"/>
              <w:right w:val="single" w:sz="4" w:space="0" w:color="808080"/>
            </w:tcBorders>
            <w:shd w:val="clear" w:color="auto" w:fill="FFFFFF"/>
            <w:noWrap/>
            <w:vAlign w:val="center"/>
          </w:tcPr>
          <w:p w:rsidR="00065B80" w:rsidRDefault="009A7EE1">
            <w:pPr>
              <w:jc w:val="center"/>
              <w:rPr>
                <w:rFonts w:ascii="宋体" w:eastAsia="宋体" w:hAnsi="宋体" w:cs="宋体"/>
                <w:color w:val="000000"/>
                <w:sz w:val="18"/>
                <w:szCs w:val="18"/>
              </w:rPr>
            </w:pPr>
            <w:r>
              <w:rPr>
                <w:rFonts w:ascii="黑体" w:eastAsia="黑体" w:hAnsi="宋体" w:cs="黑体" w:hint="eastAsia"/>
                <w:color w:val="000000"/>
                <w:kern w:val="0"/>
                <w:sz w:val="30"/>
                <w:szCs w:val="30"/>
                <w:lang/>
              </w:rPr>
              <w:lastRenderedPageBreak/>
              <w:t>支出决算表</w:t>
            </w:r>
          </w:p>
        </w:tc>
      </w:tr>
      <w:tr w:rsidR="00065B80">
        <w:trPr>
          <w:trHeight w:val="90"/>
        </w:trPr>
        <w:tc>
          <w:tcPr>
            <w:tcW w:w="2836" w:type="dxa"/>
            <w:gridSpan w:val="2"/>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265" w:type="dxa"/>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236" w:type="dxa"/>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994" w:type="dxa"/>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711" w:type="dxa"/>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263" w:type="dxa"/>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2642" w:type="dxa"/>
            <w:gridSpan w:val="2"/>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456" w:type="dxa"/>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456" w:type="dxa"/>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456" w:type="dxa"/>
            <w:tcBorders>
              <w:top w:val="nil"/>
              <w:left w:val="nil"/>
              <w:bottom w:val="nil"/>
              <w:right w:val="single" w:sz="4" w:space="0" w:color="808080"/>
            </w:tcBorders>
            <w:shd w:val="clear" w:color="auto" w:fill="FFFFFF"/>
            <w:noWrap/>
            <w:vAlign w:val="center"/>
          </w:tcPr>
          <w:p w:rsidR="00065B80" w:rsidRDefault="009A7E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公开</w:t>
            </w:r>
            <w:r>
              <w:rPr>
                <w:rFonts w:ascii="宋体" w:eastAsia="宋体" w:hAnsi="宋体" w:cs="宋体" w:hint="eastAsia"/>
                <w:color w:val="000000"/>
                <w:kern w:val="0"/>
                <w:sz w:val="22"/>
                <w:lang/>
              </w:rPr>
              <w:t>03</w:t>
            </w:r>
            <w:r>
              <w:rPr>
                <w:rFonts w:ascii="宋体" w:eastAsia="宋体" w:hAnsi="宋体" w:cs="宋体" w:hint="eastAsia"/>
                <w:color w:val="000000"/>
                <w:kern w:val="0"/>
                <w:sz w:val="22"/>
                <w:lang/>
              </w:rPr>
              <w:t>表</w:t>
            </w:r>
          </w:p>
        </w:tc>
      </w:tr>
      <w:tr w:rsidR="00065B80">
        <w:trPr>
          <w:trHeight w:val="90"/>
        </w:trPr>
        <w:tc>
          <w:tcPr>
            <w:tcW w:w="5331" w:type="dxa"/>
            <w:gridSpan w:val="5"/>
            <w:tcBorders>
              <w:top w:val="nil"/>
              <w:left w:val="nil"/>
              <w:bottom w:val="single" w:sz="4" w:space="0" w:color="808080"/>
              <w:right w:val="nil"/>
            </w:tcBorders>
            <w:shd w:val="clear" w:color="auto" w:fill="FFFFFF"/>
            <w:noWrap/>
            <w:vAlign w:val="center"/>
          </w:tcPr>
          <w:p w:rsidR="00065B80" w:rsidRDefault="009A7EE1">
            <w:pPr>
              <w:jc w:val="left"/>
              <w:rPr>
                <w:rFonts w:ascii="宋体" w:eastAsia="宋体" w:hAnsi="宋体" w:cs="宋体"/>
                <w:color w:val="000000"/>
                <w:sz w:val="18"/>
                <w:szCs w:val="18"/>
              </w:rPr>
            </w:pPr>
            <w:r>
              <w:rPr>
                <w:rFonts w:ascii="宋体" w:eastAsia="宋体" w:hAnsi="宋体" w:cs="宋体" w:hint="eastAsia"/>
                <w:color w:val="000000"/>
                <w:kern w:val="0"/>
                <w:sz w:val="22"/>
                <w:lang/>
              </w:rPr>
              <w:t>部门：湖南省娄底市中级人民法院</w:t>
            </w:r>
          </w:p>
        </w:tc>
        <w:tc>
          <w:tcPr>
            <w:tcW w:w="1711" w:type="dxa"/>
            <w:tcBorders>
              <w:top w:val="nil"/>
              <w:left w:val="nil"/>
              <w:bottom w:val="single" w:sz="4" w:space="0" w:color="808080"/>
              <w:right w:val="nil"/>
            </w:tcBorders>
            <w:shd w:val="clear" w:color="auto" w:fill="FFFFFF"/>
            <w:noWrap/>
            <w:vAlign w:val="center"/>
          </w:tcPr>
          <w:p w:rsidR="00065B80" w:rsidRDefault="00065B80">
            <w:pPr>
              <w:widowControl/>
              <w:jc w:val="center"/>
              <w:textAlignment w:val="center"/>
              <w:rPr>
                <w:rFonts w:ascii="宋体" w:eastAsia="宋体" w:hAnsi="宋体" w:cs="宋体"/>
                <w:color w:val="000000"/>
                <w:sz w:val="22"/>
              </w:rPr>
            </w:pPr>
          </w:p>
        </w:tc>
        <w:tc>
          <w:tcPr>
            <w:tcW w:w="1263" w:type="dxa"/>
            <w:tcBorders>
              <w:top w:val="nil"/>
              <w:left w:val="nil"/>
              <w:bottom w:val="single" w:sz="4" w:space="0" w:color="808080"/>
              <w:right w:val="nil"/>
            </w:tcBorders>
            <w:shd w:val="clear" w:color="auto" w:fill="FFFFFF"/>
            <w:noWrap/>
            <w:vAlign w:val="center"/>
          </w:tcPr>
          <w:p w:rsidR="00065B80" w:rsidRDefault="009A7EE1">
            <w:pPr>
              <w:jc w:val="left"/>
              <w:rPr>
                <w:rFonts w:ascii="宋体" w:eastAsia="宋体" w:hAnsi="宋体" w:cs="宋体"/>
                <w:color w:val="000000"/>
                <w:sz w:val="18"/>
                <w:szCs w:val="18"/>
              </w:rPr>
            </w:pPr>
            <w:r>
              <w:rPr>
                <w:rFonts w:ascii="宋体" w:eastAsia="宋体" w:hAnsi="宋体" w:cs="宋体" w:hint="eastAsia"/>
                <w:color w:val="000000"/>
                <w:kern w:val="0"/>
                <w:sz w:val="22"/>
                <w:lang/>
              </w:rPr>
              <w:t>2021</w:t>
            </w:r>
            <w:r>
              <w:rPr>
                <w:rFonts w:ascii="宋体" w:eastAsia="宋体" w:hAnsi="宋体" w:cs="宋体" w:hint="eastAsia"/>
                <w:color w:val="000000"/>
                <w:kern w:val="0"/>
                <w:sz w:val="22"/>
                <w:lang/>
              </w:rPr>
              <w:t>年度</w:t>
            </w:r>
          </w:p>
        </w:tc>
        <w:tc>
          <w:tcPr>
            <w:tcW w:w="2642" w:type="dxa"/>
            <w:gridSpan w:val="2"/>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456" w:type="dxa"/>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2912" w:type="dxa"/>
            <w:gridSpan w:val="2"/>
            <w:tcBorders>
              <w:top w:val="nil"/>
              <w:left w:val="nil"/>
              <w:bottom w:val="single" w:sz="4" w:space="0" w:color="808080"/>
              <w:right w:val="single" w:sz="4" w:space="0" w:color="808080"/>
            </w:tcBorders>
            <w:shd w:val="clear" w:color="auto" w:fill="FFFFFF"/>
            <w:noWrap/>
            <w:vAlign w:val="center"/>
          </w:tcPr>
          <w:p w:rsidR="00065B80" w:rsidRDefault="009A7E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金额单位：万元</w:t>
            </w:r>
          </w:p>
        </w:tc>
      </w:tr>
      <w:tr w:rsidR="00065B80">
        <w:trPr>
          <w:trHeight w:val="90"/>
        </w:trPr>
        <w:tc>
          <w:tcPr>
            <w:tcW w:w="5331" w:type="dxa"/>
            <w:gridSpan w:val="5"/>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w:t>
            </w:r>
          </w:p>
        </w:tc>
        <w:tc>
          <w:tcPr>
            <w:tcW w:w="1711" w:type="dxa"/>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本年支出合计</w:t>
            </w:r>
          </w:p>
        </w:tc>
        <w:tc>
          <w:tcPr>
            <w:tcW w:w="1263" w:type="dxa"/>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基本支出</w:t>
            </w:r>
          </w:p>
        </w:tc>
        <w:tc>
          <w:tcPr>
            <w:tcW w:w="1723" w:type="dxa"/>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项目支出</w:t>
            </w:r>
          </w:p>
        </w:tc>
        <w:tc>
          <w:tcPr>
            <w:tcW w:w="919" w:type="dxa"/>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上缴上级支出</w:t>
            </w:r>
          </w:p>
        </w:tc>
        <w:tc>
          <w:tcPr>
            <w:tcW w:w="2912" w:type="dxa"/>
            <w:gridSpan w:val="2"/>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经营支出</w:t>
            </w:r>
          </w:p>
        </w:tc>
        <w:tc>
          <w:tcPr>
            <w:tcW w:w="1456" w:type="dxa"/>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对附属单位补助支出</w:t>
            </w:r>
          </w:p>
        </w:tc>
      </w:tr>
      <w:tr w:rsidR="00065B80">
        <w:trPr>
          <w:trHeight w:val="312"/>
        </w:trPr>
        <w:tc>
          <w:tcPr>
            <w:tcW w:w="2642" w:type="dxa"/>
            <w:vMerge w:val="restart"/>
            <w:tcBorders>
              <w:top w:val="nil"/>
              <w:left w:val="single" w:sz="4" w:space="0" w:color="000000"/>
              <w:bottom w:val="single" w:sz="4" w:space="0" w:color="000000"/>
              <w:right w:val="single" w:sz="4" w:space="0" w:color="000000"/>
            </w:tcBorders>
            <w:shd w:val="clear" w:color="auto" w:fill="C0C0C0"/>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功能分类科目编码</w:t>
            </w:r>
          </w:p>
        </w:tc>
        <w:tc>
          <w:tcPr>
            <w:tcW w:w="2689" w:type="dxa"/>
            <w:gridSpan w:val="4"/>
            <w:vMerge w:val="restar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科目名称</w:t>
            </w:r>
          </w:p>
        </w:tc>
        <w:tc>
          <w:tcPr>
            <w:tcW w:w="1711"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1263"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1723"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919"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2912"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1456"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r>
      <w:tr w:rsidR="00065B80">
        <w:trPr>
          <w:trHeight w:val="312"/>
        </w:trPr>
        <w:tc>
          <w:tcPr>
            <w:tcW w:w="2642" w:type="dxa"/>
            <w:vMerge/>
            <w:tcBorders>
              <w:top w:val="nil"/>
              <w:left w:val="single" w:sz="4" w:space="0" w:color="000000"/>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2689" w:type="dxa"/>
            <w:gridSpan w:val="4"/>
            <w:vMerge/>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240" w:lineRule="exact"/>
              <w:jc w:val="center"/>
              <w:rPr>
                <w:rFonts w:ascii="宋体" w:eastAsia="宋体" w:hAnsi="宋体" w:cs="宋体"/>
                <w:color w:val="000000"/>
                <w:sz w:val="20"/>
                <w:szCs w:val="20"/>
              </w:rPr>
            </w:pPr>
          </w:p>
        </w:tc>
        <w:tc>
          <w:tcPr>
            <w:tcW w:w="1711"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1263"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1723"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919"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2912"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1456"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r>
      <w:tr w:rsidR="00065B80">
        <w:trPr>
          <w:trHeight w:val="312"/>
        </w:trPr>
        <w:tc>
          <w:tcPr>
            <w:tcW w:w="2642" w:type="dxa"/>
            <w:vMerge/>
            <w:tcBorders>
              <w:top w:val="nil"/>
              <w:left w:val="single" w:sz="4" w:space="0" w:color="000000"/>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2689" w:type="dxa"/>
            <w:gridSpan w:val="4"/>
            <w:vMerge/>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240" w:lineRule="exact"/>
              <w:jc w:val="center"/>
              <w:rPr>
                <w:rFonts w:ascii="宋体" w:eastAsia="宋体" w:hAnsi="宋体" w:cs="宋体"/>
                <w:color w:val="000000"/>
                <w:sz w:val="20"/>
                <w:szCs w:val="20"/>
              </w:rPr>
            </w:pPr>
          </w:p>
        </w:tc>
        <w:tc>
          <w:tcPr>
            <w:tcW w:w="1711"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1263"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1723"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919"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2912" w:type="dxa"/>
            <w:gridSpan w:val="2"/>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c>
          <w:tcPr>
            <w:tcW w:w="1456" w:type="dxa"/>
            <w:vMerge/>
            <w:tcBorders>
              <w:top w:val="nil"/>
              <w:left w:val="nil"/>
              <w:bottom w:val="single" w:sz="4" w:space="0" w:color="000000"/>
              <w:right w:val="single" w:sz="4" w:space="0" w:color="000000"/>
            </w:tcBorders>
            <w:shd w:val="clear" w:color="auto" w:fill="C0C0C0"/>
            <w:vAlign w:val="center"/>
          </w:tcPr>
          <w:p w:rsidR="00065B80" w:rsidRDefault="00065B80">
            <w:pPr>
              <w:widowControl/>
              <w:spacing w:line="240" w:lineRule="exact"/>
              <w:jc w:val="center"/>
              <w:rPr>
                <w:rFonts w:ascii="宋体" w:eastAsia="宋体" w:hAnsi="宋体" w:cs="宋体"/>
                <w:color w:val="000000"/>
                <w:sz w:val="20"/>
                <w:szCs w:val="20"/>
              </w:rPr>
            </w:pPr>
          </w:p>
        </w:tc>
      </w:tr>
      <w:tr w:rsidR="00065B80">
        <w:trPr>
          <w:trHeight w:val="90"/>
        </w:trPr>
        <w:tc>
          <w:tcPr>
            <w:tcW w:w="5331" w:type="dxa"/>
            <w:gridSpan w:val="5"/>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栏次</w:t>
            </w:r>
          </w:p>
        </w:tc>
        <w:tc>
          <w:tcPr>
            <w:tcW w:w="1711" w:type="dxa"/>
            <w:tcBorders>
              <w:top w:val="nil"/>
              <w:left w:val="nil"/>
              <w:bottom w:val="single" w:sz="4" w:space="0" w:color="000000"/>
              <w:right w:val="single" w:sz="4" w:space="0" w:color="000000"/>
            </w:tcBorders>
            <w:shd w:val="clear" w:color="auto" w:fill="C0C0C0"/>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3" w:type="dxa"/>
            <w:tcBorders>
              <w:top w:val="nil"/>
              <w:left w:val="nil"/>
              <w:bottom w:val="single" w:sz="4" w:space="0" w:color="000000"/>
              <w:right w:val="single" w:sz="4" w:space="0" w:color="000000"/>
            </w:tcBorders>
            <w:shd w:val="clear" w:color="auto" w:fill="C0C0C0"/>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723" w:type="dxa"/>
            <w:tcBorders>
              <w:top w:val="nil"/>
              <w:left w:val="nil"/>
              <w:bottom w:val="single" w:sz="4" w:space="0" w:color="000000"/>
              <w:right w:val="single" w:sz="4" w:space="0" w:color="000000"/>
            </w:tcBorders>
            <w:shd w:val="clear" w:color="auto" w:fill="C0C0C0"/>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919" w:type="dxa"/>
            <w:tcBorders>
              <w:top w:val="nil"/>
              <w:left w:val="nil"/>
              <w:bottom w:val="single" w:sz="4" w:space="0" w:color="000000"/>
              <w:right w:val="single" w:sz="4" w:space="0" w:color="000000"/>
            </w:tcBorders>
            <w:shd w:val="clear" w:color="auto" w:fill="C0C0C0"/>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2912" w:type="dxa"/>
            <w:gridSpan w:val="2"/>
            <w:tcBorders>
              <w:top w:val="nil"/>
              <w:left w:val="nil"/>
              <w:bottom w:val="single" w:sz="4" w:space="0" w:color="000000"/>
              <w:right w:val="single" w:sz="4" w:space="0" w:color="000000"/>
            </w:tcBorders>
            <w:shd w:val="clear" w:color="auto" w:fill="C0C0C0"/>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456" w:type="dxa"/>
            <w:tcBorders>
              <w:top w:val="nil"/>
              <w:left w:val="nil"/>
              <w:bottom w:val="single" w:sz="4" w:space="0" w:color="000000"/>
              <w:right w:val="single" w:sz="4" w:space="0" w:color="000000"/>
            </w:tcBorders>
            <w:shd w:val="clear" w:color="auto" w:fill="C0C0C0"/>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r>
      <w:tr w:rsidR="00065B80">
        <w:trPr>
          <w:trHeight w:val="90"/>
        </w:trPr>
        <w:tc>
          <w:tcPr>
            <w:tcW w:w="5331" w:type="dxa"/>
            <w:gridSpan w:val="5"/>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合计</w:t>
            </w:r>
          </w:p>
        </w:tc>
        <w:tc>
          <w:tcPr>
            <w:tcW w:w="1711"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6,037.55</w:t>
            </w:r>
          </w:p>
        </w:tc>
        <w:tc>
          <w:tcPr>
            <w:tcW w:w="126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4,209.57</w:t>
            </w:r>
          </w:p>
        </w:tc>
        <w:tc>
          <w:tcPr>
            <w:tcW w:w="172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1,827.99</w:t>
            </w:r>
          </w:p>
        </w:tc>
        <w:tc>
          <w:tcPr>
            <w:tcW w:w="91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204</w:t>
            </w:r>
          </w:p>
        </w:tc>
        <w:tc>
          <w:tcPr>
            <w:tcW w:w="2689" w:type="dxa"/>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公共安全支出</w:t>
            </w:r>
          </w:p>
        </w:tc>
        <w:tc>
          <w:tcPr>
            <w:tcW w:w="1711"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5,246.81</w:t>
            </w:r>
          </w:p>
        </w:tc>
        <w:tc>
          <w:tcPr>
            <w:tcW w:w="126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3,418.83</w:t>
            </w:r>
          </w:p>
        </w:tc>
        <w:tc>
          <w:tcPr>
            <w:tcW w:w="172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1,827.99</w:t>
            </w:r>
          </w:p>
        </w:tc>
        <w:tc>
          <w:tcPr>
            <w:tcW w:w="91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20405</w:t>
            </w:r>
          </w:p>
        </w:tc>
        <w:tc>
          <w:tcPr>
            <w:tcW w:w="2689" w:type="dxa"/>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法院</w:t>
            </w:r>
          </w:p>
        </w:tc>
        <w:tc>
          <w:tcPr>
            <w:tcW w:w="1711"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5,246.81</w:t>
            </w:r>
          </w:p>
        </w:tc>
        <w:tc>
          <w:tcPr>
            <w:tcW w:w="126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3,418.83</w:t>
            </w:r>
          </w:p>
        </w:tc>
        <w:tc>
          <w:tcPr>
            <w:tcW w:w="172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1,827.99</w:t>
            </w:r>
          </w:p>
        </w:tc>
        <w:tc>
          <w:tcPr>
            <w:tcW w:w="91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2040501</w:t>
            </w:r>
          </w:p>
        </w:tc>
        <w:tc>
          <w:tcPr>
            <w:tcW w:w="2689" w:type="dxa"/>
            <w:gridSpan w:val="4"/>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行政运行</w:t>
            </w:r>
          </w:p>
        </w:tc>
        <w:tc>
          <w:tcPr>
            <w:tcW w:w="1711"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3,418.83</w:t>
            </w:r>
          </w:p>
        </w:tc>
        <w:tc>
          <w:tcPr>
            <w:tcW w:w="126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3,418.83</w:t>
            </w:r>
          </w:p>
        </w:tc>
        <w:tc>
          <w:tcPr>
            <w:tcW w:w="172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91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2040502</w:t>
            </w:r>
          </w:p>
        </w:tc>
        <w:tc>
          <w:tcPr>
            <w:tcW w:w="2689" w:type="dxa"/>
            <w:gridSpan w:val="4"/>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一般行政管理事务</w:t>
            </w:r>
          </w:p>
        </w:tc>
        <w:tc>
          <w:tcPr>
            <w:tcW w:w="1711"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580.14</w:t>
            </w:r>
          </w:p>
        </w:tc>
        <w:tc>
          <w:tcPr>
            <w:tcW w:w="126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72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580.14</w:t>
            </w:r>
          </w:p>
        </w:tc>
        <w:tc>
          <w:tcPr>
            <w:tcW w:w="91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2040504</w:t>
            </w:r>
          </w:p>
        </w:tc>
        <w:tc>
          <w:tcPr>
            <w:tcW w:w="2689" w:type="dxa"/>
            <w:gridSpan w:val="4"/>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案件审判</w:t>
            </w:r>
          </w:p>
        </w:tc>
        <w:tc>
          <w:tcPr>
            <w:tcW w:w="1711"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3.05</w:t>
            </w:r>
          </w:p>
        </w:tc>
        <w:tc>
          <w:tcPr>
            <w:tcW w:w="126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72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3.05</w:t>
            </w:r>
          </w:p>
        </w:tc>
        <w:tc>
          <w:tcPr>
            <w:tcW w:w="91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2040599</w:t>
            </w:r>
          </w:p>
        </w:tc>
        <w:tc>
          <w:tcPr>
            <w:tcW w:w="2689" w:type="dxa"/>
            <w:gridSpan w:val="4"/>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其他法院支出</w:t>
            </w:r>
          </w:p>
        </w:tc>
        <w:tc>
          <w:tcPr>
            <w:tcW w:w="1711"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1,244.80</w:t>
            </w:r>
          </w:p>
        </w:tc>
        <w:tc>
          <w:tcPr>
            <w:tcW w:w="126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72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1,244.80</w:t>
            </w:r>
          </w:p>
        </w:tc>
        <w:tc>
          <w:tcPr>
            <w:tcW w:w="91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205</w:t>
            </w:r>
          </w:p>
        </w:tc>
        <w:tc>
          <w:tcPr>
            <w:tcW w:w="2689" w:type="dxa"/>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教育支出</w:t>
            </w:r>
          </w:p>
        </w:tc>
        <w:tc>
          <w:tcPr>
            <w:tcW w:w="1711"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2.73</w:t>
            </w:r>
          </w:p>
        </w:tc>
        <w:tc>
          <w:tcPr>
            <w:tcW w:w="126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2.73</w:t>
            </w:r>
          </w:p>
        </w:tc>
        <w:tc>
          <w:tcPr>
            <w:tcW w:w="172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91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20508</w:t>
            </w:r>
          </w:p>
        </w:tc>
        <w:tc>
          <w:tcPr>
            <w:tcW w:w="2689" w:type="dxa"/>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进修及培训</w:t>
            </w:r>
          </w:p>
        </w:tc>
        <w:tc>
          <w:tcPr>
            <w:tcW w:w="1711"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2.73</w:t>
            </w:r>
          </w:p>
        </w:tc>
        <w:tc>
          <w:tcPr>
            <w:tcW w:w="126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2.73</w:t>
            </w:r>
          </w:p>
        </w:tc>
        <w:tc>
          <w:tcPr>
            <w:tcW w:w="172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91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2050803</w:t>
            </w:r>
          </w:p>
        </w:tc>
        <w:tc>
          <w:tcPr>
            <w:tcW w:w="2689" w:type="dxa"/>
            <w:gridSpan w:val="4"/>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培训支出</w:t>
            </w:r>
          </w:p>
        </w:tc>
        <w:tc>
          <w:tcPr>
            <w:tcW w:w="1711"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2.73</w:t>
            </w:r>
          </w:p>
        </w:tc>
        <w:tc>
          <w:tcPr>
            <w:tcW w:w="126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2.73</w:t>
            </w:r>
          </w:p>
        </w:tc>
        <w:tc>
          <w:tcPr>
            <w:tcW w:w="172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91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208</w:t>
            </w:r>
          </w:p>
        </w:tc>
        <w:tc>
          <w:tcPr>
            <w:tcW w:w="2689" w:type="dxa"/>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社会保障和就业支出</w:t>
            </w:r>
          </w:p>
        </w:tc>
        <w:tc>
          <w:tcPr>
            <w:tcW w:w="1711"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254.81</w:t>
            </w:r>
          </w:p>
        </w:tc>
        <w:tc>
          <w:tcPr>
            <w:tcW w:w="126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254.81</w:t>
            </w:r>
          </w:p>
        </w:tc>
        <w:tc>
          <w:tcPr>
            <w:tcW w:w="172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91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20805</w:t>
            </w:r>
          </w:p>
        </w:tc>
        <w:tc>
          <w:tcPr>
            <w:tcW w:w="2689" w:type="dxa"/>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行政事业单位养老支出</w:t>
            </w:r>
          </w:p>
        </w:tc>
        <w:tc>
          <w:tcPr>
            <w:tcW w:w="1711"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250.00</w:t>
            </w:r>
          </w:p>
        </w:tc>
        <w:tc>
          <w:tcPr>
            <w:tcW w:w="126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250.00</w:t>
            </w:r>
          </w:p>
        </w:tc>
        <w:tc>
          <w:tcPr>
            <w:tcW w:w="172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91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2080505</w:t>
            </w:r>
          </w:p>
        </w:tc>
        <w:tc>
          <w:tcPr>
            <w:tcW w:w="2689" w:type="dxa"/>
            <w:gridSpan w:val="4"/>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机关事业单位基本养老保险缴费支出</w:t>
            </w:r>
          </w:p>
        </w:tc>
        <w:tc>
          <w:tcPr>
            <w:tcW w:w="1711"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250.00</w:t>
            </w:r>
          </w:p>
        </w:tc>
        <w:tc>
          <w:tcPr>
            <w:tcW w:w="126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250.00</w:t>
            </w:r>
          </w:p>
        </w:tc>
        <w:tc>
          <w:tcPr>
            <w:tcW w:w="172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91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20899</w:t>
            </w:r>
          </w:p>
        </w:tc>
        <w:tc>
          <w:tcPr>
            <w:tcW w:w="2689" w:type="dxa"/>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其他社会保障和就业支出</w:t>
            </w:r>
          </w:p>
        </w:tc>
        <w:tc>
          <w:tcPr>
            <w:tcW w:w="1711"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4.81</w:t>
            </w:r>
          </w:p>
        </w:tc>
        <w:tc>
          <w:tcPr>
            <w:tcW w:w="126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4.81</w:t>
            </w:r>
          </w:p>
        </w:tc>
        <w:tc>
          <w:tcPr>
            <w:tcW w:w="172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91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2089999</w:t>
            </w:r>
          </w:p>
        </w:tc>
        <w:tc>
          <w:tcPr>
            <w:tcW w:w="2689" w:type="dxa"/>
            <w:gridSpan w:val="4"/>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其他社会保障和就业支出</w:t>
            </w:r>
          </w:p>
        </w:tc>
        <w:tc>
          <w:tcPr>
            <w:tcW w:w="1711"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4.81</w:t>
            </w:r>
          </w:p>
        </w:tc>
        <w:tc>
          <w:tcPr>
            <w:tcW w:w="126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4.81</w:t>
            </w:r>
          </w:p>
        </w:tc>
        <w:tc>
          <w:tcPr>
            <w:tcW w:w="172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91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210</w:t>
            </w:r>
          </w:p>
        </w:tc>
        <w:tc>
          <w:tcPr>
            <w:tcW w:w="2689" w:type="dxa"/>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卫生健康支出</w:t>
            </w:r>
          </w:p>
        </w:tc>
        <w:tc>
          <w:tcPr>
            <w:tcW w:w="1711"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245.35</w:t>
            </w:r>
          </w:p>
        </w:tc>
        <w:tc>
          <w:tcPr>
            <w:tcW w:w="126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245.35</w:t>
            </w:r>
          </w:p>
        </w:tc>
        <w:tc>
          <w:tcPr>
            <w:tcW w:w="172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91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21011</w:t>
            </w:r>
          </w:p>
        </w:tc>
        <w:tc>
          <w:tcPr>
            <w:tcW w:w="2689" w:type="dxa"/>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行政事业单位医疗</w:t>
            </w:r>
          </w:p>
        </w:tc>
        <w:tc>
          <w:tcPr>
            <w:tcW w:w="1711"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245.35</w:t>
            </w:r>
          </w:p>
        </w:tc>
        <w:tc>
          <w:tcPr>
            <w:tcW w:w="126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245.35</w:t>
            </w:r>
          </w:p>
        </w:tc>
        <w:tc>
          <w:tcPr>
            <w:tcW w:w="172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919"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2101101</w:t>
            </w:r>
          </w:p>
        </w:tc>
        <w:tc>
          <w:tcPr>
            <w:tcW w:w="2689" w:type="dxa"/>
            <w:gridSpan w:val="4"/>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行政单位医疗</w:t>
            </w:r>
          </w:p>
        </w:tc>
        <w:tc>
          <w:tcPr>
            <w:tcW w:w="1711"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175.65</w:t>
            </w:r>
          </w:p>
        </w:tc>
        <w:tc>
          <w:tcPr>
            <w:tcW w:w="126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175.65</w:t>
            </w:r>
          </w:p>
        </w:tc>
        <w:tc>
          <w:tcPr>
            <w:tcW w:w="172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91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2101103</w:t>
            </w:r>
          </w:p>
        </w:tc>
        <w:tc>
          <w:tcPr>
            <w:tcW w:w="2689" w:type="dxa"/>
            <w:gridSpan w:val="4"/>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公务员医疗补助</w:t>
            </w:r>
          </w:p>
        </w:tc>
        <w:tc>
          <w:tcPr>
            <w:tcW w:w="1711"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69.70</w:t>
            </w:r>
          </w:p>
        </w:tc>
        <w:tc>
          <w:tcPr>
            <w:tcW w:w="126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69.70</w:t>
            </w:r>
          </w:p>
        </w:tc>
        <w:tc>
          <w:tcPr>
            <w:tcW w:w="172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919"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2912"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90"/>
        </w:trPr>
        <w:tc>
          <w:tcPr>
            <w:tcW w:w="2642" w:type="dxa"/>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221</w:t>
            </w:r>
          </w:p>
        </w:tc>
        <w:tc>
          <w:tcPr>
            <w:tcW w:w="2689" w:type="dxa"/>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住房保障支出</w:t>
            </w:r>
          </w:p>
        </w:tc>
        <w:tc>
          <w:tcPr>
            <w:tcW w:w="1711"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287.86</w:t>
            </w:r>
          </w:p>
        </w:tc>
        <w:tc>
          <w:tcPr>
            <w:tcW w:w="126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287.86</w:t>
            </w:r>
          </w:p>
        </w:tc>
        <w:tc>
          <w:tcPr>
            <w:tcW w:w="2642"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90"/>
        </w:trPr>
        <w:tc>
          <w:tcPr>
            <w:tcW w:w="3337" w:type="dxa"/>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22102</w:t>
            </w:r>
          </w:p>
        </w:tc>
        <w:tc>
          <w:tcPr>
            <w:tcW w:w="1994"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住房改革支出</w:t>
            </w:r>
          </w:p>
        </w:tc>
        <w:tc>
          <w:tcPr>
            <w:tcW w:w="1711"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287.86</w:t>
            </w:r>
          </w:p>
        </w:tc>
        <w:tc>
          <w:tcPr>
            <w:tcW w:w="1263"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287.86</w:t>
            </w:r>
          </w:p>
        </w:tc>
        <w:tc>
          <w:tcPr>
            <w:tcW w:w="2642" w:type="dxa"/>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trHeight w:val="90"/>
        </w:trPr>
        <w:tc>
          <w:tcPr>
            <w:tcW w:w="3337" w:type="dxa"/>
            <w:gridSpan w:val="4"/>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2210201</w:t>
            </w:r>
          </w:p>
        </w:tc>
        <w:tc>
          <w:tcPr>
            <w:tcW w:w="1994" w:type="dxa"/>
            <w:tcBorders>
              <w:top w:val="nil"/>
              <w:left w:val="nil"/>
              <w:bottom w:val="single" w:sz="4" w:space="0" w:color="000000"/>
              <w:right w:val="single" w:sz="4" w:space="0" w:color="000000"/>
            </w:tcBorders>
            <w:shd w:val="clear" w:color="auto" w:fill="CC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住房公积金</w:t>
            </w:r>
          </w:p>
        </w:tc>
        <w:tc>
          <w:tcPr>
            <w:tcW w:w="1711"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287.86</w:t>
            </w:r>
          </w:p>
        </w:tc>
        <w:tc>
          <w:tcPr>
            <w:tcW w:w="1263"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287.86</w:t>
            </w:r>
          </w:p>
        </w:tc>
        <w:tc>
          <w:tcPr>
            <w:tcW w:w="2642" w:type="dxa"/>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456" w:type="dxa"/>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24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trHeight w:val="90"/>
        </w:trPr>
        <w:tc>
          <w:tcPr>
            <w:tcW w:w="15315" w:type="dxa"/>
            <w:gridSpan w:val="12"/>
            <w:tcBorders>
              <w:top w:val="nil"/>
              <w:left w:val="nil"/>
              <w:bottom w:val="nil"/>
              <w:right w:val="nil"/>
            </w:tcBorders>
            <w:shd w:val="clear" w:color="auto" w:fill="FFFFFF"/>
            <w:noWrap/>
            <w:vAlign w:val="center"/>
          </w:tcPr>
          <w:p w:rsidR="00065B80" w:rsidRDefault="009A7EE1">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注：本表反映部门本年度各项支出情况。</w:t>
            </w:r>
          </w:p>
        </w:tc>
      </w:tr>
    </w:tbl>
    <w:p w:rsidR="00065B80" w:rsidRDefault="00065B80" w:rsidP="00F02B7A">
      <w:pPr>
        <w:pStyle w:val="a0"/>
        <w:ind w:firstLine="720"/>
        <w:rPr>
          <w:sz w:val="72"/>
          <w:szCs w:val="72"/>
        </w:rPr>
      </w:pPr>
    </w:p>
    <w:tbl>
      <w:tblPr>
        <w:tblW w:w="4967" w:type="pct"/>
        <w:tblLayout w:type="fixed"/>
        <w:tblLook w:val="04A0"/>
      </w:tblPr>
      <w:tblGrid>
        <w:gridCol w:w="89"/>
        <w:gridCol w:w="1041"/>
        <w:gridCol w:w="2357"/>
        <w:gridCol w:w="443"/>
        <w:gridCol w:w="104"/>
        <w:gridCol w:w="325"/>
        <w:gridCol w:w="266"/>
        <w:gridCol w:w="269"/>
        <w:gridCol w:w="204"/>
        <w:gridCol w:w="98"/>
        <w:gridCol w:w="1091"/>
        <w:gridCol w:w="2037"/>
        <w:gridCol w:w="368"/>
        <w:gridCol w:w="735"/>
        <w:gridCol w:w="493"/>
        <w:gridCol w:w="115"/>
        <w:gridCol w:w="617"/>
        <w:gridCol w:w="298"/>
        <w:gridCol w:w="552"/>
        <w:gridCol w:w="506"/>
        <w:gridCol w:w="962"/>
        <w:gridCol w:w="496"/>
        <w:gridCol w:w="831"/>
        <w:gridCol w:w="1104"/>
        <w:gridCol w:w="93"/>
        <w:gridCol w:w="17"/>
      </w:tblGrid>
      <w:tr w:rsidR="00065B80">
        <w:trPr>
          <w:gridAfter w:val="2"/>
          <w:wAfter w:w="30" w:type="pct"/>
          <w:trHeight w:val="90"/>
        </w:trPr>
        <w:tc>
          <w:tcPr>
            <w:tcW w:w="4969" w:type="pct"/>
            <w:gridSpan w:val="24"/>
            <w:tcBorders>
              <w:top w:val="nil"/>
              <w:left w:val="nil"/>
              <w:bottom w:val="nil"/>
              <w:right w:val="single" w:sz="4" w:space="0" w:color="808080"/>
            </w:tcBorders>
            <w:shd w:val="clear" w:color="auto" w:fill="FFFFFF"/>
            <w:noWrap/>
            <w:vAlign w:val="center"/>
          </w:tcPr>
          <w:p w:rsidR="00065B80" w:rsidRDefault="009A7EE1">
            <w:pPr>
              <w:keepNext/>
              <w:widowControl/>
              <w:spacing w:line="200" w:lineRule="exact"/>
              <w:jc w:val="center"/>
              <w:rPr>
                <w:rFonts w:ascii="宋体" w:eastAsia="宋体" w:hAnsi="宋体" w:cs="宋体"/>
                <w:color w:val="000000"/>
                <w:sz w:val="18"/>
                <w:szCs w:val="18"/>
              </w:rPr>
            </w:pPr>
            <w:r>
              <w:rPr>
                <w:rFonts w:ascii="黑体" w:eastAsia="黑体" w:hAnsi="宋体" w:cs="黑体" w:hint="eastAsia"/>
                <w:color w:val="000000"/>
                <w:kern w:val="0"/>
                <w:sz w:val="30"/>
                <w:szCs w:val="30"/>
                <w:lang/>
              </w:rPr>
              <w:lastRenderedPageBreak/>
              <w:t>财政拨款收入支出决算总表</w:t>
            </w:r>
          </w:p>
        </w:tc>
      </w:tr>
      <w:tr w:rsidR="00065B80">
        <w:trPr>
          <w:gridAfter w:val="2"/>
          <w:wAfter w:w="30" w:type="pct"/>
          <w:trHeight w:val="90"/>
        </w:trPr>
        <w:tc>
          <w:tcPr>
            <w:tcW w:w="1125" w:type="pct"/>
            <w:gridSpan w:val="3"/>
            <w:tcBorders>
              <w:top w:val="nil"/>
              <w:left w:val="nil"/>
              <w:bottom w:val="nil"/>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143" w:type="pct"/>
            <w:tcBorders>
              <w:top w:val="nil"/>
              <w:left w:val="nil"/>
              <w:bottom w:val="nil"/>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377" w:type="pct"/>
            <w:gridSpan w:val="5"/>
            <w:tcBorders>
              <w:top w:val="nil"/>
              <w:left w:val="nil"/>
              <w:bottom w:val="nil"/>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1041" w:type="pct"/>
            <w:gridSpan w:val="3"/>
            <w:tcBorders>
              <w:top w:val="nil"/>
              <w:left w:val="nil"/>
              <w:bottom w:val="nil"/>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356" w:type="pct"/>
            <w:gridSpan w:val="2"/>
            <w:tcBorders>
              <w:top w:val="nil"/>
              <w:left w:val="nil"/>
              <w:bottom w:val="nil"/>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395" w:type="pct"/>
            <w:gridSpan w:val="3"/>
            <w:tcBorders>
              <w:top w:val="nil"/>
              <w:left w:val="nil"/>
              <w:bottom w:val="nil"/>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437" w:type="pct"/>
            <w:gridSpan w:val="3"/>
            <w:tcBorders>
              <w:top w:val="nil"/>
              <w:left w:val="nil"/>
              <w:bottom w:val="nil"/>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468" w:type="pct"/>
            <w:gridSpan w:val="2"/>
            <w:tcBorders>
              <w:top w:val="nil"/>
              <w:left w:val="nil"/>
              <w:bottom w:val="nil"/>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624" w:type="pct"/>
            <w:gridSpan w:val="2"/>
            <w:tcBorders>
              <w:top w:val="nil"/>
              <w:left w:val="nil"/>
              <w:bottom w:val="nil"/>
              <w:right w:val="single" w:sz="4" w:space="0" w:color="808080"/>
            </w:tcBorders>
            <w:shd w:val="clear" w:color="auto" w:fill="FFFFFF"/>
            <w:noWrap/>
            <w:vAlign w:val="center"/>
          </w:tcPr>
          <w:p w:rsidR="00065B80" w:rsidRDefault="009A7EE1">
            <w:pPr>
              <w:keepNext/>
              <w:widowControl/>
              <w:spacing w:line="20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公开</w:t>
            </w:r>
            <w:r>
              <w:rPr>
                <w:rFonts w:ascii="宋体" w:eastAsia="宋体" w:hAnsi="宋体" w:cs="宋体" w:hint="eastAsia"/>
                <w:color w:val="000000"/>
                <w:kern w:val="0"/>
                <w:sz w:val="22"/>
                <w:lang/>
              </w:rPr>
              <w:t>04</w:t>
            </w:r>
            <w:r>
              <w:rPr>
                <w:rFonts w:ascii="宋体" w:eastAsia="宋体" w:hAnsi="宋体" w:cs="宋体" w:hint="eastAsia"/>
                <w:color w:val="000000"/>
                <w:kern w:val="0"/>
                <w:sz w:val="22"/>
                <w:lang/>
              </w:rPr>
              <w:t>表</w:t>
            </w:r>
          </w:p>
        </w:tc>
      </w:tr>
      <w:tr w:rsidR="00065B80">
        <w:trPr>
          <w:gridAfter w:val="2"/>
          <w:wAfter w:w="30" w:type="pct"/>
          <w:trHeight w:val="90"/>
        </w:trPr>
        <w:tc>
          <w:tcPr>
            <w:tcW w:w="1125" w:type="pct"/>
            <w:gridSpan w:val="3"/>
            <w:tcBorders>
              <w:top w:val="nil"/>
              <w:left w:val="nil"/>
              <w:bottom w:val="single" w:sz="4" w:space="0" w:color="808080"/>
              <w:right w:val="nil"/>
            </w:tcBorders>
            <w:shd w:val="clear" w:color="auto" w:fill="FFFFFF"/>
            <w:noWrap/>
            <w:vAlign w:val="center"/>
          </w:tcPr>
          <w:p w:rsidR="00065B80" w:rsidRDefault="009A7EE1">
            <w:pPr>
              <w:keepNext/>
              <w:widowControl/>
              <w:spacing w:line="20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部门：湖南省娄底市中级人民法院</w:t>
            </w:r>
          </w:p>
        </w:tc>
        <w:tc>
          <w:tcPr>
            <w:tcW w:w="143" w:type="pct"/>
            <w:tcBorders>
              <w:top w:val="nil"/>
              <w:left w:val="nil"/>
              <w:bottom w:val="single" w:sz="4" w:space="0" w:color="808080"/>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377" w:type="pct"/>
            <w:gridSpan w:val="5"/>
            <w:tcBorders>
              <w:top w:val="nil"/>
              <w:left w:val="nil"/>
              <w:bottom w:val="single" w:sz="4" w:space="0" w:color="808080"/>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1041" w:type="pct"/>
            <w:gridSpan w:val="3"/>
            <w:tcBorders>
              <w:top w:val="nil"/>
              <w:left w:val="nil"/>
              <w:bottom w:val="single" w:sz="4" w:space="0" w:color="808080"/>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356" w:type="pct"/>
            <w:gridSpan w:val="2"/>
            <w:tcBorders>
              <w:top w:val="nil"/>
              <w:left w:val="nil"/>
              <w:bottom w:val="single" w:sz="4" w:space="0" w:color="808080"/>
              <w:right w:val="nil"/>
            </w:tcBorders>
            <w:shd w:val="clear" w:color="auto" w:fill="FFFFFF"/>
            <w:noWrap/>
            <w:vAlign w:val="center"/>
          </w:tcPr>
          <w:p w:rsidR="00065B80" w:rsidRDefault="009A7EE1">
            <w:pPr>
              <w:keepNext/>
              <w:widowControl/>
              <w:spacing w:line="2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2021</w:t>
            </w:r>
            <w:r>
              <w:rPr>
                <w:rFonts w:ascii="宋体" w:eastAsia="宋体" w:hAnsi="宋体" w:cs="宋体" w:hint="eastAsia"/>
                <w:color w:val="000000"/>
                <w:kern w:val="0"/>
                <w:sz w:val="22"/>
                <w:lang/>
              </w:rPr>
              <w:t>年度</w:t>
            </w:r>
          </w:p>
        </w:tc>
        <w:tc>
          <w:tcPr>
            <w:tcW w:w="395" w:type="pct"/>
            <w:gridSpan w:val="3"/>
            <w:tcBorders>
              <w:top w:val="nil"/>
              <w:left w:val="nil"/>
              <w:bottom w:val="single" w:sz="4" w:space="0" w:color="808080"/>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437" w:type="pct"/>
            <w:gridSpan w:val="3"/>
            <w:tcBorders>
              <w:top w:val="nil"/>
              <w:left w:val="nil"/>
              <w:bottom w:val="single" w:sz="4" w:space="0" w:color="808080"/>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468" w:type="pct"/>
            <w:gridSpan w:val="2"/>
            <w:tcBorders>
              <w:top w:val="nil"/>
              <w:left w:val="nil"/>
              <w:bottom w:val="single" w:sz="4" w:space="0" w:color="808080"/>
              <w:right w:val="nil"/>
            </w:tcBorders>
            <w:shd w:val="clear" w:color="auto" w:fill="FFFFFF"/>
            <w:noWrap/>
            <w:vAlign w:val="center"/>
          </w:tcPr>
          <w:p w:rsidR="00065B80" w:rsidRDefault="00065B80">
            <w:pPr>
              <w:keepNext/>
              <w:widowControl/>
              <w:spacing w:line="200" w:lineRule="exact"/>
              <w:jc w:val="left"/>
              <w:rPr>
                <w:rFonts w:ascii="宋体" w:eastAsia="宋体" w:hAnsi="宋体" w:cs="宋体"/>
                <w:color w:val="000000"/>
                <w:sz w:val="18"/>
                <w:szCs w:val="18"/>
              </w:rPr>
            </w:pPr>
          </w:p>
        </w:tc>
        <w:tc>
          <w:tcPr>
            <w:tcW w:w="624" w:type="pct"/>
            <w:gridSpan w:val="2"/>
            <w:tcBorders>
              <w:top w:val="nil"/>
              <w:left w:val="nil"/>
              <w:bottom w:val="single" w:sz="4" w:space="0" w:color="808080"/>
              <w:right w:val="single" w:sz="4" w:space="0" w:color="808080"/>
            </w:tcBorders>
            <w:shd w:val="clear" w:color="auto" w:fill="FFFFFF"/>
            <w:noWrap/>
            <w:vAlign w:val="center"/>
          </w:tcPr>
          <w:p w:rsidR="00065B80" w:rsidRDefault="009A7EE1">
            <w:pPr>
              <w:keepNext/>
              <w:widowControl/>
              <w:spacing w:line="20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金额单位：万元</w:t>
            </w:r>
          </w:p>
        </w:tc>
      </w:tr>
      <w:tr w:rsidR="00065B80">
        <w:trPr>
          <w:gridAfter w:val="2"/>
          <w:wAfter w:w="30" w:type="pct"/>
          <w:trHeight w:val="90"/>
        </w:trPr>
        <w:tc>
          <w:tcPr>
            <w:tcW w:w="1646" w:type="pct"/>
            <w:gridSpan w:val="9"/>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keepNext/>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收</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入</w:t>
            </w:r>
          </w:p>
        </w:tc>
        <w:tc>
          <w:tcPr>
            <w:tcW w:w="3323" w:type="pct"/>
            <w:gridSpan w:val="15"/>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支</w:t>
            </w: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出</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vAlign w:val="center"/>
          </w:tcPr>
          <w:p w:rsidR="00065B80" w:rsidRDefault="009A7EE1">
            <w:pPr>
              <w:keepNext/>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w:t>
            </w:r>
          </w:p>
        </w:tc>
        <w:tc>
          <w:tcPr>
            <w:tcW w:w="143" w:type="pct"/>
            <w:tcBorders>
              <w:top w:val="nil"/>
              <w:left w:val="nil"/>
              <w:bottom w:val="single" w:sz="4" w:space="0" w:color="000000"/>
              <w:right w:val="single" w:sz="4" w:space="0" w:color="000000"/>
            </w:tcBorders>
            <w:shd w:val="clear" w:color="auto" w:fill="C0C0C0"/>
            <w:vAlign w:val="center"/>
          </w:tcPr>
          <w:p w:rsidR="00065B80" w:rsidRDefault="009A7EE1">
            <w:pPr>
              <w:keepNext/>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377" w:type="pct"/>
            <w:gridSpan w:val="5"/>
            <w:tcBorders>
              <w:top w:val="nil"/>
              <w:left w:val="nil"/>
              <w:bottom w:val="single" w:sz="4" w:space="0" w:color="000000"/>
              <w:right w:val="single" w:sz="4" w:space="0" w:color="000000"/>
            </w:tcBorders>
            <w:shd w:val="clear" w:color="auto" w:fill="C0C0C0"/>
            <w:vAlign w:val="center"/>
          </w:tcPr>
          <w:p w:rsidR="00065B80" w:rsidRDefault="009A7EE1">
            <w:pPr>
              <w:keepNext/>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金额</w:t>
            </w:r>
          </w:p>
        </w:tc>
        <w:tc>
          <w:tcPr>
            <w:tcW w:w="1041" w:type="pct"/>
            <w:gridSpan w:val="3"/>
            <w:tcBorders>
              <w:top w:val="nil"/>
              <w:left w:val="nil"/>
              <w:bottom w:val="single" w:sz="4" w:space="0" w:color="000000"/>
              <w:right w:val="single" w:sz="4" w:space="0" w:color="000000"/>
            </w:tcBorders>
            <w:shd w:val="clear" w:color="auto" w:fill="C0C0C0"/>
            <w:vAlign w:val="center"/>
          </w:tcPr>
          <w:p w:rsidR="00065B80" w:rsidRDefault="009A7EE1">
            <w:pPr>
              <w:keepNext/>
              <w:widowControl/>
              <w:spacing w:line="24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项目</w:t>
            </w:r>
          </w:p>
        </w:tc>
        <w:tc>
          <w:tcPr>
            <w:tcW w:w="356" w:type="pct"/>
            <w:gridSpan w:val="2"/>
            <w:tcBorders>
              <w:top w:val="nil"/>
              <w:left w:val="nil"/>
              <w:bottom w:val="single" w:sz="4" w:space="0" w:color="000000"/>
              <w:right w:val="single" w:sz="4" w:space="0" w:color="000000"/>
            </w:tcBorders>
            <w:shd w:val="clear" w:color="auto" w:fill="C0C0C0"/>
            <w:vAlign w:val="center"/>
          </w:tcPr>
          <w:p w:rsidR="00065B80" w:rsidRDefault="009A7EE1">
            <w:pPr>
              <w:keepNext/>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395"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合计</w:t>
            </w:r>
          </w:p>
        </w:tc>
        <w:tc>
          <w:tcPr>
            <w:tcW w:w="437" w:type="pct"/>
            <w:gridSpan w:val="3"/>
            <w:tcBorders>
              <w:top w:val="nil"/>
              <w:left w:val="nil"/>
              <w:bottom w:val="single" w:sz="4" w:space="0" w:color="000000"/>
              <w:right w:val="single" w:sz="4" w:space="0" w:color="000000"/>
            </w:tcBorders>
            <w:shd w:val="clear" w:color="auto" w:fill="C0C0C0"/>
            <w:vAlign w:val="center"/>
          </w:tcPr>
          <w:p w:rsidR="00065B80" w:rsidRDefault="009A7EE1">
            <w:pPr>
              <w:keepNext/>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一般公共预算财政拨款</w:t>
            </w:r>
          </w:p>
        </w:tc>
        <w:tc>
          <w:tcPr>
            <w:tcW w:w="468" w:type="pct"/>
            <w:gridSpan w:val="2"/>
            <w:tcBorders>
              <w:top w:val="nil"/>
              <w:left w:val="nil"/>
              <w:bottom w:val="single" w:sz="4" w:space="0" w:color="000000"/>
              <w:right w:val="single" w:sz="4" w:space="0" w:color="000000"/>
            </w:tcBorders>
            <w:shd w:val="clear" w:color="auto" w:fill="C0C0C0"/>
            <w:vAlign w:val="center"/>
          </w:tcPr>
          <w:p w:rsidR="00065B80" w:rsidRDefault="009A7EE1">
            <w:pPr>
              <w:keepNext/>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政府性基金预算财政拨款</w:t>
            </w:r>
          </w:p>
        </w:tc>
        <w:tc>
          <w:tcPr>
            <w:tcW w:w="624" w:type="pct"/>
            <w:gridSpan w:val="2"/>
            <w:tcBorders>
              <w:top w:val="nil"/>
              <w:left w:val="nil"/>
              <w:bottom w:val="single" w:sz="4" w:space="0" w:color="000000"/>
              <w:right w:val="single" w:sz="4" w:space="0" w:color="000000"/>
            </w:tcBorders>
            <w:shd w:val="clear" w:color="auto" w:fill="C0C0C0"/>
            <w:vAlign w:val="center"/>
          </w:tcPr>
          <w:p w:rsidR="00065B80" w:rsidRDefault="009A7EE1">
            <w:pPr>
              <w:keepNext/>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国有资本经营预算财政拨款</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keepNext/>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栏次</w:t>
            </w: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center"/>
              <w:rPr>
                <w:rFonts w:ascii="宋体" w:eastAsia="宋体" w:hAnsi="宋体" w:cs="宋体"/>
                <w:color w:val="000000"/>
                <w:sz w:val="20"/>
                <w:szCs w:val="20"/>
              </w:rPr>
            </w:pPr>
          </w:p>
        </w:tc>
        <w:tc>
          <w:tcPr>
            <w:tcW w:w="3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041" w:type="pct"/>
            <w:gridSpan w:val="3"/>
            <w:tcBorders>
              <w:top w:val="nil"/>
              <w:left w:val="nil"/>
              <w:bottom w:val="single" w:sz="4" w:space="0" w:color="000000"/>
              <w:right w:val="single" w:sz="4" w:space="0" w:color="000000"/>
            </w:tcBorders>
            <w:shd w:val="clear" w:color="auto" w:fill="C0C0C0"/>
            <w:noWrap/>
            <w:vAlign w:val="bottom"/>
          </w:tcPr>
          <w:p w:rsidR="00065B80" w:rsidRDefault="009A7EE1">
            <w:pPr>
              <w:keepNext/>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栏次</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center"/>
              <w:rPr>
                <w:rFonts w:ascii="宋体" w:eastAsia="宋体" w:hAnsi="宋体" w:cs="宋体"/>
                <w:color w:val="000000"/>
                <w:sz w:val="20"/>
                <w:szCs w:val="20"/>
              </w:rPr>
            </w:pPr>
          </w:p>
        </w:tc>
        <w:tc>
          <w:tcPr>
            <w:tcW w:w="395"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4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468"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624"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一、一般公共预算财政拨款</w:t>
            </w: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5,887.50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一、一般公共服务支出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33</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二、政府性基金预算财政拨款</w:t>
            </w: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二、外交支出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34</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三、国有资本经营财政拨款</w:t>
            </w: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三、国防支出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35</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四、公共安全支出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36</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4,002.02</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4,002.02</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五、教育支出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37</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2.73</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2.73</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六、科学技术支出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38</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七、文化旅游体育与传媒支出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八、社会保障和就业支出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40</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254.81</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254.81</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九、卫生健康支出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41</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245.35</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245.35</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十、节能环保支出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42</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十一、城乡社区支出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43</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十二、农林水支出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44</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13</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十三、交通运输支出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45</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14</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十四、资源勘探工业信息等支出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46</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15</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十五、商业服务业等支出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47</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16</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十六、金融支出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48</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17</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十七、援助其他地区支出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49</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18</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十八、自然资源海洋气象等支出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50</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19</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十九、住房保障支出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51</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287.86</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287.86</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二十、粮油物资储备支出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52</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21</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二十一、国有资本经营预算支出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53</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22</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二十二、灾害防治及应急管理支出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54</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23</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二十三、其他支出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55</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center"/>
              <w:rPr>
                <w:rFonts w:ascii="宋体" w:eastAsia="宋体" w:hAnsi="宋体" w:cs="宋体"/>
                <w:b/>
                <w:bCs/>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24</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二十四、债务还本支出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56</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二十五、债务付息支出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57</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26</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二十六、抗疫特别国债安排的支出</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58</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本年收入合计</w:t>
            </w: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5,887.50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本年支出合计</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59</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4,792.76</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4,792.76</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年初财政拨款结转和结余</w:t>
            </w: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445.23</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年末财政拨款结转和结余</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60</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1,539.97</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1,539.97</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一般公共预算财政拨款</w:t>
            </w: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29</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445.23</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61</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065B80">
            <w:pPr>
              <w:keepNext/>
              <w:widowControl/>
              <w:spacing w:line="220" w:lineRule="exact"/>
              <w:jc w:val="right"/>
              <w:rPr>
                <w:rFonts w:ascii="宋体" w:eastAsia="宋体" w:hAnsi="宋体" w:cs="宋体"/>
                <w:color w:val="000000"/>
                <w:sz w:val="20"/>
                <w:szCs w:val="20"/>
              </w:rPr>
            </w:pP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065B80">
            <w:pPr>
              <w:keepNext/>
              <w:widowControl/>
              <w:spacing w:line="220" w:lineRule="exact"/>
              <w:jc w:val="right"/>
              <w:rPr>
                <w:rFonts w:ascii="宋体" w:eastAsia="宋体" w:hAnsi="宋体" w:cs="宋体"/>
                <w:color w:val="000000"/>
                <w:sz w:val="20"/>
                <w:szCs w:val="20"/>
              </w:rPr>
            </w:pP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政府性基金预算财政拨款</w:t>
            </w: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62</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065B80">
            <w:pPr>
              <w:keepNext/>
              <w:widowControl/>
              <w:spacing w:line="220" w:lineRule="exact"/>
              <w:jc w:val="right"/>
              <w:rPr>
                <w:rFonts w:ascii="宋体" w:eastAsia="宋体" w:hAnsi="宋体" w:cs="宋体"/>
                <w:color w:val="000000"/>
                <w:sz w:val="20"/>
                <w:szCs w:val="20"/>
              </w:rPr>
            </w:pP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065B80">
            <w:pPr>
              <w:keepNext/>
              <w:widowControl/>
              <w:spacing w:line="220" w:lineRule="exact"/>
              <w:jc w:val="right"/>
              <w:rPr>
                <w:rFonts w:ascii="宋体" w:eastAsia="宋体" w:hAnsi="宋体" w:cs="宋体"/>
                <w:color w:val="000000"/>
                <w:sz w:val="20"/>
                <w:szCs w:val="20"/>
              </w:rPr>
            </w:pP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国有资本经营预算财政拨款</w:t>
            </w: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065B80">
            <w:pPr>
              <w:keepNext/>
              <w:widowControl/>
              <w:spacing w:line="220" w:lineRule="exact"/>
              <w:jc w:val="left"/>
              <w:rPr>
                <w:rFonts w:ascii="宋体" w:eastAsia="宋体" w:hAnsi="宋体" w:cs="宋体"/>
                <w:color w:val="000000"/>
                <w:sz w:val="20"/>
                <w:szCs w:val="20"/>
              </w:rPr>
            </w:pP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63</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065B80">
            <w:pPr>
              <w:keepNext/>
              <w:widowControl/>
              <w:spacing w:line="220" w:lineRule="exact"/>
              <w:jc w:val="right"/>
              <w:rPr>
                <w:rFonts w:ascii="宋体" w:eastAsia="宋体" w:hAnsi="宋体" w:cs="宋体"/>
                <w:color w:val="000000"/>
                <w:sz w:val="20"/>
                <w:szCs w:val="20"/>
              </w:rPr>
            </w:pP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065B80">
            <w:pPr>
              <w:keepNext/>
              <w:widowControl/>
              <w:spacing w:line="220" w:lineRule="exact"/>
              <w:jc w:val="right"/>
              <w:rPr>
                <w:rFonts w:ascii="宋体" w:eastAsia="宋体" w:hAnsi="宋体" w:cs="宋体"/>
                <w:color w:val="000000"/>
                <w:sz w:val="20"/>
                <w:szCs w:val="20"/>
              </w:rPr>
            </w:pPr>
          </w:p>
        </w:tc>
      </w:tr>
      <w:tr w:rsidR="00065B80">
        <w:trPr>
          <w:gridAfter w:val="2"/>
          <w:wAfter w:w="30" w:type="pct"/>
          <w:trHeight w:val="90"/>
        </w:trPr>
        <w:tc>
          <w:tcPr>
            <w:tcW w:w="1125"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keepNext/>
              <w:widowControl/>
              <w:spacing w:line="220" w:lineRule="exac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总计</w:t>
            </w:r>
          </w:p>
        </w:tc>
        <w:tc>
          <w:tcPr>
            <w:tcW w:w="143" w:type="pct"/>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32</w:t>
            </w:r>
          </w:p>
        </w:tc>
        <w:tc>
          <w:tcPr>
            <w:tcW w:w="377"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6,332.73</w:t>
            </w:r>
          </w:p>
        </w:tc>
        <w:tc>
          <w:tcPr>
            <w:tcW w:w="1041"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总计</w:t>
            </w:r>
          </w:p>
        </w:tc>
        <w:tc>
          <w:tcPr>
            <w:tcW w:w="35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keepNext/>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64</w:t>
            </w:r>
          </w:p>
        </w:tc>
        <w:tc>
          <w:tcPr>
            <w:tcW w:w="395"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6,332.73</w:t>
            </w:r>
          </w:p>
        </w:tc>
        <w:tc>
          <w:tcPr>
            <w:tcW w:w="437"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0.63</w:t>
            </w:r>
          </w:p>
        </w:tc>
        <w:tc>
          <w:tcPr>
            <w:tcW w:w="468"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624"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keepNext/>
              <w:widowControl/>
              <w:spacing w:line="22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After w:val="2"/>
          <w:wAfter w:w="30" w:type="pct"/>
          <w:trHeight w:val="90"/>
        </w:trPr>
        <w:tc>
          <w:tcPr>
            <w:tcW w:w="4345" w:type="pct"/>
            <w:gridSpan w:val="22"/>
            <w:tcBorders>
              <w:top w:val="nil"/>
              <w:left w:val="nil"/>
              <w:bottom w:val="nil"/>
              <w:right w:val="nil"/>
            </w:tcBorders>
            <w:shd w:val="clear" w:color="auto" w:fill="FFFFFF"/>
            <w:noWrap/>
            <w:vAlign w:val="center"/>
          </w:tcPr>
          <w:p w:rsidR="00065B80" w:rsidRDefault="009A7EE1">
            <w:pPr>
              <w:keepNext/>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注：本表反映部门本年度一般公共预算财政拨款、政府性基金预算财政拨款和国有资本经营预算财政拨款的总收支和年末结转结余情况。</w:t>
            </w:r>
          </w:p>
        </w:tc>
        <w:tc>
          <w:tcPr>
            <w:tcW w:w="624" w:type="pct"/>
            <w:gridSpan w:val="2"/>
            <w:tcBorders>
              <w:top w:val="nil"/>
              <w:left w:val="nil"/>
              <w:bottom w:val="nil"/>
              <w:right w:val="nil"/>
            </w:tcBorders>
            <w:shd w:val="clear" w:color="auto" w:fill="FFFFFF"/>
            <w:noWrap/>
            <w:vAlign w:val="center"/>
          </w:tcPr>
          <w:p w:rsidR="00065B80" w:rsidRDefault="00065B80">
            <w:pPr>
              <w:keepNext/>
              <w:spacing w:line="220" w:lineRule="exact"/>
              <w:jc w:val="left"/>
              <w:rPr>
                <w:rFonts w:ascii="宋体" w:eastAsia="宋体" w:hAnsi="宋体" w:cs="宋体"/>
                <w:color w:val="000000"/>
                <w:sz w:val="20"/>
                <w:szCs w:val="20"/>
              </w:rPr>
            </w:pPr>
          </w:p>
        </w:tc>
      </w:tr>
      <w:tr w:rsidR="00065B80">
        <w:trPr>
          <w:gridBefore w:val="1"/>
          <w:gridAfter w:val="1"/>
          <w:wBefore w:w="29" w:type="pct"/>
          <w:wAfter w:w="21" w:type="dxa"/>
          <w:trHeight w:val="693"/>
        </w:trPr>
        <w:tc>
          <w:tcPr>
            <w:tcW w:w="4970" w:type="pct"/>
            <w:gridSpan w:val="24"/>
            <w:tcBorders>
              <w:top w:val="nil"/>
              <w:left w:val="nil"/>
              <w:bottom w:val="nil"/>
              <w:right w:val="single" w:sz="4" w:space="0" w:color="808080"/>
            </w:tcBorders>
            <w:shd w:val="clear" w:color="auto" w:fill="FFFFFF"/>
            <w:noWrap/>
            <w:vAlign w:val="center"/>
          </w:tcPr>
          <w:p w:rsidR="00065B80" w:rsidRDefault="009A7EE1">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一般公共预算财政拨款支出决算表</w:t>
            </w:r>
          </w:p>
        </w:tc>
      </w:tr>
      <w:tr w:rsidR="00065B80">
        <w:trPr>
          <w:gridBefore w:val="1"/>
          <w:gridAfter w:val="1"/>
          <w:wBefore w:w="29" w:type="pct"/>
          <w:wAfter w:w="21" w:type="dxa"/>
          <w:trHeight w:val="90"/>
        </w:trPr>
        <w:tc>
          <w:tcPr>
            <w:tcW w:w="1378" w:type="pct"/>
            <w:gridSpan w:val="5"/>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86" w:type="pct"/>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86" w:type="pct"/>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658" w:type="pct"/>
            <w:gridSpan w:val="8"/>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473" w:type="pct"/>
            <w:gridSpan w:val="3"/>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473" w:type="pct"/>
            <w:gridSpan w:val="2"/>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812" w:type="pct"/>
            <w:gridSpan w:val="4"/>
            <w:tcBorders>
              <w:top w:val="nil"/>
              <w:left w:val="nil"/>
              <w:bottom w:val="nil"/>
              <w:right w:val="single" w:sz="4" w:space="0" w:color="808080"/>
            </w:tcBorders>
            <w:shd w:val="clear" w:color="auto" w:fill="FFFFFF"/>
            <w:noWrap/>
            <w:vAlign w:val="center"/>
          </w:tcPr>
          <w:p w:rsidR="00065B80" w:rsidRDefault="009A7E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公开</w:t>
            </w:r>
            <w:r>
              <w:rPr>
                <w:rFonts w:ascii="宋体" w:eastAsia="宋体" w:hAnsi="宋体" w:cs="宋体" w:hint="eastAsia"/>
                <w:color w:val="000000"/>
                <w:kern w:val="0"/>
                <w:sz w:val="22"/>
                <w:lang/>
              </w:rPr>
              <w:t>05</w:t>
            </w:r>
            <w:r>
              <w:rPr>
                <w:rFonts w:ascii="宋体" w:eastAsia="宋体" w:hAnsi="宋体" w:cs="宋体" w:hint="eastAsia"/>
                <w:color w:val="000000"/>
                <w:kern w:val="0"/>
                <w:sz w:val="22"/>
                <w:lang/>
              </w:rPr>
              <w:t>表</w:t>
            </w:r>
          </w:p>
        </w:tc>
      </w:tr>
      <w:tr w:rsidR="00065B80">
        <w:trPr>
          <w:gridBefore w:val="1"/>
          <w:gridAfter w:val="1"/>
          <w:wBefore w:w="29" w:type="pct"/>
          <w:wAfter w:w="21" w:type="dxa"/>
          <w:trHeight w:val="90"/>
        </w:trPr>
        <w:tc>
          <w:tcPr>
            <w:tcW w:w="1378" w:type="pct"/>
            <w:gridSpan w:val="5"/>
            <w:tcBorders>
              <w:top w:val="nil"/>
              <w:left w:val="nil"/>
              <w:bottom w:val="single" w:sz="4" w:space="0" w:color="808080"/>
              <w:right w:val="nil"/>
            </w:tcBorders>
            <w:shd w:val="clear" w:color="auto" w:fill="FFFFFF"/>
            <w:noWrap/>
            <w:vAlign w:val="center"/>
          </w:tcPr>
          <w:p w:rsidR="00065B80" w:rsidRDefault="009A7E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部门：湖南省娄底市中级人民法院</w:t>
            </w:r>
          </w:p>
        </w:tc>
        <w:tc>
          <w:tcPr>
            <w:tcW w:w="86" w:type="pct"/>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86" w:type="pct"/>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1658" w:type="pct"/>
            <w:gridSpan w:val="8"/>
            <w:tcBorders>
              <w:top w:val="nil"/>
              <w:left w:val="nil"/>
              <w:bottom w:val="single" w:sz="4" w:space="0" w:color="808080"/>
              <w:right w:val="nil"/>
            </w:tcBorders>
            <w:shd w:val="clear" w:color="auto" w:fill="FFFFFF"/>
            <w:noWrap/>
            <w:vAlign w:val="center"/>
          </w:tcPr>
          <w:p w:rsidR="00065B80" w:rsidRDefault="009A7E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2021</w:t>
            </w:r>
            <w:r>
              <w:rPr>
                <w:rFonts w:ascii="宋体" w:eastAsia="宋体" w:hAnsi="宋体" w:cs="宋体" w:hint="eastAsia"/>
                <w:color w:val="000000"/>
                <w:kern w:val="0"/>
                <w:sz w:val="22"/>
                <w:lang/>
              </w:rPr>
              <w:t>年度</w:t>
            </w:r>
          </w:p>
        </w:tc>
        <w:tc>
          <w:tcPr>
            <w:tcW w:w="473" w:type="pct"/>
            <w:gridSpan w:val="3"/>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473" w:type="pct"/>
            <w:gridSpan w:val="2"/>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812" w:type="pct"/>
            <w:gridSpan w:val="4"/>
            <w:tcBorders>
              <w:top w:val="nil"/>
              <w:left w:val="nil"/>
              <w:bottom w:val="single" w:sz="4" w:space="0" w:color="808080"/>
              <w:right w:val="single" w:sz="4" w:space="0" w:color="808080"/>
            </w:tcBorders>
            <w:shd w:val="clear" w:color="auto" w:fill="FFFFFF"/>
            <w:noWrap/>
            <w:vAlign w:val="center"/>
          </w:tcPr>
          <w:p w:rsidR="00065B80" w:rsidRDefault="009A7E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金额单位：万元</w:t>
            </w:r>
          </w:p>
        </w:tc>
      </w:tr>
      <w:tr w:rsidR="00065B80">
        <w:trPr>
          <w:gridBefore w:val="1"/>
          <w:gridAfter w:val="1"/>
          <w:wBefore w:w="29" w:type="pct"/>
          <w:wAfter w:w="21" w:type="dxa"/>
          <w:trHeight w:val="90"/>
        </w:trPr>
        <w:tc>
          <w:tcPr>
            <w:tcW w:w="3210" w:type="pct"/>
            <w:gridSpan w:val="15"/>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w:t>
            </w:r>
          </w:p>
        </w:tc>
        <w:tc>
          <w:tcPr>
            <w:tcW w:w="1760" w:type="pct"/>
            <w:gridSpan w:val="9"/>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本年支出</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功能分类科目编码</w:t>
            </w:r>
          </w:p>
        </w:tc>
        <w:tc>
          <w:tcPr>
            <w:tcW w:w="1658" w:type="pct"/>
            <w:gridSpan w:val="8"/>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科目名称</w:t>
            </w:r>
          </w:p>
        </w:tc>
        <w:tc>
          <w:tcPr>
            <w:tcW w:w="473"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小计</w:t>
            </w:r>
          </w:p>
        </w:tc>
        <w:tc>
          <w:tcPr>
            <w:tcW w:w="473"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基本支出</w:t>
            </w:r>
          </w:p>
        </w:tc>
        <w:tc>
          <w:tcPr>
            <w:tcW w:w="812" w:type="pct"/>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项目支出</w:t>
            </w:r>
          </w:p>
        </w:tc>
      </w:tr>
      <w:tr w:rsidR="00065B80">
        <w:trPr>
          <w:gridBefore w:val="1"/>
          <w:gridAfter w:val="1"/>
          <w:wBefore w:w="29" w:type="pct"/>
          <w:wAfter w:w="21" w:type="dxa"/>
          <w:trHeight w:val="90"/>
        </w:trPr>
        <w:tc>
          <w:tcPr>
            <w:tcW w:w="3210" w:type="pct"/>
            <w:gridSpan w:val="15"/>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栏次</w:t>
            </w:r>
          </w:p>
        </w:tc>
        <w:tc>
          <w:tcPr>
            <w:tcW w:w="473"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473"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812" w:type="pct"/>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r>
      <w:tr w:rsidR="00065B80">
        <w:trPr>
          <w:gridBefore w:val="1"/>
          <w:gridAfter w:val="1"/>
          <w:wBefore w:w="29" w:type="pct"/>
          <w:wAfter w:w="21" w:type="dxa"/>
          <w:trHeight w:val="90"/>
        </w:trPr>
        <w:tc>
          <w:tcPr>
            <w:tcW w:w="3210" w:type="pct"/>
            <w:gridSpan w:val="15"/>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合计</w:t>
            </w:r>
          </w:p>
        </w:tc>
        <w:tc>
          <w:tcPr>
            <w:tcW w:w="473"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4,792.76</w:t>
            </w:r>
          </w:p>
        </w:tc>
        <w:tc>
          <w:tcPr>
            <w:tcW w:w="473"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4,209.57</w:t>
            </w:r>
          </w:p>
        </w:tc>
        <w:tc>
          <w:tcPr>
            <w:tcW w:w="812" w:type="pct"/>
            <w:gridSpan w:val="4"/>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583.19</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204</w:t>
            </w:r>
          </w:p>
        </w:tc>
        <w:tc>
          <w:tcPr>
            <w:tcW w:w="1658" w:type="pct"/>
            <w:gridSpan w:val="8"/>
            <w:tcBorders>
              <w:top w:val="nil"/>
              <w:left w:val="nil"/>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公共安全支出</w:t>
            </w:r>
          </w:p>
        </w:tc>
        <w:tc>
          <w:tcPr>
            <w:tcW w:w="473"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4,002.02</w:t>
            </w:r>
          </w:p>
        </w:tc>
        <w:tc>
          <w:tcPr>
            <w:tcW w:w="473"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3,418.83</w:t>
            </w:r>
          </w:p>
        </w:tc>
        <w:tc>
          <w:tcPr>
            <w:tcW w:w="812" w:type="pct"/>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583.19</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20405</w:t>
            </w:r>
          </w:p>
        </w:tc>
        <w:tc>
          <w:tcPr>
            <w:tcW w:w="1658" w:type="pct"/>
            <w:gridSpan w:val="8"/>
            <w:tcBorders>
              <w:top w:val="nil"/>
              <w:left w:val="nil"/>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法院</w:t>
            </w:r>
          </w:p>
        </w:tc>
        <w:tc>
          <w:tcPr>
            <w:tcW w:w="473"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4,002.02</w:t>
            </w:r>
          </w:p>
        </w:tc>
        <w:tc>
          <w:tcPr>
            <w:tcW w:w="473"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3,418.83</w:t>
            </w:r>
          </w:p>
        </w:tc>
        <w:tc>
          <w:tcPr>
            <w:tcW w:w="812" w:type="pct"/>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583.19</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2040501</w:t>
            </w:r>
          </w:p>
        </w:tc>
        <w:tc>
          <w:tcPr>
            <w:tcW w:w="1658" w:type="pct"/>
            <w:gridSpan w:val="8"/>
            <w:tcBorders>
              <w:top w:val="nil"/>
              <w:left w:val="nil"/>
              <w:bottom w:val="single" w:sz="4" w:space="0" w:color="000000"/>
              <w:right w:val="single" w:sz="4" w:space="0" w:color="000000"/>
            </w:tcBorders>
            <w:shd w:val="clear" w:color="auto" w:fill="CC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行政运行</w:t>
            </w:r>
          </w:p>
        </w:tc>
        <w:tc>
          <w:tcPr>
            <w:tcW w:w="473"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3,418.83</w:t>
            </w:r>
          </w:p>
        </w:tc>
        <w:tc>
          <w:tcPr>
            <w:tcW w:w="473"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3,418.83</w:t>
            </w:r>
          </w:p>
        </w:tc>
        <w:tc>
          <w:tcPr>
            <w:tcW w:w="812" w:type="pct"/>
            <w:gridSpan w:val="4"/>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2040502</w:t>
            </w:r>
          </w:p>
        </w:tc>
        <w:tc>
          <w:tcPr>
            <w:tcW w:w="1658" w:type="pct"/>
            <w:gridSpan w:val="8"/>
            <w:tcBorders>
              <w:top w:val="nil"/>
              <w:left w:val="nil"/>
              <w:bottom w:val="single" w:sz="4" w:space="0" w:color="000000"/>
              <w:right w:val="single" w:sz="4" w:space="0" w:color="000000"/>
            </w:tcBorders>
            <w:shd w:val="clear" w:color="auto" w:fill="CC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一般行政管理事务</w:t>
            </w:r>
          </w:p>
        </w:tc>
        <w:tc>
          <w:tcPr>
            <w:tcW w:w="473"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580.14</w:t>
            </w:r>
          </w:p>
        </w:tc>
        <w:tc>
          <w:tcPr>
            <w:tcW w:w="473"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812" w:type="pct"/>
            <w:gridSpan w:val="4"/>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580.14</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2040504</w:t>
            </w:r>
          </w:p>
        </w:tc>
        <w:tc>
          <w:tcPr>
            <w:tcW w:w="1658" w:type="pct"/>
            <w:gridSpan w:val="8"/>
            <w:tcBorders>
              <w:top w:val="nil"/>
              <w:left w:val="nil"/>
              <w:bottom w:val="single" w:sz="4" w:space="0" w:color="000000"/>
              <w:right w:val="single" w:sz="4" w:space="0" w:color="000000"/>
            </w:tcBorders>
            <w:shd w:val="clear" w:color="auto" w:fill="CC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案件审判</w:t>
            </w:r>
          </w:p>
        </w:tc>
        <w:tc>
          <w:tcPr>
            <w:tcW w:w="473"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3.05</w:t>
            </w:r>
          </w:p>
        </w:tc>
        <w:tc>
          <w:tcPr>
            <w:tcW w:w="473"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812" w:type="pct"/>
            <w:gridSpan w:val="4"/>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3.05</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2040506</w:t>
            </w:r>
          </w:p>
        </w:tc>
        <w:tc>
          <w:tcPr>
            <w:tcW w:w="1658" w:type="pct"/>
            <w:gridSpan w:val="8"/>
            <w:tcBorders>
              <w:top w:val="nil"/>
              <w:left w:val="nil"/>
              <w:bottom w:val="single" w:sz="4" w:space="0" w:color="000000"/>
              <w:right w:val="single" w:sz="4" w:space="0" w:color="000000"/>
            </w:tcBorders>
            <w:shd w:val="clear" w:color="auto" w:fill="CC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“两庭”建设</w:t>
            </w:r>
          </w:p>
        </w:tc>
        <w:tc>
          <w:tcPr>
            <w:tcW w:w="473"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473"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812" w:type="pct"/>
            <w:gridSpan w:val="4"/>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205</w:t>
            </w:r>
          </w:p>
        </w:tc>
        <w:tc>
          <w:tcPr>
            <w:tcW w:w="1658" w:type="pct"/>
            <w:gridSpan w:val="8"/>
            <w:tcBorders>
              <w:top w:val="nil"/>
              <w:left w:val="nil"/>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教育支出</w:t>
            </w:r>
          </w:p>
        </w:tc>
        <w:tc>
          <w:tcPr>
            <w:tcW w:w="473"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2.73</w:t>
            </w:r>
          </w:p>
        </w:tc>
        <w:tc>
          <w:tcPr>
            <w:tcW w:w="473"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2.73</w:t>
            </w:r>
          </w:p>
        </w:tc>
        <w:tc>
          <w:tcPr>
            <w:tcW w:w="812" w:type="pct"/>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20508</w:t>
            </w:r>
          </w:p>
        </w:tc>
        <w:tc>
          <w:tcPr>
            <w:tcW w:w="1658" w:type="pct"/>
            <w:gridSpan w:val="8"/>
            <w:tcBorders>
              <w:top w:val="nil"/>
              <w:left w:val="nil"/>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进修及培训</w:t>
            </w:r>
          </w:p>
        </w:tc>
        <w:tc>
          <w:tcPr>
            <w:tcW w:w="473"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2.73</w:t>
            </w:r>
          </w:p>
        </w:tc>
        <w:tc>
          <w:tcPr>
            <w:tcW w:w="473"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2.73</w:t>
            </w:r>
          </w:p>
        </w:tc>
        <w:tc>
          <w:tcPr>
            <w:tcW w:w="812" w:type="pct"/>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2050803</w:t>
            </w:r>
          </w:p>
        </w:tc>
        <w:tc>
          <w:tcPr>
            <w:tcW w:w="1658" w:type="pct"/>
            <w:gridSpan w:val="8"/>
            <w:tcBorders>
              <w:top w:val="nil"/>
              <w:left w:val="nil"/>
              <w:bottom w:val="single" w:sz="4" w:space="0" w:color="000000"/>
              <w:right w:val="single" w:sz="4" w:space="0" w:color="000000"/>
            </w:tcBorders>
            <w:shd w:val="clear" w:color="auto" w:fill="CC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培训支出</w:t>
            </w:r>
          </w:p>
        </w:tc>
        <w:tc>
          <w:tcPr>
            <w:tcW w:w="473"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2.73</w:t>
            </w:r>
          </w:p>
        </w:tc>
        <w:tc>
          <w:tcPr>
            <w:tcW w:w="473"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2.73</w:t>
            </w:r>
          </w:p>
        </w:tc>
        <w:tc>
          <w:tcPr>
            <w:tcW w:w="812" w:type="pct"/>
            <w:gridSpan w:val="4"/>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208</w:t>
            </w:r>
          </w:p>
        </w:tc>
        <w:tc>
          <w:tcPr>
            <w:tcW w:w="1658" w:type="pct"/>
            <w:gridSpan w:val="8"/>
            <w:tcBorders>
              <w:top w:val="nil"/>
              <w:left w:val="nil"/>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社会保障和就业支出</w:t>
            </w:r>
          </w:p>
        </w:tc>
        <w:tc>
          <w:tcPr>
            <w:tcW w:w="473"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254.81</w:t>
            </w:r>
          </w:p>
        </w:tc>
        <w:tc>
          <w:tcPr>
            <w:tcW w:w="473"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254.81</w:t>
            </w:r>
          </w:p>
        </w:tc>
        <w:tc>
          <w:tcPr>
            <w:tcW w:w="812" w:type="pct"/>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20805</w:t>
            </w:r>
          </w:p>
        </w:tc>
        <w:tc>
          <w:tcPr>
            <w:tcW w:w="1658" w:type="pct"/>
            <w:gridSpan w:val="8"/>
            <w:tcBorders>
              <w:top w:val="nil"/>
              <w:left w:val="nil"/>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行政事业单位养老支出</w:t>
            </w:r>
          </w:p>
        </w:tc>
        <w:tc>
          <w:tcPr>
            <w:tcW w:w="473"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250.00</w:t>
            </w:r>
          </w:p>
        </w:tc>
        <w:tc>
          <w:tcPr>
            <w:tcW w:w="473"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250.00</w:t>
            </w:r>
          </w:p>
        </w:tc>
        <w:tc>
          <w:tcPr>
            <w:tcW w:w="812" w:type="pct"/>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2080505</w:t>
            </w:r>
          </w:p>
        </w:tc>
        <w:tc>
          <w:tcPr>
            <w:tcW w:w="1658" w:type="pct"/>
            <w:gridSpan w:val="8"/>
            <w:tcBorders>
              <w:top w:val="nil"/>
              <w:left w:val="nil"/>
              <w:bottom w:val="single" w:sz="4" w:space="0" w:color="000000"/>
              <w:right w:val="single" w:sz="4" w:space="0" w:color="000000"/>
            </w:tcBorders>
            <w:shd w:val="clear" w:color="auto" w:fill="CC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机关事业单位基本养老保险缴费支出</w:t>
            </w:r>
          </w:p>
        </w:tc>
        <w:tc>
          <w:tcPr>
            <w:tcW w:w="473"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250.00</w:t>
            </w:r>
          </w:p>
        </w:tc>
        <w:tc>
          <w:tcPr>
            <w:tcW w:w="473"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250.00</w:t>
            </w:r>
          </w:p>
        </w:tc>
        <w:tc>
          <w:tcPr>
            <w:tcW w:w="812" w:type="pct"/>
            <w:gridSpan w:val="4"/>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20899</w:t>
            </w:r>
          </w:p>
        </w:tc>
        <w:tc>
          <w:tcPr>
            <w:tcW w:w="1658" w:type="pct"/>
            <w:gridSpan w:val="8"/>
            <w:tcBorders>
              <w:top w:val="nil"/>
              <w:left w:val="nil"/>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其他社会保障和就业支出</w:t>
            </w:r>
          </w:p>
        </w:tc>
        <w:tc>
          <w:tcPr>
            <w:tcW w:w="473"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4.81</w:t>
            </w:r>
          </w:p>
        </w:tc>
        <w:tc>
          <w:tcPr>
            <w:tcW w:w="473"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4.81</w:t>
            </w:r>
          </w:p>
        </w:tc>
        <w:tc>
          <w:tcPr>
            <w:tcW w:w="812" w:type="pct"/>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2089999</w:t>
            </w:r>
          </w:p>
        </w:tc>
        <w:tc>
          <w:tcPr>
            <w:tcW w:w="1658" w:type="pct"/>
            <w:gridSpan w:val="8"/>
            <w:tcBorders>
              <w:top w:val="nil"/>
              <w:left w:val="nil"/>
              <w:bottom w:val="single" w:sz="4" w:space="0" w:color="000000"/>
              <w:right w:val="single" w:sz="4" w:space="0" w:color="000000"/>
            </w:tcBorders>
            <w:shd w:val="clear" w:color="auto" w:fill="CC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其他社会保障和就业支出</w:t>
            </w:r>
          </w:p>
        </w:tc>
        <w:tc>
          <w:tcPr>
            <w:tcW w:w="473"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4.81</w:t>
            </w:r>
          </w:p>
        </w:tc>
        <w:tc>
          <w:tcPr>
            <w:tcW w:w="473"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4.81</w:t>
            </w:r>
          </w:p>
        </w:tc>
        <w:tc>
          <w:tcPr>
            <w:tcW w:w="812" w:type="pct"/>
            <w:gridSpan w:val="4"/>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210</w:t>
            </w:r>
          </w:p>
        </w:tc>
        <w:tc>
          <w:tcPr>
            <w:tcW w:w="1658" w:type="pct"/>
            <w:gridSpan w:val="8"/>
            <w:tcBorders>
              <w:top w:val="nil"/>
              <w:left w:val="nil"/>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卫生健康支出</w:t>
            </w:r>
          </w:p>
        </w:tc>
        <w:tc>
          <w:tcPr>
            <w:tcW w:w="473"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245.35</w:t>
            </w:r>
          </w:p>
        </w:tc>
        <w:tc>
          <w:tcPr>
            <w:tcW w:w="473"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245.35</w:t>
            </w:r>
          </w:p>
        </w:tc>
        <w:tc>
          <w:tcPr>
            <w:tcW w:w="812" w:type="pct"/>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21011</w:t>
            </w:r>
          </w:p>
        </w:tc>
        <w:tc>
          <w:tcPr>
            <w:tcW w:w="1658" w:type="pct"/>
            <w:gridSpan w:val="8"/>
            <w:tcBorders>
              <w:top w:val="nil"/>
              <w:left w:val="nil"/>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行政事业单位医疗</w:t>
            </w:r>
          </w:p>
        </w:tc>
        <w:tc>
          <w:tcPr>
            <w:tcW w:w="473"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245.35</w:t>
            </w:r>
          </w:p>
        </w:tc>
        <w:tc>
          <w:tcPr>
            <w:tcW w:w="473"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245.35</w:t>
            </w:r>
          </w:p>
        </w:tc>
        <w:tc>
          <w:tcPr>
            <w:tcW w:w="812" w:type="pct"/>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2101101</w:t>
            </w:r>
          </w:p>
        </w:tc>
        <w:tc>
          <w:tcPr>
            <w:tcW w:w="1658" w:type="pct"/>
            <w:gridSpan w:val="8"/>
            <w:tcBorders>
              <w:top w:val="nil"/>
              <w:left w:val="nil"/>
              <w:bottom w:val="single" w:sz="4" w:space="0" w:color="000000"/>
              <w:right w:val="single" w:sz="4" w:space="0" w:color="000000"/>
            </w:tcBorders>
            <w:shd w:val="clear" w:color="auto" w:fill="CC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行政单位医疗</w:t>
            </w:r>
          </w:p>
        </w:tc>
        <w:tc>
          <w:tcPr>
            <w:tcW w:w="473"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175.65</w:t>
            </w:r>
          </w:p>
        </w:tc>
        <w:tc>
          <w:tcPr>
            <w:tcW w:w="473"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175.65</w:t>
            </w:r>
          </w:p>
        </w:tc>
        <w:tc>
          <w:tcPr>
            <w:tcW w:w="812" w:type="pct"/>
            <w:gridSpan w:val="4"/>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2101103</w:t>
            </w:r>
          </w:p>
        </w:tc>
        <w:tc>
          <w:tcPr>
            <w:tcW w:w="1658" w:type="pct"/>
            <w:gridSpan w:val="8"/>
            <w:tcBorders>
              <w:top w:val="nil"/>
              <w:left w:val="nil"/>
              <w:bottom w:val="single" w:sz="4" w:space="0" w:color="000000"/>
              <w:right w:val="single" w:sz="4" w:space="0" w:color="000000"/>
            </w:tcBorders>
            <w:shd w:val="clear" w:color="auto" w:fill="CC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公务员医疗补助</w:t>
            </w:r>
          </w:p>
        </w:tc>
        <w:tc>
          <w:tcPr>
            <w:tcW w:w="473"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69.70</w:t>
            </w:r>
          </w:p>
        </w:tc>
        <w:tc>
          <w:tcPr>
            <w:tcW w:w="473"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69.70</w:t>
            </w:r>
          </w:p>
        </w:tc>
        <w:tc>
          <w:tcPr>
            <w:tcW w:w="812" w:type="pct"/>
            <w:gridSpan w:val="4"/>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221</w:t>
            </w:r>
          </w:p>
        </w:tc>
        <w:tc>
          <w:tcPr>
            <w:tcW w:w="1658" w:type="pct"/>
            <w:gridSpan w:val="8"/>
            <w:tcBorders>
              <w:top w:val="nil"/>
              <w:left w:val="nil"/>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住房保障支出</w:t>
            </w:r>
          </w:p>
        </w:tc>
        <w:tc>
          <w:tcPr>
            <w:tcW w:w="473"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287.86</w:t>
            </w:r>
          </w:p>
        </w:tc>
        <w:tc>
          <w:tcPr>
            <w:tcW w:w="473"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287.86</w:t>
            </w:r>
          </w:p>
        </w:tc>
        <w:tc>
          <w:tcPr>
            <w:tcW w:w="812" w:type="pct"/>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22102</w:t>
            </w:r>
          </w:p>
        </w:tc>
        <w:tc>
          <w:tcPr>
            <w:tcW w:w="1658" w:type="pct"/>
            <w:gridSpan w:val="8"/>
            <w:tcBorders>
              <w:top w:val="nil"/>
              <w:left w:val="nil"/>
              <w:bottom w:val="single" w:sz="4" w:space="0" w:color="000000"/>
              <w:right w:val="single" w:sz="4" w:space="0" w:color="000000"/>
            </w:tcBorders>
            <w:shd w:val="clear" w:color="auto" w:fill="C0C0C0"/>
            <w:noWrap/>
            <w:vAlign w:val="center"/>
          </w:tcPr>
          <w:p w:rsidR="00065B80" w:rsidRDefault="009A7EE1">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住房改革支出</w:t>
            </w:r>
          </w:p>
        </w:tc>
        <w:tc>
          <w:tcPr>
            <w:tcW w:w="473"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287.86</w:t>
            </w:r>
          </w:p>
        </w:tc>
        <w:tc>
          <w:tcPr>
            <w:tcW w:w="473"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287.86</w:t>
            </w:r>
          </w:p>
        </w:tc>
        <w:tc>
          <w:tcPr>
            <w:tcW w:w="812" w:type="pct"/>
            <w:gridSpan w:val="4"/>
            <w:tcBorders>
              <w:top w:val="nil"/>
              <w:left w:val="nil"/>
              <w:bottom w:val="single" w:sz="4" w:space="0" w:color="000000"/>
              <w:right w:val="single" w:sz="4" w:space="0" w:color="000000"/>
            </w:tcBorders>
            <w:shd w:val="clear" w:color="auto" w:fill="C0C0C0"/>
            <w:noWrap/>
            <w:vAlign w:val="center"/>
          </w:tcPr>
          <w:p w:rsidR="00065B80" w:rsidRDefault="009A7EE1">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0.00</w:t>
            </w:r>
          </w:p>
        </w:tc>
      </w:tr>
      <w:tr w:rsidR="00065B80">
        <w:trPr>
          <w:gridBefore w:val="1"/>
          <w:gridAfter w:val="1"/>
          <w:wBefore w:w="29" w:type="pct"/>
          <w:wAfter w:w="21" w:type="dxa"/>
          <w:trHeight w:val="90"/>
        </w:trPr>
        <w:tc>
          <w:tcPr>
            <w:tcW w:w="1551" w:type="pct"/>
            <w:gridSpan w:val="7"/>
            <w:tcBorders>
              <w:top w:val="nil"/>
              <w:left w:val="single" w:sz="4" w:space="0" w:color="000000"/>
              <w:bottom w:val="single" w:sz="4" w:space="0" w:color="000000"/>
              <w:right w:val="single" w:sz="4" w:space="0" w:color="000000"/>
            </w:tcBorders>
            <w:shd w:val="clear" w:color="auto" w:fill="FF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2210201</w:t>
            </w:r>
          </w:p>
        </w:tc>
        <w:tc>
          <w:tcPr>
            <w:tcW w:w="1658" w:type="pct"/>
            <w:gridSpan w:val="8"/>
            <w:tcBorders>
              <w:top w:val="nil"/>
              <w:left w:val="nil"/>
              <w:bottom w:val="single" w:sz="4" w:space="0" w:color="000000"/>
              <w:right w:val="single" w:sz="4" w:space="0" w:color="000000"/>
            </w:tcBorders>
            <w:shd w:val="clear" w:color="auto" w:fill="CC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住房公积金</w:t>
            </w:r>
          </w:p>
        </w:tc>
        <w:tc>
          <w:tcPr>
            <w:tcW w:w="473"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287.86</w:t>
            </w:r>
          </w:p>
        </w:tc>
        <w:tc>
          <w:tcPr>
            <w:tcW w:w="473"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287.86</w:t>
            </w:r>
          </w:p>
        </w:tc>
        <w:tc>
          <w:tcPr>
            <w:tcW w:w="812" w:type="pct"/>
            <w:gridSpan w:val="4"/>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gridAfter w:val="1"/>
          <w:wBefore w:w="29" w:type="pct"/>
          <w:wAfter w:w="21" w:type="dxa"/>
          <w:trHeight w:val="90"/>
        </w:trPr>
        <w:tc>
          <w:tcPr>
            <w:tcW w:w="4970" w:type="pct"/>
            <w:gridSpan w:val="24"/>
            <w:tcBorders>
              <w:top w:val="nil"/>
              <w:left w:val="nil"/>
              <w:bottom w:val="nil"/>
              <w:right w:val="nil"/>
            </w:tcBorders>
            <w:shd w:val="clear" w:color="auto" w:fill="FFFFFF"/>
            <w:noWrap/>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注：本表反映部门本年度一般公共预算财政拨款支出情况。</w:t>
            </w:r>
          </w:p>
        </w:tc>
      </w:tr>
      <w:tr w:rsidR="00065B80">
        <w:trPr>
          <w:gridBefore w:val="1"/>
          <w:wBefore w:w="92" w:type="dxa"/>
          <w:trHeight w:val="747"/>
        </w:trPr>
        <w:tc>
          <w:tcPr>
            <w:tcW w:w="5000" w:type="pct"/>
            <w:gridSpan w:val="25"/>
            <w:tcBorders>
              <w:top w:val="nil"/>
              <w:left w:val="nil"/>
              <w:bottom w:val="nil"/>
              <w:right w:val="single" w:sz="4" w:space="0" w:color="808080"/>
            </w:tcBorders>
            <w:shd w:val="clear" w:color="auto" w:fill="FFFFFF"/>
            <w:noWrap/>
            <w:vAlign w:val="center"/>
          </w:tcPr>
          <w:p w:rsidR="00065B80" w:rsidRDefault="009A7EE1">
            <w:pPr>
              <w:jc w:val="center"/>
              <w:rPr>
                <w:rFonts w:ascii="宋体" w:eastAsia="宋体" w:hAnsi="宋体" w:cs="宋体"/>
                <w:color w:val="000000"/>
                <w:sz w:val="18"/>
                <w:szCs w:val="18"/>
              </w:rPr>
            </w:pPr>
            <w:r>
              <w:rPr>
                <w:rFonts w:ascii="黑体" w:eastAsia="黑体" w:hAnsi="宋体" w:cs="黑体" w:hint="eastAsia"/>
                <w:color w:val="000000"/>
                <w:kern w:val="0"/>
                <w:sz w:val="30"/>
                <w:szCs w:val="30"/>
                <w:lang/>
              </w:rPr>
              <w:lastRenderedPageBreak/>
              <w:t>一般公共预算财政拨款基本支出决算明细表</w:t>
            </w:r>
          </w:p>
        </w:tc>
      </w:tr>
      <w:tr w:rsidR="00065B80">
        <w:trPr>
          <w:gridBefore w:val="1"/>
          <w:wBefore w:w="92" w:type="dxa"/>
          <w:trHeight w:val="145"/>
        </w:trPr>
        <w:tc>
          <w:tcPr>
            <w:tcW w:w="336" w:type="pct"/>
            <w:tcBorders>
              <w:top w:val="nil"/>
              <w:left w:val="nil"/>
              <w:bottom w:val="nil"/>
              <w:right w:val="nil"/>
            </w:tcBorders>
            <w:shd w:val="clear" w:color="auto" w:fill="FFFFFF"/>
            <w:noWrap/>
            <w:vAlign w:val="center"/>
          </w:tcPr>
          <w:p w:rsidR="00065B80" w:rsidRDefault="00065B80">
            <w:pPr>
              <w:widowControl/>
              <w:spacing w:line="160" w:lineRule="exact"/>
              <w:jc w:val="left"/>
              <w:rPr>
                <w:rFonts w:ascii="宋体" w:eastAsia="宋体" w:hAnsi="宋体" w:cs="宋体"/>
                <w:color w:val="000000"/>
                <w:sz w:val="18"/>
                <w:szCs w:val="18"/>
              </w:rPr>
            </w:pPr>
          </w:p>
        </w:tc>
        <w:tc>
          <w:tcPr>
            <w:tcW w:w="937" w:type="pct"/>
            <w:gridSpan w:val="3"/>
            <w:tcBorders>
              <w:top w:val="nil"/>
              <w:left w:val="nil"/>
              <w:bottom w:val="nil"/>
              <w:right w:val="nil"/>
            </w:tcBorders>
            <w:shd w:val="clear" w:color="auto" w:fill="FFFFFF"/>
            <w:noWrap/>
            <w:vAlign w:val="center"/>
          </w:tcPr>
          <w:p w:rsidR="00065B80" w:rsidRDefault="00065B80">
            <w:pPr>
              <w:widowControl/>
              <w:spacing w:line="160" w:lineRule="exact"/>
              <w:jc w:val="left"/>
              <w:rPr>
                <w:rFonts w:ascii="宋体" w:eastAsia="宋体" w:hAnsi="宋体" w:cs="宋体"/>
                <w:color w:val="000000"/>
                <w:sz w:val="18"/>
                <w:szCs w:val="18"/>
              </w:rPr>
            </w:pPr>
          </w:p>
        </w:tc>
        <w:tc>
          <w:tcPr>
            <w:tcW w:w="376" w:type="pct"/>
            <w:gridSpan w:val="5"/>
            <w:tcBorders>
              <w:top w:val="nil"/>
              <w:left w:val="nil"/>
              <w:bottom w:val="nil"/>
              <w:right w:val="nil"/>
            </w:tcBorders>
            <w:shd w:val="clear" w:color="auto" w:fill="FFFFFF"/>
            <w:noWrap/>
            <w:vAlign w:val="center"/>
          </w:tcPr>
          <w:p w:rsidR="00065B80" w:rsidRDefault="00065B80">
            <w:pPr>
              <w:widowControl/>
              <w:spacing w:line="160" w:lineRule="exact"/>
              <w:jc w:val="left"/>
              <w:rPr>
                <w:rFonts w:ascii="宋体" w:eastAsia="宋体" w:hAnsi="宋体" w:cs="宋体"/>
                <w:color w:val="000000"/>
                <w:sz w:val="18"/>
                <w:szCs w:val="18"/>
              </w:rPr>
            </w:pPr>
          </w:p>
        </w:tc>
        <w:tc>
          <w:tcPr>
            <w:tcW w:w="352" w:type="pct"/>
            <w:tcBorders>
              <w:top w:val="nil"/>
              <w:left w:val="nil"/>
              <w:bottom w:val="nil"/>
              <w:right w:val="nil"/>
            </w:tcBorders>
            <w:shd w:val="clear" w:color="auto" w:fill="FFFFFF"/>
            <w:noWrap/>
            <w:vAlign w:val="center"/>
          </w:tcPr>
          <w:p w:rsidR="00065B80" w:rsidRDefault="00065B80">
            <w:pPr>
              <w:widowControl/>
              <w:spacing w:line="160" w:lineRule="exact"/>
              <w:jc w:val="left"/>
              <w:rPr>
                <w:rFonts w:ascii="宋体" w:eastAsia="宋体" w:hAnsi="宋体" w:cs="宋体"/>
                <w:color w:val="000000"/>
                <w:sz w:val="18"/>
                <w:szCs w:val="18"/>
              </w:rPr>
            </w:pPr>
          </w:p>
        </w:tc>
        <w:tc>
          <w:tcPr>
            <w:tcW w:w="776" w:type="pct"/>
            <w:gridSpan w:val="2"/>
            <w:tcBorders>
              <w:top w:val="nil"/>
              <w:left w:val="nil"/>
              <w:bottom w:val="nil"/>
              <w:right w:val="nil"/>
            </w:tcBorders>
            <w:shd w:val="clear" w:color="auto" w:fill="FFFFFF"/>
            <w:noWrap/>
            <w:vAlign w:val="center"/>
          </w:tcPr>
          <w:p w:rsidR="00065B80" w:rsidRDefault="00065B80">
            <w:pPr>
              <w:widowControl/>
              <w:spacing w:line="160" w:lineRule="exact"/>
              <w:jc w:val="left"/>
              <w:rPr>
                <w:rFonts w:ascii="宋体" w:eastAsia="宋体" w:hAnsi="宋体" w:cs="宋体"/>
                <w:color w:val="000000"/>
                <w:sz w:val="18"/>
                <w:szCs w:val="18"/>
              </w:rPr>
            </w:pPr>
          </w:p>
        </w:tc>
        <w:tc>
          <w:tcPr>
            <w:tcW w:w="396" w:type="pct"/>
            <w:gridSpan w:val="2"/>
            <w:tcBorders>
              <w:top w:val="nil"/>
              <w:left w:val="nil"/>
              <w:bottom w:val="nil"/>
              <w:right w:val="nil"/>
            </w:tcBorders>
            <w:shd w:val="clear" w:color="auto" w:fill="FFFFFF"/>
            <w:noWrap/>
            <w:vAlign w:val="center"/>
          </w:tcPr>
          <w:p w:rsidR="00065B80" w:rsidRDefault="00065B80">
            <w:pPr>
              <w:widowControl/>
              <w:spacing w:line="160" w:lineRule="exact"/>
              <w:jc w:val="left"/>
              <w:rPr>
                <w:rFonts w:ascii="宋体" w:eastAsia="宋体" w:hAnsi="宋体" w:cs="宋体"/>
                <w:color w:val="000000"/>
                <w:sz w:val="18"/>
                <w:szCs w:val="18"/>
              </w:rPr>
            </w:pPr>
          </w:p>
        </w:tc>
        <w:tc>
          <w:tcPr>
            <w:tcW w:w="332" w:type="pct"/>
            <w:gridSpan w:val="3"/>
            <w:tcBorders>
              <w:top w:val="nil"/>
              <w:left w:val="nil"/>
              <w:bottom w:val="nil"/>
              <w:right w:val="nil"/>
            </w:tcBorders>
            <w:shd w:val="clear" w:color="auto" w:fill="FFFFFF"/>
            <w:noWrap/>
            <w:vAlign w:val="center"/>
          </w:tcPr>
          <w:p w:rsidR="00065B80" w:rsidRDefault="00065B80">
            <w:pPr>
              <w:widowControl/>
              <w:spacing w:line="160" w:lineRule="exact"/>
              <w:jc w:val="left"/>
              <w:rPr>
                <w:rFonts w:ascii="宋体" w:eastAsia="宋体" w:hAnsi="宋体" w:cs="宋体"/>
                <w:color w:val="000000"/>
                <w:sz w:val="18"/>
                <w:szCs w:val="18"/>
              </w:rPr>
            </w:pPr>
          </w:p>
        </w:tc>
        <w:tc>
          <w:tcPr>
            <w:tcW w:w="1077" w:type="pct"/>
            <w:gridSpan w:val="5"/>
            <w:tcBorders>
              <w:top w:val="nil"/>
              <w:left w:val="nil"/>
              <w:bottom w:val="nil"/>
              <w:right w:val="nil"/>
            </w:tcBorders>
            <w:shd w:val="clear" w:color="auto" w:fill="FFFFFF"/>
            <w:noWrap/>
            <w:vAlign w:val="center"/>
          </w:tcPr>
          <w:p w:rsidR="00065B80" w:rsidRDefault="00065B80">
            <w:pPr>
              <w:widowControl/>
              <w:spacing w:line="160" w:lineRule="exact"/>
              <w:jc w:val="left"/>
              <w:rPr>
                <w:rFonts w:ascii="宋体" w:eastAsia="宋体" w:hAnsi="宋体" w:cs="宋体"/>
                <w:color w:val="000000"/>
                <w:sz w:val="18"/>
                <w:szCs w:val="18"/>
              </w:rPr>
            </w:pPr>
          </w:p>
        </w:tc>
        <w:tc>
          <w:tcPr>
            <w:tcW w:w="414" w:type="pct"/>
            <w:gridSpan w:val="3"/>
            <w:tcBorders>
              <w:top w:val="nil"/>
              <w:left w:val="nil"/>
              <w:bottom w:val="nil"/>
              <w:right w:val="single" w:sz="4" w:space="0" w:color="80808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公开</w:t>
            </w:r>
            <w:r>
              <w:rPr>
                <w:rFonts w:ascii="宋体" w:eastAsia="宋体" w:hAnsi="宋体" w:cs="宋体" w:hint="eastAsia"/>
                <w:color w:val="000000"/>
                <w:kern w:val="0"/>
                <w:sz w:val="22"/>
                <w:lang/>
              </w:rPr>
              <w:t>06</w:t>
            </w:r>
            <w:r>
              <w:rPr>
                <w:rFonts w:ascii="宋体" w:eastAsia="宋体" w:hAnsi="宋体" w:cs="宋体" w:hint="eastAsia"/>
                <w:color w:val="000000"/>
                <w:kern w:val="0"/>
                <w:sz w:val="22"/>
                <w:lang/>
              </w:rPr>
              <w:t>表</w:t>
            </w:r>
          </w:p>
        </w:tc>
      </w:tr>
      <w:tr w:rsidR="00065B80">
        <w:trPr>
          <w:gridBefore w:val="1"/>
          <w:wBefore w:w="92" w:type="dxa"/>
          <w:trHeight w:val="505"/>
        </w:trPr>
        <w:tc>
          <w:tcPr>
            <w:tcW w:w="1273" w:type="pct"/>
            <w:gridSpan w:val="4"/>
            <w:tcBorders>
              <w:top w:val="nil"/>
              <w:left w:val="nil"/>
              <w:bottom w:val="single" w:sz="4" w:space="0" w:color="808080"/>
              <w:right w:val="nil"/>
            </w:tcBorders>
            <w:shd w:val="clear" w:color="auto" w:fill="FFFFFF"/>
            <w:noWrap/>
            <w:vAlign w:val="center"/>
          </w:tcPr>
          <w:p w:rsidR="00065B80" w:rsidRDefault="009A7EE1">
            <w:pPr>
              <w:widowControl/>
              <w:spacing w:line="160" w:lineRule="exact"/>
              <w:jc w:val="left"/>
              <w:rPr>
                <w:rFonts w:ascii="宋体" w:eastAsia="宋体" w:hAnsi="宋体" w:cs="宋体"/>
                <w:color w:val="000000"/>
                <w:sz w:val="18"/>
                <w:szCs w:val="18"/>
              </w:rPr>
            </w:pPr>
            <w:r>
              <w:rPr>
                <w:rFonts w:ascii="宋体" w:eastAsia="宋体" w:hAnsi="宋体" w:cs="宋体" w:hint="eastAsia"/>
                <w:color w:val="000000"/>
                <w:kern w:val="0"/>
                <w:sz w:val="20"/>
                <w:szCs w:val="20"/>
                <w:lang/>
              </w:rPr>
              <w:t>部门：湖南省娄底市中级人民法院</w:t>
            </w:r>
          </w:p>
        </w:tc>
        <w:tc>
          <w:tcPr>
            <w:tcW w:w="376" w:type="pct"/>
            <w:gridSpan w:val="5"/>
            <w:tcBorders>
              <w:top w:val="nil"/>
              <w:left w:val="nil"/>
              <w:bottom w:val="single" w:sz="4" w:space="0" w:color="808080"/>
              <w:right w:val="nil"/>
            </w:tcBorders>
            <w:shd w:val="clear" w:color="auto" w:fill="FFFFFF"/>
            <w:noWrap/>
            <w:vAlign w:val="center"/>
          </w:tcPr>
          <w:p w:rsidR="00065B80" w:rsidRDefault="00065B80">
            <w:pPr>
              <w:widowControl/>
              <w:spacing w:line="160" w:lineRule="exact"/>
              <w:jc w:val="left"/>
              <w:rPr>
                <w:rFonts w:ascii="宋体" w:eastAsia="宋体" w:hAnsi="宋体" w:cs="宋体"/>
                <w:color w:val="000000"/>
                <w:sz w:val="18"/>
                <w:szCs w:val="18"/>
              </w:rPr>
            </w:pPr>
          </w:p>
        </w:tc>
        <w:tc>
          <w:tcPr>
            <w:tcW w:w="352" w:type="pct"/>
            <w:tcBorders>
              <w:top w:val="nil"/>
              <w:left w:val="nil"/>
              <w:bottom w:val="single" w:sz="4" w:space="0" w:color="808080"/>
              <w:right w:val="nil"/>
            </w:tcBorders>
            <w:shd w:val="clear" w:color="auto" w:fill="FFFFFF"/>
            <w:noWrap/>
            <w:vAlign w:val="center"/>
          </w:tcPr>
          <w:p w:rsidR="00065B80" w:rsidRDefault="00065B80">
            <w:pPr>
              <w:widowControl/>
              <w:spacing w:line="160" w:lineRule="exact"/>
              <w:jc w:val="left"/>
              <w:rPr>
                <w:rFonts w:ascii="宋体" w:eastAsia="宋体" w:hAnsi="宋体" w:cs="宋体"/>
                <w:color w:val="000000"/>
                <w:sz w:val="18"/>
                <w:szCs w:val="18"/>
              </w:rPr>
            </w:pPr>
          </w:p>
        </w:tc>
        <w:tc>
          <w:tcPr>
            <w:tcW w:w="776" w:type="pct"/>
            <w:gridSpan w:val="2"/>
            <w:tcBorders>
              <w:top w:val="nil"/>
              <w:left w:val="nil"/>
              <w:bottom w:val="single" w:sz="4" w:space="0" w:color="808080"/>
              <w:right w:val="nil"/>
            </w:tcBorders>
            <w:shd w:val="clear" w:color="auto" w:fill="FFFFFF"/>
            <w:noWrap/>
            <w:vAlign w:val="center"/>
          </w:tcPr>
          <w:p w:rsidR="00065B80" w:rsidRDefault="00065B80">
            <w:pPr>
              <w:widowControl/>
              <w:spacing w:line="160" w:lineRule="exact"/>
              <w:jc w:val="center"/>
              <w:rPr>
                <w:rFonts w:ascii="宋体" w:eastAsia="宋体" w:hAnsi="宋体" w:cs="宋体"/>
                <w:color w:val="000000"/>
                <w:sz w:val="22"/>
              </w:rPr>
            </w:pPr>
          </w:p>
        </w:tc>
        <w:tc>
          <w:tcPr>
            <w:tcW w:w="396" w:type="pct"/>
            <w:gridSpan w:val="2"/>
            <w:tcBorders>
              <w:top w:val="nil"/>
              <w:left w:val="nil"/>
              <w:bottom w:val="single" w:sz="4" w:space="0" w:color="808080"/>
              <w:right w:val="nil"/>
            </w:tcBorders>
            <w:shd w:val="clear" w:color="auto" w:fill="FFFFFF"/>
            <w:noWrap/>
            <w:vAlign w:val="center"/>
          </w:tcPr>
          <w:p w:rsidR="00065B80" w:rsidRDefault="00065B80">
            <w:pPr>
              <w:widowControl/>
              <w:spacing w:line="160" w:lineRule="exact"/>
              <w:jc w:val="left"/>
              <w:rPr>
                <w:rFonts w:ascii="宋体" w:eastAsia="宋体" w:hAnsi="宋体" w:cs="宋体"/>
                <w:color w:val="000000"/>
                <w:sz w:val="18"/>
                <w:szCs w:val="18"/>
              </w:rPr>
            </w:pPr>
          </w:p>
        </w:tc>
        <w:tc>
          <w:tcPr>
            <w:tcW w:w="332" w:type="pct"/>
            <w:gridSpan w:val="3"/>
            <w:tcBorders>
              <w:top w:val="nil"/>
              <w:left w:val="nil"/>
              <w:bottom w:val="single" w:sz="4" w:space="0" w:color="808080"/>
              <w:right w:val="nil"/>
            </w:tcBorders>
            <w:shd w:val="clear" w:color="auto" w:fill="FFFFFF"/>
            <w:noWrap/>
            <w:vAlign w:val="center"/>
          </w:tcPr>
          <w:p w:rsidR="00065B80" w:rsidRDefault="00065B80">
            <w:pPr>
              <w:widowControl/>
              <w:spacing w:line="160" w:lineRule="exact"/>
              <w:jc w:val="left"/>
              <w:rPr>
                <w:rFonts w:ascii="宋体" w:eastAsia="宋体" w:hAnsi="宋体" w:cs="宋体"/>
                <w:color w:val="000000"/>
                <w:sz w:val="18"/>
                <w:szCs w:val="18"/>
              </w:rPr>
            </w:pPr>
          </w:p>
        </w:tc>
        <w:tc>
          <w:tcPr>
            <w:tcW w:w="1491" w:type="pct"/>
            <w:gridSpan w:val="8"/>
            <w:tcBorders>
              <w:top w:val="nil"/>
              <w:left w:val="nil"/>
              <w:bottom w:val="single" w:sz="4" w:space="0" w:color="808080"/>
              <w:right w:val="single" w:sz="4" w:space="0" w:color="80808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金额单位：万元</w:t>
            </w:r>
          </w:p>
        </w:tc>
      </w:tr>
      <w:tr w:rsidR="00065B80">
        <w:trPr>
          <w:gridBefore w:val="1"/>
          <w:wBefore w:w="92" w:type="dxa"/>
          <w:trHeight w:val="213"/>
        </w:trPr>
        <w:tc>
          <w:tcPr>
            <w:tcW w:w="1649" w:type="pct"/>
            <w:gridSpan w:val="9"/>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人员经费</w:t>
            </w:r>
          </w:p>
        </w:tc>
        <w:tc>
          <w:tcPr>
            <w:tcW w:w="3350" w:type="pct"/>
            <w:gridSpan w:val="16"/>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公用经费</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科目编码</w:t>
            </w:r>
          </w:p>
        </w:tc>
        <w:tc>
          <w:tcPr>
            <w:tcW w:w="937" w:type="pct"/>
            <w:gridSpan w:val="3"/>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科目名称</w:t>
            </w:r>
          </w:p>
        </w:tc>
        <w:tc>
          <w:tcPr>
            <w:tcW w:w="376" w:type="pct"/>
            <w:gridSpan w:val="5"/>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决算数</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科目编码</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科目名称</w:t>
            </w:r>
          </w:p>
        </w:tc>
        <w:tc>
          <w:tcPr>
            <w:tcW w:w="39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决算数</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科目编码</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科目名称</w:t>
            </w:r>
          </w:p>
        </w:tc>
        <w:tc>
          <w:tcPr>
            <w:tcW w:w="414"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决算数</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工资福利支出</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3,005.28</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商品和服务支出</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1,174.74</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307</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债务利息及费用支出</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30101</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基本工资</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719.94</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30201</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办公费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58.06</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30701</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国内债务付息</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30102</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津贴补贴</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577.04</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30202</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印刷费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8.90</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30702</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国外债务付息</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30103</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奖金</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400.23</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30203</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咨询费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资本性支出</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30106</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伙食补助费</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30204</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手续费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31001</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房屋建筑物购建</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30107</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绩效工资</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30205</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水费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12.99</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31002</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办公设备购置</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405"/>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30108</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机关事业单位基本养老保险缴费</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30206</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电费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81.42</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31003</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专用设备购置</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30109</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职业年金缴费</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30207</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邮电费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30.32</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31005</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基础设施建设</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30110</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职工基本医疗保险缴费</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175.65</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30208</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取暖费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31006</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大型修缮</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30111</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公务员医疗补助缴费</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69.70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30209</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物业管理费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84.24</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31007</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信息网络及软件购置更新</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30112</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其他社会保障缴费</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4.81</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30211</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差旅费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93.58</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31008</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物资储备</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30113</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住房公积金</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287.86</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30212</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因公出国（境）费用</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31009</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土地补偿</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30114</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医疗费</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30213</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维修（护）费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24.52</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31010</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安置补助</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30199</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其他工资福利支出</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520.06</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30214</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租赁费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14.76</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31011</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地上附着物和青苗补偿</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对个人和家庭的补助</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29.55</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30215</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会议费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0.68</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31012</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拆迁补偿</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30301</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离休费</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30216</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培训费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2.73</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31013</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公务用车购置</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30302</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退休费</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30217</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公务接待费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9.59</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31019</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其他交通工具购置</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30303</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退职（役）费</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30218</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专用材料费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31021</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文物和陈列品购置</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30304</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抚恤金</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30224</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被装购置费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31022</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无形资产购置</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30305</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生活补助</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30225</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专用燃料费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31099</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其他资本性支出</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30306</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救济费</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30226</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劳务费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59.37</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399</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其他支出</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30307</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医疗费补助</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30227</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委托业务费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39906</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赠与</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30308</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助学金</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30228</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工会经费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67.20</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39907</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国家赔偿费用支出</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405"/>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30309</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奖励金</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4.41</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30229</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福利费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71.25</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39908</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对民间非营利组织和群众性自治组织补贴</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30310</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个人农业生产补贴</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30231</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公务用车运行维护费</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64.49</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39999</w:t>
            </w: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其他支出</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30311</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代缴社会保险费</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30239</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其他交通费用</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139.51</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160" w:lineRule="exact"/>
              <w:jc w:val="left"/>
              <w:rPr>
                <w:rFonts w:ascii="宋体" w:eastAsia="宋体" w:hAnsi="宋体" w:cs="宋体"/>
                <w:color w:val="000000"/>
                <w:sz w:val="20"/>
                <w:szCs w:val="20"/>
              </w:rPr>
            </w:pP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160" w:lineRule="exact"/>
              <w:jc w:val="left"/>
              <w:rPr>
                <w:rFonts w:ascii="宋体" w:eastAsia="宋体" w:hAnsi="宋体" w:cs="宋体"/>
                <w:color w:val="000000"/>
                <w:sz w:val="20"/>
                <w:szCs w:val="20"/>
              </w:rPr>
            </w:pP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160" w:lineRule="exact"/>
              <w:jc w:val="right"/>
              <w:rPr>
                <w:rFonts w:ascii="宋体" w:eastAsia="宋体" w:hAnsi="宋体" w:cs="宋体"/>
                <w:color w:val="000000"/>
                <w:sz w:val="20"/>
                <w:szCs w:val="20"/>
              </w:rPr>
            </w:pP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30399</w:t>
            </w: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其他对个人和家庭的补助</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21.14</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30240</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税金及附加费用</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160" w:lineRule="exact"/>
              <w:jc w:val="left"/>
              <w:rPr>
                <w:rFonts w:ascii="宋体" w:eastAsia="宋体" w:hAnsi="宋体" w:cs="宋体"/>
                <w:color w:val="000000"/>
                <w:sz w:val="20"/>
                <w:szCs w:val="20"/>
              </w:rPr>
            </w:pP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160" w:lineRule="exact"/>
              <w:jc w:val="left"/>
              <w:rPr>
                <w:rFonts w:ascii="宋体" w:eastAsia="宋体" w:hAnsi="宋体" w:cs="宋体"/>
                <w:color w:val="000000"/>
                <w:sz w:val="20"/>
                <w:szCs w:val="20"/>
              </w:rPr>
            </w:pP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160" w:lineRule="exact"/>
              <w:jc w:val="right"/>
              <w:rPr>
                <w:rFonts w:ascii="宋体" w:eastAsia="宋体" w:hAnsi="宋体" w:cs="宋体"/>
                <w:color w:val="000000"/>
                <w:sz w:val="20"/>
                <w:szCs w:val="20"/>
              </w:rPr>
            </w:pPr>
          </w:p>
        </w:tc>
      </w:tr>
      <w:tr w:rsidR="00065B80">
        <w:trPr>
          <w:gridBefore w:val="1"/>
          <w:wBefore w:w="92" w:type="dxa"/>
          <w:trHeight w:val="213"/>
        </w:trPr>
        <w:tc>
          <w:tcPr>
            <w:tcW w:w="336" w:type="pct"/>
            <w:tcBorders>
              <w:top w:val="nil"/>
              <w:left w:val="single" w:sz="4" w:space="0" w:color="000000"/>
              <w:bottom w:val="single" w:sz="4" w:space="0" w:color="000000"/>
              <w:right w:val="single" w:sz="4" w:space="0" w:color="000000"/>
            </w:tcBorders>
            <w:shd w:val="clear" w:color="auto" w:fill="C0C0C0"/>
            <w:noWrap/>
            <w:vAlign w:val="center"/>
          </w:tcPr>
          <w:p w:rsidR="00065B80" w:rsidRDefault="00065B80">
            <w:pPr>
              <w:widowControl/>
              <w:spacing w:line="160" w:lineRule="exact"/>
              <w:jc w:val="left"/>
              <w:rPr>
                <w:rFonts w:ascii="宋体" w:eastAsia="宋体" w:hAnsi="宋体" w:cs="宋体"/>
                <w:color w:val="000000"/>
                <w:sz w:val="20"/>
                <w:szCs w:val="20"/>
              </w:rPr>
            </w:pPr>
          </w:p>
        </w:tc>
        <w:tc>
          <w:tcPr>
            <w:tcW w:w="937" w:type="pct"/>
            <w:gridSpan w:val="3"/>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160" w:lineRule="exact"/>
              <w:jc w:val="left"/>
              <w:rPr>
                <w:rFonts w:ascii="宋体" w:eastAsia="宋体" w:hAnsi="宋体" w:cs="宋体"/>
                <w:color w:val="000000"/>
                <w:sz w:val="20"/>
                <w:szCs w:val="20"/>
              </w:rPr>
            </w:pP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352" w:type="pct"/>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30299</w:t>
            </w:r>
          </w:p>
        </w:tc>
        <w:tc>
          <w:tcPr>
            <w:tcW w:w="776" w:type="pct"/>
            <w:gridSpan w:val="2"/>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其他商品和服务支出</w:t>
            </w:r>
          </w:p>
        </w:tc>
        <w:tc>
          <w:tcPr>
            <w:tcW w:w="396" w:type="pct"/>
            <w:gridSpan w:val="2"/>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351.15</w:t>
            </w:r>
          </w:p>
        </w:tc>
        <w:tc>
          <w:tcPr>
            <w:tcW w:w="332" w:type="pct"/>
            <w:gridSpan w:val="3"/>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160" w:lineRule="exact"/>
              <w:jc w:val="left"/>
              <w:rPr>
                <w:rFonts w:ascii="宋体" w:eastAsia="宋体" w:hAnsi="宋体" w:cs="宋体"/>
                <w:color w:val="000000"/>
                <w:sz w:val="20"/>
                <w:szCs w:val="20"/>
              </w:rPr>
            </w:pPr>
          </w:p>
        </w:tc>
        <w:tc>
          <w:tcPr>
            <w:tcW w:w="1077" w:type="pct"/>
            <w:gridSpan w:val="5"/>
            <w:tcBorders>
              <w:top w:val="nil"/>
              <w:left w:val="nil"/>
              <w:bottom w:val="single" w:sz="4" w:space="0" w:color="000000"/>
              <w:right w:val="single" w:sz="4" w:space="0" w:color="000000"/>
            </w:tcBorders>
            <w:shd w:val="clear" w:color="auto" w:fill="C0C0C0"/>
            <w:noWrap/>
            <w:vAlign w:val="center"/>
          </w:tcPr>
          <w:p w:rsidR="00065B80" w:rsidRDefault="00065B80">
            <w:pPr>
              <w:widowControl/>
              <w:spacing w:line="160" w:lineRule="exact"/>
              <w:jc w:val="left"/>
              <w:rPr>
                <w:rFonts w:ascii="宋体" w:eastAsia="宋体" w:hAnsi="宋体" w:cs="宋体"/>
                <w:color w:val="000000"/>
                <w:sz w:val="20"/>
                <w:szCs w:val="20"/>
              </w:rPr>
            </w:pP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065B80">
            <w:pPr>
              <w:widowControl/>
              <w:spacing w:line="160" w:lineRule="exact"/>
              <w:jc w:val="right"/>
              <w:rPr>
                <w:rFonts w:ascii="宋体" w:eastAsia="宋体" w:hAnsi="宋体" w:cs="宋体"/>
                <w:color w:val="000000"/>
                <w:sz w:val="20"/>
                <w:szCs w:val="20"/>
              </w:rPr>
            </w:pPr>
          </w:p>
        </w:tc>
      </w:tr>
      <w:tr w:rsidR="00065B80">
        <w:trPr>
          <w:gridBefore w:val="1"/>
          <w:wBefore w:w="92" w:type="dxa"/>
          <w:trHeight w:val="236"/>
        </w:trPr>
        <w:tc>
          <w:tcPr>
            <w:tcW w:w="1273" w:type="pct"/>
            <w:gridSpan w:val="4"/>
            <w:tcBorders>
              <w:top w:val="nil"/>
              <w:left w:val="single" w:sz="4" w:space="0" w:color="000000"/>
              <w:bottom w:val="single" w:sz="4" w:space="0" w:color="000000"/>
              <w:right w:val="single" w:sz="4" w:space="0" w:color="000000"/>
            </w:tcBorders>
            <w:shd w:val="clear" w:color="auto" w:fill="C0C0C0"/>
            <w:noWrap/>
            <w:vAlign w:val="center"/>
          </w:tcPr>
          <w:p w:rsidR="00065B80" w:rsidRDefault="009A7EE1">
            <w:pPr>
              <w:widowControl/>
              <w:spacing w:line="1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人员经费合计</w:t>
            </w:r>
          </w:p>
        </w:tc>
        <w:tc>
          <w:tcPr>
            <w:tcW w:w="376" w:type="pct"/>
            <w:gridSpan w:val="5"/>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3,034.83</w:t>
            </w:r>
          </w:p>
        </w:tc>
        <w:tc>
          <w:tcPr>
            <w:tcW w:w="2935" w:type="pct"/>
            <w:gridSpan w:val="13"/>
            <w:tcBorders>
              <w:top w:val="nil"/>
              <w:left w:val="nil"/>
              <w:bottom w:val="single" w:sz="4" w:space="0" w:color="000000"/>
              <w:right w:val="single" w:sz="4" w:space="0" w:color="000000"/>
            </w:tcBorders>
            <w:shd w:val="clear" w:color="auto" w:fill="C0C0C0"/>
            <w:noWrap/>
            <w:vAlign w:val="center"/>
          </w:tcPr>
          <w:p w:rsidR="00065B80" w:rsidRDefault="009A7EE1">
            <w:pPr>
              <w:widowControl/>
              <w:spacing w:line="1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公用经费合计</w:t>
            </w:r>
          </w:p>
        </w:tc>
        <w:tc>
          <w:tcPr>
            <w:tcW w:w="414" w:type="pct"/>
            <w:gridSpan w:val="3"/>
            <w:tcBorders>
              <w:top w:val="nil"/>
              <w:left w:val="nil"/>
              <w:bottom w:val="single" w:sz="4" w:space="0" w:color="000000"/>
              <w:right w:val="single" w:sz="4" w:space="0" w:color="000000"/>
            </w:tcBorders>
            <w:shd w:val="clear" w:color="auto" w:fill="FFFFFF"/>
            <w:noWrap/>
            <w:vAlign w:val="center"/>
          </w:tcPr>
          <w:p w:rsidR="00065B80" w:rsidRDefault="009A7EE1">
            <w:pPr>
              <w:widowControl/>
              <w:spacing w:line="160" w:lineRule="exact"/>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1,174.74</w:t>
            </w:r>
          </w:p>
        </w:tc>
      </w:tr>
    </w:tbl>
    <w:p w:rsidR="00065B80" w:rsidRDefault="00065B80">
      <w:pPr>
        <w:pStyle w:val="a0"/>
        <w:ind w:firstLineChars="0" w:firstLine="0"/>
        <w:rPr>
          <w:sz w:val="72"/>
          <w:szCs w:val="72"/>
        </w:rPr>
      </w:pPr>
    </w:p>
    <w:p w:rsidR="00065B80" w:rsidRDefault="00065B80" w:rsidP="00F02B7A">
      <w:pPr>
        <w:pStyle w:val="a0"/>
        <w:ind w:firstLine="720"/>
        <w:rPr>
          <w:sz w:val="72"/>
          <w:szCs w:val="72"/>
        </w:rPr>
      </w:pPr>
    </w:p>
    <w:tbl>
      <w:tblPr>
        <w:tblW w:w="15521" w:type="dxa"/>
        <w:tblInd w:w="93" w:type="dxa"/>
        <w:tblLook w:val="04A0"/>
      </w:tblPr>
      <w:tblGrid>
        <w:gridCol w:w="3516"/>
        <w:gridCol w:w="962"/>
        <w:gridCol w:w="962"/>
        <w:gridCol w:w="962"/>
        <w:gridCol w:w="962"/>
        <w:gridCol w:w="1675"/>
        <w:gridCol w:w="962"/>
        <w:gridCol w:w="962"/>
        <w:gridCol w:w="962"/>
        <w:gridCol w:w="878"/>
        <w:gridCol w:w="962"/>
        <w:gridCol w:w="1756"/>
      </w:tblGrid>
      <w:tr w:rsidR="00065B80">
        <w:trPr>
          <w:trHeight w:val="580"/>
        </w:trPr>
        <w:tc>
          <w:tcPr>
            <w:tcW w:w="15521" w:type="dxa"/>
            <w:gridSpan w:val="12"/>
            <w:tcBorders>
              <w:top w:val="nil"/>
              <w:left w:val="nil"/>
              <w:bottom w:val="nil"/>
              <w:right w:val="single" w:sz="4" w:space="0" w:color="808080"/>
            </w:tcBorders>
            <w:shd w:val="clear" w:color="auto" w:fill="FFFFFF"/>
            <w:noWrap/>
            <w:vAlign w:val="center"/>
          </w:tcPr>
          <w:p w:rsidR="00065B80" w:rsidRDefault="009A7EE1">
            <w:pPr>
              <w:jc w:val="center"/>
              <w:rPr>
                <w:rFonts w:ascii="宋体" w:eastAsia="宋体" w:hAnsi="宋体" w:cs="宋体"/>
                <w:color w:val="000000"/>
                <w:sz w:val="18"/>
                <w:szCs w:val="18"/>
              </w:rPr>
            </w:pPr>
            <w:r>
              <w:rPr>
                <w:rFonts w:ascii="黑体" w:eastAsia="黑体" w:hAnsi="宋体" w:cs="黑体" w:hint="eastAsia"/>
                <w:color w:val="000000"/>
                <w:kern w:val="0"/>
                <w:sz w:val="30"/>
                <w:szCs w:val="30"/>
                <w:lang/>
              </w:rPr>
              <w:t>一般公共预算财政拨款“三公”经费支出决算表</w:t>
            </w:r>
          </w:p>
        </w:tc>
      </w:tr>
      <w:tr w:rsidR="00065B80">
        <w:trPr>
          <w:trHeight w:val="290"/>
        </w:trPr>
        <w:tc>
          <w:tcPr>
            <w:tcW w:w="0" w:type="auto"/>
            <w:tcBorders>
              <w:top w:val="nil"/>
              <w:left w:val="nil"/>
              <w:bottom w:val="nil"/>
              <w:right w:val="nil"/>
            </w:tcBorders>
            <w:shd w:val="clear" w:color="auto" w:fill="FFFFFF"/>
            <w:noWrap/>
            <w:vAlign w:val="center"/>
          </w:tcPr>
          <w:p w:rsidR="00065B80" w:rsidRDefault="009A7E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预算代码：</w:t>
            </w:r>
          </w:p>
        </w:tc>
        <w:tc>
          <w:tcPr>
            <w:tcW w:w="0" w:type="auto"/>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nil"/>
              <w:right w:val="single" w:sz="4" w:space="0" w:color="808080"/>
            </w:tcBorders>
            <w:shd w:val="clear" w:color="auto" w:fill="FFFFFF"/>
            <w:noWrap/>
            <w:vAlign w:val="center"/>
          </w:tcPr>
          <w:p w:rsidR="00065B80" w:rsidRDefault="009A7E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公开</w:t>
            </w:r>
            <w:r>
              <w:rPr>
                <w:rFonts w:ascii="宋体" w:eastAsia="宋体" w:hAnsi="宋体" w:cs="宋体" w:hint="eastAsia"/>
                <w:color w:val="000000"/>
                <w:kern w:val="0"/>
                <w:sz w:val="22"/>
                <w:lang/>
              </w:rPr>
              <w:t>07</w:t>
            </w:r>
            <w:r>
              <w:rPr>
                <w:rFonts w:ascii="宋体" w:eastAsia="宋体" w:hAnsi="宋体" w:cs="宋体" w:hint="eastAsia"/>
                <w:color w:val="000000"/>
                <w:kern w:val="0"/>
                <w:sz w:val="22"/>
                <w:lang/>
              </w:rPr>
              <w:t>表</w:t>
            </w:r>
          </w:p>
        </w:tc>
      </w:tr>
      <w:tr w:rsidR="00065B80">
        <w:trPr>
          <w:trHeight w:val="290"/>
        </w:trPr>
        <w:tc>
          <w:tcPr>
            <w:tcW w:w="0" w:type="auto"/>
            <w:tcBorders>
              <w:top w:val="nil"/>
              <w:left w:val="nil"/>
              <w:bottom w:val="single" w:sz="4" w:space="0" w:color="808080"/>
              <w:right w:val="nil"/>
            </w:tcBorders>
            <w:shd w:val="clear" w:color="auto" w:fill="FFFFFF"/>
            <w:noWrap/>
            <w:vAlign w:val="center"/>
          </w:tcPr>
          <w:p w:rsidR="00065B80" w:rsidRDefault="009A7EE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部门：湖南省娄底市中级人民法院</w:t>
            </w:r>
          </w:p>
        </w:tc>
        <w:tc>
          <w:tcPr>
            <w:tcW w:w="0" w:type="auto"/>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065B80" w:rsidRDefault="009A7E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2021</w:t>
            </w:r>
            <w:r>
              <w:rPr>
                <w:rFonts w:ascii="宋体" w:eastAsia="宋体" w:hAnsi="宋体" w:cs="宋体" w:hint="eastAsia"/>
                <w:color w:val="000000"/>
                <w:kern w:val="0"/>
                <w:sz w:val="22"/>
                <w:lang/>
              </w:rPr>
              <w:t>年度</w:t>
            </w:r>
          </w:p>
        </w:tc>
        <w:tc>
          <w:tcPr>
            <w:tcW w:w="0" w:type="auto"/>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vAlign w:val="center"/>
          </w:tcPr>
          <w:p w:rsidR="00065B80" w:rsidRDefault="00065B80">
            <w:pPr>
              <w:jc w:val="left"/>
              <w:rPr>
                <w:rFonts w:ascii="宋体" w:eastAsia="宋体" w:hAnsi="宋体" w:cs="宋体"/>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rsidR="00065B80" w:rsidRDefault="009A7EE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金额单位：万元</w:t>
            </w:r>
          </w:p>
        </w:tc>
      </w:tr>
      <w:tr w:rsidR="00065B80">
        <w:trPr>
          <w:trHeight w:val="299"/>
        </w:trPr>
        <w:tc>
          <w:tcPr>
            <w:tcW w:w="9145" w:type="dxa"/>
            <w:gridSpan w:val="6"/>
            <w:tcBorders>
              <w:top w:val="nil"/>
              <w:left w:val="single" w:sz="4" w:space="0" w:color="000000"/>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预算数</w:t>
            </w:r>
          </w:p>
        </w:tc>
        <w:tc>
          <w:tcPr>
            <w:tcW w:w="6376" w:type="dxa"/>
            <w:gridSpan w:val="6"/>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决算数</w:t>
            </w:r>
          </w:p>
        </w:tc>
      </w:tr>
      <w:tr w:rsidR="00065B80">
        <w:trPr>
          <w:trHeight w:val="299"/>
        </w:trPr>
        <w:tc>
          <w:tcPr>
            <w:tcW w:w="3106" w:type="dxa"/>
            <w:vMerge w:val="restart"/>
            <w:tcBorders>
              <w:top w:val="nil"/>
              <w:left w:val="single" w:sz="4" w:space="0" w:color="000000"/>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合计</w:t>
            </w:r>
          </w:p>
        </w:tc>
        <w:tc>
          <w:tcPr>
            <w:tcW w:w="962" w:type="dxa"/>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因公出国（境）费</w:t>
            </w:r>
          </w:p>
        </w:tc>
        <w:tc>
          <w:tcPr>
            <w:tcW w:w="2886" w:type="dxa"/>
            <w:gridSpan w:val="3"/>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公务用车购置及运行费</w:t>
            </w:r>
          </w:p>
        </w:tc>
        <w:tc>
          <w:tcPr>
            <w:tcW w:w="2191" w:type="dxa"/>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公务接待费</w:t>
            </w:r>
          </w:p>
        </w:tc>
        <w:tc>
          <w:tcPr>
            <w:tcW w:w="962" w:type="dxa"/>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合计</w:t>
            </w:r>
          </w:p>
        </w:tc>
        <w:tc>
          <w:tcPr>
            <w:tcW w:w="962" w:type="dxa"/>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因公出国（境）费</w:t>
            </w:r>
          </w:p>
        </w:tc>
        <w:tc>
          <w:tcPr>
            <w:tcW w:w="2886" w:type="dxa"/>
            <w:gridSpan w:val="3"/>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公务用车购置及运行费</w:t>
            </w:r>
          </w:p>
        </w:tc>
        <w:tc>
          <w:tcPr>
            <w:tcW w:w="1566" w:type="dxa"/>
            <w:vMerge w:val="restart"/>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公务接待费</w:t>
            </w:r>
          </w:p>
        </w:tc>
      </w:tr>
      <w:tr w:rsidR="00065B80">
        <w:trPr>
          <w:trHeight w:val="589"/>
        </w:trPr>
        <w:tc>
          <w:tcPr>
            <w:tcW w:w="3106" w:type="dxa"/>
            <w:vMerge/>
            <w:tcBorders>
              <w:top w:val="nil"/>
              <w:left w:val="single" w:sz="4" w:space="0" w:color="000000"/>
              <w:bottom w:val="single" w:sz="4" w:space="0" w:color="000000"/>
              <w:right w:val="single" w:sz="4" w:space="0" w:color="000000"/>
            </w:tcBorders>
            <w:shd w:val="clear" w:color="auto" w:fill="C0C0C0"/>
            <w:vAlign w:val="center"/>
          </w:tcPr>
          <w:p w:rsidR="00065B80" w:rsidRDefault="00065B80">
            <w:pPr>
              <w:jc w:val="center"/>
              <w:rPr>
                <w:rFonts w:ascii="宋体" w:eastAsia="宋体" w:hAnsi="宋体" w:cs="宋体"/>
                <w:color w:val="000000"/>
                <w:sz w:val="20"/>
                <w:szCs w:val="20"/>
              </w:rPr>
            </w:pPr>
          </w:p>
        </w:tc>
        <w:tc>
          <w:tcPr>
            <w:tcW w:w="962" w:type="dxa"/>
            <w:vMerge/>
            <w:tcBorders>
              <w:top w:val="nil"/>
              <w:left w:val="nil"/>
              <w:bottom w:val="single" w:sz="4" w:space="0" w:color="000000"/>
              <w:right w:val="single" w:sz="4" w:space="0" w:color="000000"/>
            </w:tcBorders>
            <w:shd w:val="clear" w:color="auto" w:fill="C0C0C0"/>
            <w:vAlign w:val="center"/>
          </w:tcPr>
          <w:p w:rsidR="00065B80" w:rsidRDefault="00065B80">
            <w:pPr>
              <w:jc w:val="center"/>
              <w:rPr>
                <w:rFonts w:ascii="宋体" w:eastAsia="宋体" w:hAnsi="宋体" w:cs="宋体"/>
                <w:color w:val="000000"/>
                <w:sz w:val="20"/>
                <w:szCs w:val="20"/>
              </w:rPr>
            </w:pP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小计</w:t>
            </w: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公务用车购置费</w:t>
            </w: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公务用车运行费</w:t>
            </w:r>
          </w:p>
        </w:tc>
        <w:tc>
          <w:tcPr>
            <w:tcW w:w="2191" w:type="dxa"/>
            <w:vMerge/>
            <w:tcBorders>
              <w:top w:val="nil"/>
              <w:left w:val="nil"/>
              <w:bottom w:val="single" w:sz="4" w:space="0" w:color="000000"/>
              <w:right w:val="single" w:sz="4" w:space="0" w:color="000000"/>
            </w:tcBorders>
            <w:shd w:val="clear" w:color="auto" w:fill="C0C0C0"/>
            <w:vAlign w:val="center"/>
          </w:tcPr>
          <w:p w:rsidR="00065B80" w:rsidRDefault="00065B80">
            <w:pPr>
              <w:jc w:val="center"/>
              <w:rPr>
                <w:rFonts w:ascii="宋体" w:eastAsia="宋体" w:hAnsi="宋体" w:cs="宋体"/>
                <w:color w:val="000000"/>
                <w:sz w:val="20"/>
                <w:szCs w:val="20"/>
              </w:rPr>
            </w:pPr>
          </w:p>
        </w:tc>
        <w:tc>
          <w:tcPr>
            <w:tcW w:w="962" w:type="dxa"/>
            <w:vMerge/>
            <w:tcBorders>
              <w:top w:val="nil"/>
              <w:left w:val="nil"/>
              <w:bottom w:val="single" w:sz="4" w:space="0" w:color="000000"/>
              <w:right w:val="single" w:sz="4" w:space="0" w:color="000000"/>
            </w:tcBorders>
            <w:shd w:val="clear" w:color="auto" w:fill="C0C0C0"/>
            <w:vAlign w:val="center"/>
          </w:tcPr>
          <w:p w:rsidR="00065B80" w:rsidRDefault="00065B80">
            <w:pPr>
              <w:jc w:val="center"/>
              <w:rPr>
                <w:rFonts w:ascii="宋体" w:eastAsia="宋体" w:hAnsi="宋体" w:cs="宋体"/>
                <w:color w:val="000000"/>
                <w:sz w:val="20"/>
                <w:szCs w:val="20"/>
              </w:rPr>
            </w:pPr>
          </w:p>
        </w:tc>
        <w:tc>
          <w:tcPr>
            <w:tcW w:w="962" w:type="dxa"/>
            <w:vMerge/>
            <w:tcBorders>
              <w:top w:val="nil"/>
              <w:left w:val="nil"/>
              <w:bottom w:val="single" w:sz="4" w:space="0" w:color="000000"/>
              <w:right w:val="single" w:sz="4" w:space="0" w:color="000000"/>
            </w:tcBorders>
            <w:shd w:val="clear" w:color="auto" w:fill="C0C0C0"/>
            <w:vAlign w:val="center"/>
          </w:tcPr>
          <w:p w:rsidR="00065B80" w:rsidRDefault="00065B80">
            <w:pPr>
              <w:jc w:val="center"/>
              <w:rPr>
                <w:rFonts w:ascii="宋体" w:eastAsia="宋体" w:hAnsi="宋体" w:cs="宋体"/>
                <w:color w:val="000000"/>
                <w:sz w:val="20"/>
                <w:szCs w:val="20"/>
              </w:rPr>
            </w:pP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小计</w:t>
            </w: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公务用车购置费</w:t>
            </w: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公务用车运行费</w:t>
            </w:r>
          </w:p>
        </w:tc>
        <w:tc>
          <w:tcPr>
            <w:tcW w:w="1566" w:type="dxa"/>
            <w:vMerge/>
            <w:tcBorders>
              <w:top w:val="nil"/>
              <w:left w:val="nil"/>
              <w:bottom w:val="single" w:sz="4" w:space="0" w:color="000000"/>
              <w:right w:val="single" w:sz="4" w:space="0" w:color="000000"/>
            </w:tcBorders>
            <w:shd w:val="clear" w:color="auto" w:fill="C0C0C0"/>
            <w:vAlign w:val="center"/>
          </w:tcPr>
          <w:p w:rsidR="00065B80" w:rsidRDefault="00065B80">
            <w:pPr>
              <w:jc w:val="center"/>
              <w:rPr>
                <w:rFonts w:ascii="宋体" w:eastAsia="宋体" w:hAnsi="宋体" w:cs="宋体"/>
                <w:color w:val="000000"/>
                <w:sz w:val="20"/>
                <w:szCs w:val="20"/>
              </w:rPr>
            </w:pPr>
          </w:p>
        </w:tc>
      </w:tr>
      <w:tr w:rsidR="00065B80">
        <w:trPr>
          <w:trHeight w:val="299"/>
        </w:trPr>
        <w:tc>
          <w:tcPr>
            <w:tcW w:w="3106" w:type="dxa"/>
            <w:tcBorders>
              <w:top w:val="nil"/>
              <w:left w:val="single" w:sz="4" w:space="0" w:color="000000"/>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2191"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w:t>
            </w: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w:t>
            </w: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w:t>
            </w: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962"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w:t>
            </w:r>
          </w:p>
        </w:tc>
        <w:tc>
          <w:tcPr>
            <w:tcW w:w="1566" w:type="dxa"/>
            <w:tcBorders>
              <w:top w:val="nil"/>
              <w:left w:val="nil"/>
              <w:bottom w:val="single" w:sz="4" w:space="0" w:color="000000"/>
              <w:right w:val="single" w:sz="4" w:space="0" w:color="000000"/>
            </w:tcBorders>
            <w:shd w:val="clear" w:color="auto" w:fill="C0C0C0"/>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w:t>
            </w:r>
          </w:p>
        </w:tc>
      </w:tr>
      <w:tr w:rsidR="00065B80">
        <w:trPr>
          <w:trHeight w:val="299"/>
        </w:trPr>
        <w:tc>
          <w:tcPr>
            <w:tcW w:w="0" w:type="auto"/>
            <w:tcBorders>
              <w:top w:val="nil"/>
              <w:left w:val="single" w:sz="4" w:space="0" w:color="000000"/>
              <w:bottom w:val="single" w:sz="4" w:space="0" w:color="000000"/>
              <w:right w:val="single" w:sz="4" w:space="0" w:color="000000"/>
            </w:tcBorders>
            <w:shd w:val="clear" w:color="auto" w:fill="00FF00"/>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98.00</w:t>
            </w:r>
          </w:p>
        </w:tc>
        <w:tc>
          <w:tcPr>
            <w:tcW w:w="0" w:type="auto"/>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0" w:type="auto"/>
            <w:tcBorders>
              <w:top w:val="nil"/>
              <w:left w:val="nil"/>
              <w:bottom w:val="single" w:sz="4" w:space="0" w:color="000000"/>
              <w:right w:val="single" w:sz="4" w:space="0" w:color="000000"/>
            </w:tcBorders>
            <w:shd w:val="clear" w:color="auto" w:fill="00FF00"/>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68.00</w:t>
            </w:r>
          </w:p>
        </w:tc>
        <w:tc>
          <w:tcPr>
            <w:tcW w:w="0" w:type="auto"/>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0" w:type="auto"/>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68.00</w:t>
            </w:r>
          </w:p>
        </w:tc>
        <w:tc>
          <w:tcPr>
            <w:tcW w:w="0" w:type="auto"/>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30.00</w:t>
            </w:r>
          </w:p>
        </w:tc>
        <w:tc>
          <w:tcPr>
            <w:tcW w:w="0" w:type="auto"/>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74.08</w:t>
            </w:r>
          </w:p>
        </w:tc>
        <w:tc>
          <w:tcPr>
            <w:tcW w:w="0" w:type="auto"/>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0" w:type="auto"/>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64.49</w:t>
            </w:r>
          </w:p>
        </w:tc>
        <w:tc>
          <w:tcPr>
            <w:tcW w:w="0" w:type="auto"/>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0.00</w:t>
            </w:r>
          </w:p>
        </w:tc>
        <w:tc>
          <w:tcPr>
            <w:tcW w:w="0" w:type="auto"/>
            <w:tcBorders>
              <w:top w:val="nil"/>
              <w:left w:val="nil"/>
              <w:bottom w:val="single" w:sz="4" w:space="0" w:color="000000"/>
              <w:right w:val="single" w:sz="4" w:space="0" w:color="000000"/>
            </w:tcBorders>
            <w:shd w:val="clear" w:color="auto" w:fill="FFFFFF"/>
            <w:noWrap/>
            <w:vAlign w:val="center"/>
          </w:tcPr>
          <w:p w:rsidR="00065B80" w:rsidRDefault="009A7EE1">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64.49</w:t>
            </w:r>
          </w:p>
        </w:tc>
        <w:tc>
          <w:tcPr>
            <w:tcW w:w="0" w:type="auto"/>
            <w:tcBorders>
              <w:top w:val="nil"/>
              <w:left w:val="nil"/>
              <w:bottom w:val="single" w:sz="4" w:space="0" w:color="000000"/>
              <w:right w:val="single" w:sz="4" w:space="0" w:color="000000"/>
            </w:tcBorders>
            <w:shd w:val="clear" w:color="auto" w:fill="FFFFFF"/>
            <w:noWrap/>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9.59</w:t>
            </w:r>
          </w:p>
        </w:tc>
      </w:tr>
      <w:tr w:rsidR="00065B80">
        <w:trPr>
          <w:trHeight w:val="567"/>
        </w:trPr>
        <w:tc>
          <w:tcPr>
            <w:tcW w:w="15521" w:type="dxa"/>
            <w:gridSpan w:val="12"/>
            <w:tcBorders>
              <w:top w:val="nil"/>
              <w:left w:val="nil"/>
              <w:bottom w:val="nil"/>
              <w:right w:val="nil"/>
            </w:tcBorders>
            <w:shd w:val="clear" w:color="auto" w:fill="FFFFFF"/>
            <w:vAlign w:val="center"/>
          </w:tcPr>
          <w:p w:rsidR="00065B80" w:rsidRDefault="009A7EE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065B80" w:rsidRDefault="00065B80" w:rsidP="00F02B7A">
      <w:pPr>
        <w:pStyle w:val="a0"/>
        <w:ind w:firstLine="720"/>
        <w:rPr>
          <w:sz w:val="72"/>
          <w:szCs w:val="72"/>
        </w:rPr>
      </w:pPr>
    </w:p>
    <w:p w:rsidR="00065B80" w:rsidRDefault="00065B80" w:rsidP="00F02B7A">
      <w:pPr>
        <w:pStyle w:val="a0"/>
        <w:ind w:firstLine="720"/>
        <w:rPr>
          <w:sz w:val="72"/>
          <w:szCs w:val="72"/>
        </w:rPr>
      </w:pPr>
    </w:p>
    <w:p w:rsidR="00065B80" w:rsidRDefault="00065B80">
      <w:pPr>
        <w:rPr>
          <w:sz w:val="72"/>
          <w:szCs w:val="72"/>
        </w:rPr>
      </w:pPr>
    </w:p>
    <w:p w:rsidR="00065B80" w:rsidRDefault="00065B80" w:rsidP="00F02B7A">
      <w:pPr>
        <w:pStyle w:val="a0"/>
        <w:ind w:firstLine="720"/>
        <w:rPr>
          <w:sz w:val="72"/>
          <w:szCs w:val="72"/>
        </w:rPr>
      </w:pPr>
    </w:p>
    <w:p w:rsidR="00065B80" w:rsidRDefault="00065B80" w:rsidP="00F02B7A">
      <w:pPr>
        <w:pStyle w:val="a0"/>
        <w:ind w:firstLine="720"/>
        <w:rPr>
          <w:sz w:val="72"/>
          <w:szCs w:val="72"/>
        </w:rPr>
      </w:pPr>
    </w:p>
    <w:tbl>
      <w:tblPr>
        <w:tblW w:w="15000" w:type="dxa"/>
        <w:tblInd w:w="93" w:type="dxa"/>
        <w:tblLook w:val="04A0"/>
      </w:tblPr>
      <w:tblGrid>
        <w:gridCol w:w="222"/>
        <w:gridCol w:w="222"/>
        <w:gridCol w:w="222"/>
        <w:gridCol w:w="3105"/>
        <w:gridCol w:w="1877"/>
        <w:gridCol w:w="1880"/>
        <w:gridCol w:w="1864"/>
        <w:gridCol w:w="1864"/>
        <w:gridCol w:w="1863"/>
        <w:gridCol w:w="1881"/>
      </w:tblGrid>
      <w:tr w:rsidR="00065B80">
        <w:trPr>
          <w:trHeight w:val="676"/>
        </w:trPr>
        <w:tc>
          <w:tcPr>
            <w:tcW w:w="15000" w:type="dxa"/>
            <w:gridSpan w:val="10"/>
            <w:tcBorders>
              <w:top w:val="nil"/>
              <w:left w:val="nil"/>
              <w:bottom w:val="nil"/>
              <w:right w:val="nil"/>
            </w:tcBorders>
            <w:shd w:val="clear" w:color="auto" w:fill="FFFFFF"/>
            <w:vAlign w:val="bottom"/>
          </w:tcPr>
          <w:p w:rsidR="00065B80" w:rsidRDefault="009A7EE1">
            <w:pPr>
              <w:widowControl/>
              <w:jc w:val="center"/>
              <w:textAlignment w:val="bottom"/>
              <w:rPr>
                <w:rFonts w:ascii="黑体" w:eastAsia="黑体" w:hAnsi="宋体" w:cs="黑体"/>
                <w:color w:val="000000"/>
                <w:sz w:val="30"/>
                <w:szCs w:val="30"/>
              </w:rPr>
            </w:pPr>
            <w:r>
              <w:rPr>
                <w:rFonts w:ascii="黑体" w:eastAsia="黑体" w:hAnsi="宋体" w:cs="黑体" w:hint="eastAsia"/>
                <w:color w:val="000000"/>
                <w:kern w:val="0"/>
                <w:sz w:val="30"/>
                <w:szCs w:val="30"/>
                <w:lang/>
              </w:rPr>
              <w:lastRenderedPageBreak/>
              <w:t>政府性基金预算财政拨款收入支出决算表</w:t>
            </w:r>
          </w:p>
        </w:tc>
      </w:tr>
      <w:tr w:rsidR="00065B80">
        <w:trPr>
          <w:trHeight w:val="338"/>
        </w:trPr>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9A7EE1">
            <w:pPr>
              <w:rPr>
                <w:rFonts w:ascii="宋体" w:eastAsia="宋体" w:hAnsi="宋体" w:cs="宋体"/>
                <w:color w:val="000000"/>
                <w:sz w:val="20"/>
                <w:szCs w:val="20"/>
              </w:rPr>
            </w:pPr>
            <w:r>
              <w:rPr>
                <w:rFonts w:ascii="宋体" w:eastAsia="宋体" w:hAnsi="宋体" w:cs="宋体" w:hint="eastAsia"/>
                <w:color w:val="000000"/>
                <w:sz w:val="20"/>
                <w:szCs w:val="20"/>
              </w:rPr>
              <w:t>本表无数据</w:t>
            </w: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1876" w:type="dxa"/>
            <w:tcBorders>
              <w:top w:val="nil"/>
              <w:left w:val="nil"/>
              <w:bottom w:val="nil"/>
              <w:right w:val="nil"/>
            </w:tcBorders>
            <w:shd w:val="clear" w:color="auto" w:fill="FFFFFF"/>
            <w:vAlign w:val="bottom"/>
          </w:tcPr>
          <w:p w:rsidR="00065B80" w:rsidRDefault="009A7E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08</w:t>
            </w:r>
            <w:r>
              <w:rPr>
                <w:rFonts w:ascii="宋体" w:eastAsia="宋体" w:hAnsi="宋体" w:cs="宋体" w:hint="eastAsia"/>
                <w:color w:val="000000"/>
                <w:kern w:val="0"/>
                <w:sz w:val="20"/>
                <w:szCs w:val="20"/>
                <w:lang/>
              </w:rPr>
              <w:t>表</w:t>
            </w:r>
          </w:p>
        </w:tc>
      </w:tr>
      <w:tr w:rsidR="00065B80">
        <w:trPr>
          <w:trHeight w:val="634"/>
        </w:trPr>
        <w:tc>
          <w:tcPr>
            <w:tcW w:w="3802" w:type="dxa"/>
            <w:gridSpan w:val="4"/>
            <w:tcBorders>
              <w:top w:val="nil"/>
              <w:left w:val="nil"/>
              <w:bottom w:val="nil"/>
              <w:right w:val="nil"/>
            </w:tcBorders>
            <w:shd w:val="clear" w:color="auto" w:fill="FFFFFF"/>
            <w:vAlign w:val="bottom"/>
          </w:tcPr>
          <w:p w:rsidR="00065B80" w:rsidRDefault="009A7EE1">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部门：湖南省娄底市中级人民法院</w:t>
            </w:r>
          </w:p>
        </w:tc>
        <w:tc>
          <w:tcPr>
            <w:tcW w:w="5603" w:type="dxa"/>
            <w:gridSpan w:val="3"/>
            <w:tcBorders>
              <w:top w:val="nil"/>
              <w:left w:val="nil"/>
              <w:bottom w:val="nil"/>
              <w:right w:val="nil"/>
            </w:tcBorders>
            <w:shd w:val="clear" w:color="auto" w:fill="FFFFFF"/>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2021</w:t>
            </w:r>
            <w:r>
              <w:rPr>
                <w:rFonts w:ascii="宋体" w:eastAsia="宋体" w:hAnsi="宋体" w:cs="宋体" w:hint="eastAsia"/>
                <w:color w:val="000000"/>
                <w:kern w:val="0"/>
                <w:sz w:val="20"/>
                <w:szCs w:val="20"/>
                <w:lang/>
              </w:rPr>
              <w:t>年度</w:t>
            </w: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3735" w:type="dxa"/>
            <w:gridSpan w:val="2"/>
            <w:tcBorders>
              <w:top w:val="nil"/>
              <w:left w:val="nil"/>
              <w:bottom w:val="nil"/>
              <w:right w:val="nil"/>
            </w:tcBorders>
            <w:shd w:val="clear" w:color="auto" w:fill="FFFFFF"/>
            <w:vAlign w:val="bottom"/>
          </w:tcPr>
          <w:p w:rsidR="00065B80" w:rsidRDefault="009A7E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065B80">
        <w:trPr>
          <w:trHeight w:val="552"/>
        </w:trPr>
        <w:tc>
          <w:tcPr>
            <w:tcW w:w="3802" w:type="dxa"/>
            <w:gridSpan w:val="4"/>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项目</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年初结转和结余</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本年收入</w:t>
            </w:r>
          </w:p>
        </w:tc>
        <w:tc>
          <w:tcPr>
            <w:tcW w:w="5579" w:type="dxa"/>
            <w:gridSpan w:val="3"/>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本年支出</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年末结转和结余</w:t>
            </w:r>
          </w:p>
        </w:tc>
      </w:tr>
      <w:tr w:rsidR="00065B80">
        <w:trPr>
          <w:trHeight w:val="552"/>
        </w:trPr>
        <w:tc>
          <w:tcPr>
            <w:tcW w:w="759" w:type="dxa"/>
            <w:gridSpan w:val="3"/>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jc w:val="center"/>
              <w:rPr>
                <w:rFonts w:ascii="宋体" w:eastAsia="宋体" w:hAnsi="宋体" w:cs="宋体"/>
                <w:color w:val="000000"/>
                <w:sz w:val="20"/>
                <w:szCs w:val="20"/>
              </w:rPr>
            </w:pPr>
          </w:p>
        </w:tc>
        <w:tc>
          <w:tcPr>
            <w:tcW w:w="3043"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jc w:val="center"/>
              <w:rPr>
                <w:rFonts w:ascii="宋体" w:eastAsia="宋体" w:hAnsi="宋体" w:cs="宋体"/>
                <w:color w:val="000000"/>
                <w:sz w:val="20"/>
                <w:szCs w:val="20"/>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jc w:val="center"/>
              <w:rPr>
                <w:rFonts w:ascii="宋体" w:eastAsia="宋体" w:hAnsi="宋体" w:cs="宋体"/>
                <w:color w:val="000000"/>
                <w:sz w:val="20"/>
                <w:szCs w:val="20"/>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jc w:val="center"/>
              <w:rPr>
                <w:rFonts w:ascii="宋体" w:eastAsia="宋体" w:hAnsi="宋体" w:cs="宋体"/>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jc w:val="center"/>
              <w:rPr>
                <w:rFonts w:ascii="宋体" w:eastAsia="宋体" w:hAnsi="宋体" w:cs="宋体"/>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jc w:val="center"/>
              <w:rPr>
                <w:rFonts w:ascii="宋体" w:eastAsia="宋体" w:hAnsi="宋体" w:cs="宋体"/>
                <w:color w:val="000000"/>
                <w:sz w:val="20"/>
                <w:szCs w:val="20"/>
              </w:rPr>
            </w:pPr>
          </w:p>
        </w:tc>
        <w:tc>
          <w:tcPr>
            <w:tcW w:w="1859"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jc w:val="center"/>
              <w:rPr>
                <w:rFonts w:ascii="宋体" w:eastAsia="宋体" w:hAnsi="宋体" w:cs="宋体"/>
                <w:color w:val="000000"/>
                <w:sz w:val="20"/>
                <w:szCs w:val="20"/>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jc w:val="center"/>
              <w:rPr>
                <w:rFonts w:ascii="宋体" w:eastAsia="宋体" w:hAnsi="宋体" w:cs="宋体"/>
                <w:color w:val="000000"/>
                <w:sz w:val="20"/>
                <w:szCs w:val="20"/>
              </w:rPr>
            </w:pPr>
          </w:p>
        </w:tc>
      </w:tr>
      <w:tr w:rsidR="00065B80">
        <w:trPr>
          <w:trHeight w:val="552"/>
        </w:trPr>
        <w:tc>
          <w:tcPr>
            <w:tcW w:w="3802" w:type="dxa"/>
            <w:gridSpan w:val="4"/>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栏次</w:t>
            </w:r>
          </w:p>
        </w:tc>
        <w:tc>
          <w:tcPr>
            <w:tcW w:w="1872"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860"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1860"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1859"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876"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r>
      <w:tr w:rsidR="00065B80">
        <w:trPr>
          <w:trHeight w:val="552"/>
        </w:trPr>
        <w:tc>
          <w:tcPr>
            <w:tcW w:w="3802" w:type="dxa"/>
            <w:gridSpan w:val="4"/>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9A7EE1">
            <w:pPr>
              <w:widowControl/>
              <w:jc w:val="center"/>
              <w:textAlignment w:val="bottom"/>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合计</w:t>
            </w:r>
          </w:p>
        </w:tc>
        <w:tc>
          <w:tcPr>
            <w:tcW w:w="1872"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widowControl/>
              <w:jc w:val="center"/>
              <w:textAlignment w:val="bottom"/>
              <w:rPr>
                <w:rFonts w:ascii="宋体" w:eastAsia="宋体" w:hAnsi="宋体" w:cs="宋体"/>
                <w:color w:val="000000"/>
                <w:kern w:val="0"/>
                <w:sz w:val="20"/>
                <w:szCs w:val="20"/>
                <w:lang/>
              </w:rPr>
            </w:pPr>
          </w:p>
        </w:tc>
        <w:tc>
          <w:tcPr>
            <w:tcW w:w="1871"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widowControl/>
              <w:jc w:val="center"/>
              <w:textAlignment w:val="bottom"/>
              <w:rPr>
                <w:rFonts w:ascii="宋体" w:eastAsia="宋体" w:hAnsi="宋体" w:cs="宋体"/>
                <w:color w:val="000000"/>
                <w:kern w:val="0"/>
                <w:sz w:val="20"/>
                <w:szCs w:val="20"/>
                <w:lang/>
              </w:rPr>
            </w:pPr>
          </w:p>
        </w:tc>
        <w:tc>
          <w:tcPr>
            <w:tcW w:w="1860"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widowControl/>
              <w:jc w:val="center"/>
              <w:textAlignment w:val="bottom"/>
              <w:rPr>
                <w:rFonts w:ascii="宋体" w:eastAsia="宋体" w:hAnsi="宋体" w:cs="宋体"/>
                <w:color w:val="000000"/>
                <w:kern w:val="0"/>
                <w:sz w:val="20"/>
                <w:szCs w:val="20"/>
                <w:lang/>
              </w:rPr>
            </w:pPr>
          </w:p>
        </w:tc>
        <w:tc>
          <w:tcPr>
            <w:tcW w:w="1860"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widowControl/>
              <w:jc w:val="center"/>
              <w:textAlignment w:val="bottom"/>
              <w:rPr>
                <w:rFonts w:ascii="宋体" w:eastAsia="宋体" w:hAnsi="宋体" w:cs="宋体"/>
                <w:color w:val="000000"/>
                <w:kern w:val="0"/>
                <w:sz w:val="20"/>
                <w:szCs w:val="20"/>
                <w:lang/>
              </w:rPr>
            </w:pPr>
          </w:p>
        </w:tc>
        <w:tc>
          <w:tcPr>
            <w:tcW w:w="1859"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widowControl/>
              <w:jc w:val="center"/>
              <w:textAlignment w:val="bottom"/>
              <w:rPr>
                <w:rFonts w:ascii="宋体" w:eastAsia="宋体" w:hAnsi="宋体" w:cs="宋体"/>
                <w:color w:val="000000"/>
                <w:kern w:val="0"/>
                <w:sz w:val="20"/>
                <w:szCs w:val="20"/>
                <w:lang/>
              </w:rPr>
            </w:pPr>
          </w:p>
        </w:tc>
        <w:tc>
          <w:tcPr>
            <w:tcW w:w="1876" w:type="dxa"/>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widowControl/>
              <w:jc w:val="center"/>
              <w:textAlignment w:val="bottom"/>
              <w:rPr>
                <w:rFonts w:ascii="宋体" w:eastAsia="宋体" w:hAnsi="宋体" w:cs="宋体"/>
                <w:color w:val="000000"/>
                <w:kern w:val="0"/>
                <w:sz w:val="20"/>
                <w:szCs w:val="20"/>
                <w:lang/>
              </w:rPr>
            </w:pPr>
          </w:p>
        </w:tc>
      </w:tr>
      <w:tr w:rsidR="00065B80">
        <w:trPr>
          <w:trHeight w:val="563"/>
        </w:trPr>
        <w:tc>
          <w:tcPr>
            <w:tcW w:w="3802" w:type="dxa"/>
            <w:gridSpan w:val="4"/>
            <w:tcBorders>
              <w:top w:val="single" w:sz="4" w:space="0" w:color="000000"/>
              <w:left w:val="single" w:sz="4" w:space="0" w:color="000000"/>
              <w:bottom w:val="single" w:sz="4" w:space="0" w:color="000000"/>
              <w:right w:val="single" w:sz="4" w:space="0" w:color="000000"/>
            </w:tcBorders>
            <w:shd w:val="clear" w:color="auto" w:fill="C0C0C0"/>
            <w:vAlign w:val="bottom"/>
          </w:tcPr>
          <w:p w:rsidR="00065B80" w:rsidRDefault="00065B80">
            <w:pPr>
              <w:widowControl/>
              <w:jc w:val="center"/>
              <w:textAlignment w:val="bottom"/>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065B80" w:rsidRDefault="00065B8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065B80" w:rsidRDefault="00065B8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065B80" w:rsidRDefault="00065B8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065B80" w:rsidRDefault="00065B8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065B80" w:rsidRDefault="00065B8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065B80" w:rsidRDefault="00065B80">
            <w:pPr>
              <w:jc w:val="center"/>
              <w:rPr>
                <w:rFonts w:ascii="宋体" w:eastAsia="宋体" w:hAnsi="宋体" w:cs="宋体"/>
                <w:color w:val="000000"/>
                <w:sz w:val="20"/>
                <w:szCs w:val="20"/>
              </w:rPr>
            </w:pPr>
          </w:p>
        </w:tc>
      </w:tr>
    </w:tbl>
    <w:p w:rsidR="00065B80" w:rsidRDefault="00065B80" w:rsidP="00F02B7A">
      <w:pPr>
        <w:pStyle w:val="a0"/>
        <w:ind w:firstLine="720"/>
        <w:rPr>
          <w:sz w:val="72"/>
          <w:szCs w:val="72"/>
        </w:rPr>
      </w:pPr>
    </w:p>
    <w:p w:rsidR="00065B80" w:rsidRDefault="00065B80" w:rsidP="00F02B7A">
      <w:pPr>
        <w:pStyle w:val="a0"/>
        <w:ind w:firstLine="720"/>
        <w:rPr>
          <w:sz w:val="72"/>
          <w:szCs w:val="72"/>
        </w:rPr>
      </w:pPr>
    </w:p>
    <w:p w:rsidR="00065B80" w:rsidRDefault="00065B80" w:rsidP="00F02B7A">
      <w:pPr>
        <w:pStyle w:val="a0"/>
        <w:ind w:firstLine="720"/>
        <w:rPr>
          <w:sz w:val="72"/>
          <w:szCs w:val="72"/>
        </w:rPr>
      </w:pPr>
    </w:p>
    <w:p w:rsidR="00065B80" w:rsidRDefault="00065B80" w:rsidP="00F02B7A">
      <w:pPr>
        <w:pStyle w:val="a0"/>
        <w:ind w:firstLine="720"/>
        <w:rPr>
          <w:sz w:val="72"/>
          <w:szCs w:val="72"/>
        </w:rPr>
      </w:pPr>
    </w:p>
    <w:p w:rsidR="00065B80" w:rsidRDefault="00065B80" w:rsidP="00F02B7A">
      <w:pPr>
        <w:pStyle w:val="a0"/>
        <w:ind w:firstLine="720"/>
        <w:rPr>
          <w:sz w:val="72"/>
          <w:szCs w:val="72"/>
        </w:rPr>
      </w:pPr>
    </w:p>
    <w:p w:rsidR="00065B80" w:rsidRDefault="00065B80" w:rsidP="00F02B7A">
      <w:pPr>
        <w:pStyle w:val="a0"/>
        <w:ind w:firstLine="720"/>
        <w:rPr>
          <w:sz w:val="72"/>
          <w:szCs w:val="72"/>
        </w:rPr>
      </w:pPr>
    </w:p>
    <w:tbl>
      <w:tblPr>
        <w:tblW w:w="15040" w:type="dxa"/>
        <w:tblInd w:w="93" w:type="dxa"/>
        <w:tblLook w:val="04A0"/>
      </w:tblPr>
      <w:tblGrid>
        <w:gridCol w:w="4783"/>
        <w:gridCol w:w="330"/>
        <w:gridCol w:w="330"/>
        <w:gridCol w:w="2541"/>
        <w:gridCol w:w="2855"/>
        <w:gridCol w:w="1924"/>
        <w:gridCol w:w="2278"/>
      </w:tblGrid>
      <w:tr w:rsidR="00065B80">
        <w:trPr>
          <w:trHeight w:val="781"/>
        </w:trPr>
        <w:tc>
          <w:tcPr>
            <w:tcW w:w="15040" w:type="dxa"/>
            <w:gridSpan w:val="7"/>
            <w:tcBorders>
              <w:top w:val="nil"/>
              <w:left w:val="nil"/>
              <w:bottom w:val="nil"/>
              <w:right w:val="nil"/>
            </w:tcBorders>
            <w:shd w:val="clear" w:color="auto" w:fill="FFFFFF"/>
            <w:noWrap/>
            <w:vAlign w:val="bottom"/>
          </w:tcPr>
          <w:p w:rsidR="00065B80" w:rsidRDefault="009A7EE1">
            <w:pPr>
              <w:widowControl/>
              <w:jc w:val="center"/>
              <w:textAlignment w:val="bottom"/>
              <w:rPr>
                <w:rFonts w:ascii="黑体" w:eastAsia="黑体" w:hAnsi="宋体" w:cs="黑体"/>
                <w:color w:val="000000"/>
                <w:sz w:val="30"/>
                <w:szCs w:val="30"/>
              </w:rPr>
            </w:pPr>
            <w:r>
              <w:rPr>
                <w:rFonts w:ascii="黑体" w:eastAsia="黑体" w:hAnsi="宋体" w:cs="黑体" w:hint="eastAsia"/>
                <w:color w:val="000000"/>
                <w:kern w:val="0"/>
                <w:sz w:val="30"/>
                <w:szCs w:val="30"/>
                <w:lang/>
              </w:rPr>
              <w:t>国有资本经营预算财政拨款支出决算表</w:t>
            </w:r>
          </w:p>
        </w:tc>
      </w:tr>
      <w:tr w:rsidR="00065B80">
        <w:trPr>
          <w:trHeight w:val="505"/>
        </w:trPr>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9A7EE1">
            <w:pPr>
              <w:rPr>
                <w:rFonts w:ascii="宋体" w:eastAsia="宋体" w:hAnsi="宋体" w:cs="宋体"/>
                <w:color w:val="000000"/>
                <w:sz w:val="20"/>
                <w:szCs w:val="20"/>
              </w:rPr>
            </w:pPr>
            <w:r>
              <w:rPr>
                <w:rFonts w:ascii="宋体" w:eastAsia="宋体" w:hAnsi="宋体" w:cs="宋体" w:hint="eastAsia"/>
                <w:color w:val="000000"/>
                <w:sz w:val="20"/>
                <w:szCs w:val="20"/>
              </w:rPr>
              <w:t>本表无数据</w:t>
            </w: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2447" w:type="dxa"/>
            <w:tcBorders>
              <w:top w:val="nil"/>
              <w:left w:val="nil"/>
              <w:bottom w:val="nil"/>
              <w:right w:val="nil"/>
            </w:tcBorders>
            <w:shd w:val="clear" w:color="auto" w:fill="FFFFFF"/>
            <w:vAlign w:val="bottom"/>
          </w:tcPr>
          <w:p w:rsidR="00065B80" w:rsidRDefault="009A7E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09</w:t>
            </w:r>
            <w:r>
              <w:rPr>
                <w:rFonts w:ascii="宋体" w:eastAsia="宋体" w:hAnsi="宋体" w:cs="宋体" w:hint="eastAsia"/>
                <w:color w:val="000000"/>
                <w:kern w:val="0"/>
                <w:sz w:val="20"/>
                <w:szCs w:val="20"/>
                <w:lang/>
              </w:rPr>
              <w:t>表</w:t>
            </w:r>
          </w:p>
        </w:tc>
      </w:tr>
      <w:tr w:rsidR="00065B80">
        <w:trPr>
          <w:trHeight w:val="528"/>
        </w:trPr>
        <w:tc>
          <w:tcPr>
            <w:tcW w:w="0" w:type="auto"/>
            <w:tcBorders>
              <w:top w:val="nil"/>
              <w:left w:val="nil"/>
              <w:bottom w:val="nil"/>
              <w:right w:val="nil"/>
            </w:tcBorders>
            <w:shd w:val="clear" w:color="auto" w:fill="FFFFFF"/>
            <w:noWrap/>
            <w:vAlign w:val="bottom"/>
          </w:tcPr>
          <w:p w:rsidR="00065B80" w:rsidRDefault="009A7EE1">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部门：湖南省娄底市中级人民法院</w:t>
            </w: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bottom"/>
          </w:tcPr>
          <w:p w:rsidR="00065B80" w:rsidRDefault="009A7EE1">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2021</w:t>
            </w:r>
            <w:r>
              <w:rPr>
                <w:rFonts w:ascii="宋体" w:eastAsia="宋体" w:hAnsi="宋体" w:cs="宋体" w:hint="eastAsia"/>
                <w:color w:val="000000"/>
                <w:kern w:val="0"/>
                <w:sz w:val="20"/>
                <w:szCs w:val="20"/>
                <w:lang/>
              </w:rPr>
              <w:t>年度</w:t>
            </w:r>
          </w:p>
        </w:tc>
        <w:tc>
          <w:tcPr>
            <w:tcW w:w="0" w:type="auto"/>
            <w:tcBorders>
              <w:top w:val="nil"/>
              <w:left w:val="nil"/>
              <w:bottom w:val="nil"/>
              <w:right w:val="nil"/>
            </w:tcBorders>
            <w:shd w:val="clear" w:color="auto" w:fill="FFFFFF"/>
            <w:noWrap/>
            <w:vAlign w:val="bottom"/>
          </w:tcPr>
          <w:p w:rsidR="00065B80" w:rsidRDefault="00065B80">
            <w:pPr>
              <w:rPr>
                <w:rFonts w:ascii="宋体" w:eastAsia="宋体" w:hAnsi="宋体" w:cs="宋体"/>
                <w:color w:val="000000"/>
                <w:sz w:val="20"/>
                <w:szCs w:val="20"/>
              </w:rPr>
            </w:pPr>
          </w:p>
        </w:tc>
        <w:tc>
          <w:tcPr>
            <w:tcW w:w="2447" w:type="dxa"/>
            <w:tcBorders>
              <w:top w:val="nil"/>
              <w:left w:val="nil"/>
              <w:bottom w:val="nil"/>
              <w:right w:val="nil"/>
            </w:tcBorders>
            <w:shd w:val="clear" w:color="auto" w:fill="FFFFFF"/>
            <w:vAlign w:val="bottom"/>
          </w:tcPr>
          <w:p w:rsidR="00065B80" w:rsidRDefault="009A7EE1">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065B80">
        <w:trPr>
          <w:trHeight w:val="348"/>
        </w:trPr>
        <w:tc>
          <w:tcPr>
            <w:tcW w:w="544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功能分类科目编码</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科目名称</w:t>
            </w: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合计</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基本支出</w:t>
            </w:r>
          </w:p>
        </w:tc>
        <w:tc>
          <w:tcPr>
            <w:tcW w:w="24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9A7EE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项目支出</w:t>
            </w:r>
          </w:p>
        </w:tc>
      </w:tr>
      <w:tr w:rsidR="00065B80">
        <w:trPr>
          <w:trHeight w:val="348"/>
        </w:trPr>
        <w:tc>
          <w:tcPr>
            <w:tcW w:w="5447"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065B80">
            <w:pPr>
              <w:jc w:val="center"/>
              <w:rPr>
                <w:rFonts w:ascii="宋体" w:eastAsia="宋体" w:hAnsi="宋体" w:cs="宋体"/>
                <w:color w:val="000000"/>
                <w:sz w:val="20"/>
                <w:szCs w:val="20"/>
              </w:rPr>
            </w:pPr>
          </w:p>
        </w:tc>
        <w:tc>
          <w:tcPr>
            <w:tcW w:w="22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065B80">
            <w:pPr>
              <w:jc w:val="center"/>
              <w:rPr>
                <w:rFonts w:ascii="宋体" w:eastAsia="宋体" w:hAnsi="宋体" w:cs="宋体"/>
                <w:color w:val="000000"/>
                <w:sz w:val="20"/>
                <w:szCs w:val="20"/>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065B80">
            <w:pPr>
              <w:jc w:val="center"/>
              <w:rPr>
                <w:rFonts w:ascii="宋体" w:eastAsia="宋体" w:hAnsi="宋体" w:cs="宋体"/>
                <w:color w:val="000000"/>
                <w:sz w:val="20"/>
                <w:szCs w:val="20"/>
              </w:rPr>
            </w:pPr>
          </w:p>
        </w:tc>
        <w:tc>
          <w:tcPr>
            <w:tcW w:w="21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065B80">
            <w:pPr>
              <w:jc w:val="center"/>
              <w:rPr>
                <w:rFonts w:ascii="宋体" w:eastAsia="宋体" w:hAnsi="宋体" w:cs="宋体"/>
                <w:color w:val="000000"/>
                <w:sz w:val="20"/>
                <w:szCs w:val="20"/>
              </w:rPr>
            </w:pPr>
          </w:p>
        </w:tc>
        <w:tc>
          <w:tcPr>
            <w:tcW w:w="24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065B80">
            <w:pPr>
              <w:jc w:val="center"/>
              <w:rPr>
                <w:rFonts w:ascii="宋体" w:eastAsia="宋体" w:hAnsi="宋体" w:cs="宋体"/>
                <w:color w:val="000000"/>
                <w:sz w:val="20"/>
                <w:szCs w:val="20"/>
              </w:rPr>
            </w:pPr>
          </w:p>
        </w:tc>
      </w:tr>
      <w:tr w:rsidR="00065B80">
        <w:trPr>
          <w:trHeight w:val="348"/>
        </w:trPr>
        <w:tc>
          <w:tcPr>
            <w:tcW w:w="5447"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065B80">
            <w:pPr>
              <w:jc w:val="center"/>
              <w:rPr>
                <w:rFonts w:ascii="宋体" w:eastAsia="宋体" w:hAnsi="宋体" w:cs="宋体"/>
                <w:color w:val="000000"/>
                <w:sz w:val="20"/>
                <w:szCs w:val="20"/>
              </w:rPr>
            </w:pPr>
          </w:p>
        </w:tc>
        <w:tc>
          <w:tcPr>
            <w:tcW w:w="22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065B80">
            <w:pPr>
              <w:jc w:val="center"/>
              <w:rPr>
                <w:rFonts w:ascii="宋体" w:eastAsia="宋体" w:hAnsi="宋体" w:cs="宋体"/>
                <w:color w:val="000000"/>
                <w:sz w:val="20"/>
                <w:szCs w:val="20"/>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065B80">
            <w:pPr>
              <w:jc w:val="center"/>
              <w:rPr>
                <w:rFonts w:ascii="宋体" w:eastAsia="宋体" w:hAnsi="宋体" w:cs="宋体"/>
                <w:color w:val="000000"/>
                <w:sz w:val="20"/>
                <w:szCs w:val="20"/>
              </w:rPr>
            </w:pPr>
          </w:p>
        </w:tc>
        <w:tc>
          <w:tcPr>
            <w:tcW w:w="21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065B80">
            <w:pPr>
              <w:jc w:val="center"/>
              <w:rPr>
                <w:rFonts w:ascii="宋体" w:eastAsia="宋体" w:hAnsi="宋体" w:cs="宋体"/>
                <w:color w:val="000000"/>
                <w:sz w:val="20"/>
                <w:szCs w:val="20"/>
              </w:rPr>
            </w:pPr>
          </w:p>
        </w:tc>
        <w:tc>
          <w:tcPr>
            <w:tcW w:w="24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65B80" w:rsidRDefault="00065B80">
            <w:pPr>
              <w:jc w:val="center"/>
              <w:rPr>
                <w:rFonts w:ascii="宋体" w:eastAsia="宋体" w:hAnsi="宋体" w:cs="宋体"/>
                <w:color w:val="000000"/>
                <w:sz w:val="20"/>
                <w:szCs w:val="20"/>
              </w:rPr>
            </w:pPr>
          </w:p>
        </w:tc>
      </w:tr>
      <w:tr w:rsidR="00065B80">
        <w:trPr>
          <w:trHeight w:val="619"/>
        </w:trPr>
        <w:tc>
          <w:tcPr>
            <w:tcW w:w="7648"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栏次</w:t>
            </w:r>
          </w:p>
        </w:tc>
        <w:tc>
          <w:tcPr>
            <w:tcW w:w="27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217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244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65B80" w:rsidRDefault="009A7EE1">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r>
      <w:tr w:rsidR="00065B80">
        <w:trPr>
          <w:trHeight w:val="619"/>
        </w:trPr>
        <w:tc>
          <w:tcPr>
            <w:tcW w:w="7648"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65B80" w:rsidRDefault="009A7EE1">
            <w:pPr>
              <w:widowControl/>
              <w:jc w:val="center"/>
              <w:textAlignment w:val="bottom"/>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065B80" w:rsidRDefault="00065B80">
            <w:pPr>
              <w:rPr>
                <w:rFonts w:ascii="宋体" w:eastAsia="宋体" w:hAnsi="宋体" w:cs="宋体"/>
                <w:color w:val="000000"/>
                <w:sz w:val="20"/>
                <w:szCs w:val="20"/>
              </w:rPr>
            </w:pPr>
          </w:p>
        </w:tc>
      </w:tr>
      <w:tr w:rsidR="00065B80">
        <w:trPr>
          <w:trHeight w:val="619"/>
        </w:trPr>
        <w:tc>
          <w:tcPr>
            <w:tcW w:w="7648"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65B80" w:rsidRDefault="00065B80">
            <w:pPr>
              <w:widowControl/>
              <w:jc w:val="center"/>
              <w:textAlignment w:val="bottom"/>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065B80" w:rsidRDefault="00065B80">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bottom"/>
          </w:tcPr>
          <w:p w:rsidR="00065B80" w:rsidRDefault="00065B80">
            <w:pPr>
              <w:rPr>
                <w:rFonts w:ascii="宋体" w:eastAsia="宋体" w:hAnsi="宋体" w:cs="宋体"/>
                <w:color w:val="000000"/>
                <w:sz w:val="20"/>
                <w:szCs w:val="20"/>
              </w:rPr>
            </w:pPr>
          </w:p>
        </w:tc>
      </w:tr>
      <w:tr w:rsidR="00065B80">
        <w:trPr>
          <w:trHeight w:val="619"/>
        </w:trPr>
        <w:tc>
          <w:tcPr>
            <w:tcW w:w="15040" w:type="dxa"/>
            <w:gridSpan w:val="7"/>
            <w:tcBorders>
              <w:top w:val="nil"/>
              <w:left w:val="nil"/>
              <w:bottom w:val="nil"/>
              <w:right w:val="nil"/>
            </w:tcBorders>
            <w:shd w:val="clear" w:color="auto" w:fill="FFFFFF"/>
            <w:vAlign w:val="bottom"/>
          </w:tcPr>
          <w:p w:rsidR="00065B80" w:rsidRDefault="009A7EE1">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注：本表反映部门本年度国有资本经营预算财政拨款支出情况。</w:t>
            </w:r>
          </w:p>
        </w:tc>
      </w:tr>
    </w:tbl>
    <w:p w:rsidR="00065B80" w:rsidRDefault="00065B80" w:rsidP="00F02B7A">
      <w:pPr>
        <w:pStyle w:val="a0"/>
        <w:ind w:firstLine="720"/>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9A7EE1">
      <w:pPr>
        <w:pStyle w:val="Default"/>
        <w:jc w:val="center"/>
        <w:rPr>
          <w:sz w:val="72"/>
          <w:szCs w:val="72"/>
        </w:rPr>
      </w:pPr>
      <w:r>
        <w:rPr>
          <w:rFonts w:hint="eastAsia"/>
          <w:sz w:val="72"/>
          <w:szCs w:val="72"/>
        </w:rPr>
        <w:t>第三部分</w:t>
      </w:r>
    </w:p>
    <w:p w:rsidR="00065B80" w:rsidRDefault="00065B80">
      <w:pPr>
        <w:pStyle w:val="Default"/>
        <w:jc w:val="center"/>
        <w:rPr>
          <w:sz w:val="70"/>
          <w:szCs w:val="70"/>
        </w:rPr>
      </w:pPr>
    </w:p>
    <w:p w:rsidR="00065B80" w:rsidRDefault="009A7EE1">
      <w:pPr>
        <w:pStyle w:val="Default"/>
        <w:jc w:val="center"/>
        <w:rPr>
          <w:sz w:val="70"/>
          <w:szCs w:val="70"/>
        </w:rPr>
      </w:pPr>
      <w:r>
        <w:rPr>
          <w:sz w:val="70"/>
          <w:szCs w:val="70"/>
        </w:rPr>
        <w:t>20</w:t>
      </w:r>
      <w:r>
        <w:rPr>
          <w:rFonts w:hint="eastAsia"/>
          <w:sz w:val="70"/>
          <w:szCs w:val="70"/>
        </w:rPr>
        <w:t>2</w:t>
      </w:r>
      <w:r>
        <w:rPr>
          <w:rFonts w:hint="eastAsia"/>
          <w:sz w:val="70"/>
          <w:szCs w:val="70"/>
        </w:rPr>
        <w:t>1</w:t>
      </w:r>
      <w:r>
        <w:rPr>
          <w:rFonts w:hint="eastAsia"/>
          <w:sz w:val="70"/>
          <w:szCs w:val="70"/>
        </w:rPr>
        <w:t>年度部门决算情况说明</w:t>
      </w:r>
    </w:p>
    <w:p w:rsidR="00065B80" w:rsidRDefault="009A7EE1">
      <w:pPr>
        <w:widowControl/>
        <w:jc w:val="left"/>
        <w:rPr>
          <w:rFonts w:ascii="黑体" w:eastAsia="黑体" w:cs="黑体"/>
          <w:color w:val="000000"/>
          <w:kern w:val="0"/>
          <w:sz w:val="70"/>
          <w:szCs w:val="70"/>
        </w:rPr>
      </w:pPr>
      <w:r>
        <w:rPr>
          <w:sz w:val="70"/>
          <w:szCs w:val="70"/>
        </w:rPr>
        <w:br w:type="page"/>
      </w:r>
    </w:p>
    <w:p w:rsidR="00065B80" w:rsidRDefault="00065B80">
      <w:pPr>
        <w:pStyle w:val="Default"/>
        <w:rPr>
          <w:rFonts w:asciiTheme="minorEastAsia" w:eastAsiaTheme="minorEastAsia" w:hAnsiTheme="minorEastAsia"/>
          <w:sz w:val="32"/>
          <w:szCs w:val="32"/>
        </w:rPr>
      </w:pPr>
    </w:p>
    <w:p w:rsidR="00065B80" w:rsidRDefault="009A7EE1" w:rsidP="00F02B7A">
      <w:pPr>
        <w:pStyle w:val="Default"/>
        <w:ind w:firstLineChars="196" w:firstLine="630"/>
        <w:rPr>
          <w:rFonts w:hAnsi="黑体"/>
          <w:b/>
          <w:sz w:val="32"/>
          <w:szCs w:val="32"/>
        </w:rPr>
      </w:pPr>
      <w:r>
        <w:rPr>
          <w:rFonts w:hAnsi="黑体" w:hint="eastAsia"/>
          <w:b/>
          <w:sz w:val="32"/>
          <w:szCs w:val="32"/>
        </w:rPr>
        <w:t>一、收入支出决算总体情况说明</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收入总计</w:t>
      </w:r>
      <w:r>
        <w:rPr>
          <w:rFonts w:asciiTheme="minorEastAsia" w:eastAsiaTheme="minorEastAsia" w:hAnsiTheme="minorEastAsia" w:hint="eastAsia"/>
          <w:sz w:val="32"/>
          <w:szCs w:val="32"/>
        </w:rPr>
        <w:t>7577.53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支出总计</w:t>
      </w:r>
      <w:r>
        <w:rPr>
          <w:rFonts w:asciiTheme="minorEastAsia" w:eastAsiaTheme="minorEastAsia" w:hAnsiTheme="minorEastAsia" w:hint="eastAsia"/>
          <w:sz w:val="32"/>
          <w:szCs w:val="32"/>
        </w:rPr>
        <w:t>6037.55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。与上年相比，</w:t>
      </w:r>
      <w:r>
        <w:rPr>
          <w:rFonts w:asciiTheme="minorEastAsia" w:eastAsiaTheme="minorEastAsia" w:hAnsiTheme="minorEastAsia" w:hint="eastAsia"/>
          <w:sz w:val="32"/>
          <w:szCs w:val="32"/>
        </w:rPr>
        <w:t>收入</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302.67</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4.16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省级财政拨款和非省级财政拨款的市级财政拨款收入都有所增加；支出较上年减少</w:t>
      </w:r>
      <w:r>
        <w:rPr>
          <w:rFonts w:asciiTheme="minorEastAsia" w:eastAsiaTheme="minorEastAsia" w:hAnsiTheme="minorEastAsia" w:hint="eastAsia"/>
          <w:sz w:val="32"/>
          <w:szCs w:val="32"/>
        </w:rPr>
        <w:t>312.03</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4.91%</w:t>
      </w:r>
      <w:r>
        <w:rPr>
          <w:rFonts w:asciiTheme="minorEastAsia" w:eastAsiaTheme="minorEastAsia" w:hAnsiTheme="minorEastAsia" w:hint="eastAsia"/>
          <w:sz w:val="32"/>
          <w:szCs w:val="32"/>
        </w:rPr>
        <w:t>，主要是基本支出较上年减少</w:t>
      </w:r>
      <w:r>
        <w:rPr>
          <w:rFonts w:asciiTheme="minorEastAsia" w:eastAsiaTheme="minorEastAsia" w:hAnsiTheme="minorEastAsia" w:hint="eastAsia"/>
          <w:sz w:val="32"/>
          <w:szCs w:val="32"/>
        </w:rPr>
        <w:t>。</w:t>
      </w:r>
    </w:p>
    <w:p w:rsidR="00065B80" w:rsidRDefault="009A7EE1" w:rsidP="00F02B7A">
      <w:pPr>
        <w:pStyle w:val="Default"/>
        <w:ind w:firstLineChars="196" w:firstLine="630"/>
        <w:rPr>
          <w:rFonts w:hAnsi="黑体"/>
          <w:b/>
          <w:sz w:val="32"/>
          <w:szCs w:val="32"/>
        </w:rPr>
      </w:pPr>
      <w:r>
        <w:rPr>
          <w:rFonts w:hAnsi="黑体" w:hint="eastAsia"/>
          <w:b/>
          <w:sz w:val="32"/>
          <w:szCs w:val="32"/>
        </w:rPr>
        <w:t>二、收入决算情况说明</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7577.53</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5887.5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77.7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年初结转和结余</w:t>
      </w:r>
      <w:r>
        <w:rPr>
          <w:rFonts w:asciiTheme="minorEastAsia" w:eastAsiaTheme="minorEastAsia" w:hAnsiTheme="minorEastAsia" w:hint="eastAsia"/>
          <w:sz w:val="32"/>
          <w:szCs w:val="32"/>
        </w:rPr>
        <w:t>445.23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5.87%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万元；其他收入</w:t>
      </w:r>
      <w:r>
        <w:rPr>
          <w:rFonts w:asciiTheme="minorEastAsia" w:eastAsiaTheme="minorEastAsia" w:hAnsiTheme="minorEastAsia" w:hint="eastAsia"/>
          <w:sz w:val="32"/>
          <w:szCs w:val="32"/>
        </w:rPr>
        <w:t>1244.8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16.43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其他收入主要为非省级财政拨款的市县财政拨款收入</w:t>
      </w:r>
      <w:r>
        <w:rPr>
          <w:rFonts w:asciiTheme="minorEastAsia" w:eastAsiaTheme="minorEastAsia" w:hAnsiTheme="minorEastAsia" w:hint="eastAsia"/>
          <w:sz w:val="32"/>
          <w:szCs w:val="32"/>
        </w:rPr>
        <w:t>。</w:t>
      </w:r>
    </w:p>
    <w:p w:rsidR="00065B80" w:rsidRDefault="009A7EE1" w:rsidP="00F02B7A">
      <w:pPr>
        <w:pStyle w:val="Default"/>
        <w:ind w:firstLineChars="196" w:firstLine="630"/>
        <w:rPr>
          <w:rFonts w:hAnsi="黑体"/>
          <w:b/>
          <w:sz w:val="32"/>
          <w:szCs w:val="32"/>
        </w:rPr>
      </w:pPr>
      <w:r>
        <w:rPr>
          <w:rFonts w:hAnsi="黑体" w:hint="eastAsia"/>
          <w:b/>
          <w:sz w:val="32"/>
          <w:szCs w:val="32"/>
        </w:rPr>
        <w:t>三、支出决算情况</w:t>
      </w:r>
      <w:r>
        <w:rPr>
          <w:rFonts w:hAnsi="黑体" w:hint="eastAsia"/>
          <w:b/>
          <w:sz w:val="32"/>
          <w:szCs w:val="32"/>
        </w:rPr>
        <w:t>说明</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本年支出合计</w:t>
      </w:r>
      <w:r>
        <w:rPr>
          <w:rFonts w:asciiTheme="minorEastAsia" w:eastAsiaTheme="minorEastAsia" w:hAnsiTheme="minorEastAsia" w:hint="eastAsia"/>
          <w:sz w:val="32"/>
          <w:szCs w:val="32"/>
        </w:rPr>
        <w:t>6037.55</w:t>
      </w:r>
      <w:r>
        <w:rPr>
          <w:rFonts w:asciiTheme="minorEastAsia" w:eastAsiaTheme="minorEastAsia" w:hAnsiTheme="minorEastAsia"/>
          <w:sz w:val="32"/>
          <w:szCs w:val="32"/>
        </w:rPr>
        <w:t>万元，其中：基本支出</w:t>
      </w:r>
      <w:r>
        <w:rPr>
          <w:rFonts w:asciiTheme="minorEastAsia" w:eastAsiaTheme="minorEastAsia" w:hAnsiTheme="minorEastAsia" w:hint="eastAsia"/>
          <w:sz w:val="32"/>
          <w:szCs w:val="32"/>
        </w:rPr>
        <w:t>4209.57</w:t>
      </w:r>
      <w:r>
        <w:rPr>
          <w:rFonts w:asciiTheme="minorEastAsia" w:eastAsiaTheme="minorEastAsia" w:hAnsiTheme="minorEastAsia"/>
          <w:sz w:val="32"/>
          <w:szCs w:val="32"/>
        </w:rPr>
        <w:t>万元，占</w:t>
      </w:r>
      <w:r>
        <w:rPr>
          <w:rFonts w:asciiTheme="minorEastAsia" w:eastAsiaTheme="minorEastAsia" w:hAnsiTheme="minorEastAsia" w:hint="eastAsia"/>
          <w:sz w:val="32"/>
          <w:szCs w:val="32"/>
        </w:rPr>
        <w:t>69.72</w:t>
      </w:r>
      <w:r>
        <w:rPr>
          <w:rFonts w:asciiTheme="minorEastAsia" w:eastAsiaTheme="minorEastAsia" w:hAnsiTheme="minorEastAsia"/>
          <w:sz w:val="32"/>
          <w:szCs w:val="32"/>
        </w:rPr>
        <w:t>%</w:t>
      </w:r>
      <w:r>
        <w:rPr>
          <w:rFonts w:asciiTheme="minorEastAsia" w:eastAsiaTheme="minorEastAsia" w:hAnsiTheme="minorEastAsia"/>
          <w:sz w:val="32"/>
          <w:szCs w:val="32"/>
        </w:rPr>
        <w:t>；项目支出</w:t>
      </w:r>
      <w:r>
        <w:rPr>
          <w:rFonts w:asciiTheme="minorEastAsia" w:eastAsiaTheme="minorEastAsia" w:hAnsiTheme="minorEastAsia" w:hint="eastAsia"/>
          <w:sz w:val="32"/>
          <w:szCs w:val="32"/>
        </w:rPr>
        <w:t>1827.99</w:t>
      </w:r>
      <w:r>
        <w:rPr>
          <w:rFonts w:asciiTheme="minorEastAsia" w:eastAsiaTheme="minorEastAsia" w:hAnsiTheme="minorEastAsia"/>
          <w:sz w:val="32"/>
          <w:szCs w:val="32"/>
        </w:rPr>
        <w:t>万元，占</w:t>
      </w:r>
      <w:r>
        <w:rPr>
          <w:rFonts w:asciiTheme="minorEastAsia" w:eastAsiaTheme="minorEastAsia" w:hAnsiTheme="minorEastAsia" w:hint="eastAsia"/>
          <w:sz w:val="32"/>
          <w:szCs w:val="32"/>
        </w:rPr>
        <w:t>30.28</w:t>
      </w:r>
      <w:r>
        <w:rPr>
          <w:rFonts w:asciiTheme="minorEastAsia" w:eastAsiaTheme="minorEastAsia" w:hAnsiTheme="minorEastAsia"/>
          <w:sz w:val="32"/>
          <w:szCs w:val="32"/>
        </w:rPr>
        <w:t>%</w:t>
      </w:r>
      <w:r>
        <w:rPr>
          <w:rFonts w:asciiTheme="minorEastAsia" w:eastAsiaTheme="minorEastAsia" w:hAnsiTheme="minor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sz w:val="32"/>
          <w:szCs w:val="32"/>
        </w:rPr>
        <w:t>万元；经营支出</w:t>
      </w:r>
      <w:r>
        <w:rPr>
          <w:rFonts w:asciiTheme="minorEastAsia" w:eastAsiaTheme="minorEastAsia" w:hAnsiTheme="minorEastAsia" w:hint="eastAsia"/>
          <w:sz w:val="32"/>
          <w:szCs w:val="32"/>
        </w:rPr>
        <w:t>0</w:t>
      </w:r>
      <w:r>
        <w:rPr>
          <w:rFonts w:asciiTheme="minorEastAsia" w:eastAsiaTheme="minorEastAsia" w:hAnsiTheme="minorEastAsia"/>
          <w:sz w:val="32"/>
          <w:szCs w:val="32"/>
        </w:rPr>
        <w:t>万元；对附属单位补助支出</w:t>
      </w:r>
      <w:r>
        <w:rPr>
          <w:rFonts w:asciiTheme="minorEastAsia" w:eastAsiaTheme="minorEastAsia" w:hAnsiTheme="minorEastAsia" w:hint="eastAsia"/>
          <w:sz w:val="32"/>
          <w:szCs w:val="32"/>
        </w:rPr>
        <w:t>0</w:t>
      </w:r>
      <w:r>
        <w:rPr>
          <w:rFonts w:asciiTheme="minorEastAsia" w:eastAsiaTheme="minorEastAsia" w:hAnsiTheme="minorEastAsia"/>
          <w:sz w:val="32"/>
          <w:szCs w:val="32"/>
        </w:rPr>
        <w:t>万元。</w:t>
      </w:r>
    </w:p>
    <w:p w:rsidR="00065B80" w:rsidRDefault="009A7EE1" w:rsidP="00F02B7A">
      <w:pPr>
        <w:pStyle w:val="Default"/>
        <w:ind w:firstLineChars="196" w:firstLine="630"/>
        <w:rPr>
          <w:rFonts w:hAnsi="黑体"/>
          <w:b/>
          <w:sz w:val="32"/>
          <w:szCs w:val="32"/>
        </w:rPr>
      </w:pPr>
      <w:r>
        <w:rPr>
          <w:rFonts w:hAnsi="黑体" w:hint="eastAsia"/>
          <w:b/>
          <w:sz w:val="32"/>
          <w:szCs w:val="32"/>
        </w:rPr>
        <w:t>四、财政拨款收入支出决算总体情况说明</w:t>
      </w:r>
    </w:p>
    <w:p w:rsidR="00065B80" w:rsidRDefault="009A7EE1">
      <w:pPr>
        <w:pStyle w:val="Default"/>
        <w:rPr>
          <w:rFonts w:asciiTheme="minorEastAsia" w:eastAsiaTheme="minorEastAsia" w:hAnsiTheme="minorEastAsia"/>
          <w:color w:val="0000FF"/>
          <w:sz w:val="32"/>
          <w:szCs w:val="32"/>
        </w:rPr>
      </w:pPr>
      <w:r>
        <w:rPr>
          <w:rFonts w:asciiTheme="minorEastAsia" w:eastAsiaTheme="minorEastAsia" w:hAnsiTheme="minorEastAsia" w:hint="eastAsia"/>
          <w:color w:val="0000FF"/>
          <w:sz w:val="32"/>
          <w:szCs w:val="32"/>
        </w:rPr>
        <w:t xml:space="preserve">   202</w:t>
      </w:r>
      <w:r>
        <w:rPr>
          <w:rFonts w:asciiTheme="minorEastAsia" w:eastAsiaTheme="minorEastAsia" w:hAnsiTheme="minorEastAsia" w:hint="eastAsia"/>
          <w:color w:val="0000FF"/>
          <w:sz w:val="32"/>
          <w:szCs w:val="32"/>
        </w:rPr>
        <w:t>1</w:t>
      </w:r>
      <w:r>
        <w:rPr>
          <w:rFonts w:asciiTheme="minorEastAsia" w:eastAsiaTheme="minorEastAsia" w:hAnsiTheme="minorEastAsia" w:hint="eastAsia"/>
          <w:color w:val="0000FF"/>
          <w:sz w:val="32"/>
          <w:szCs w:val="32"/>
        </w:rPr>
        <w:t>年度财政拨款收、支总计</w:t>
      </w:r>
      <w:r>
        <w:rPr>
          <w:rFonts w:asciiTheme="minorEastAsia" w:eastAsiaTheme="minorEastAsia" w:hAnsiTheme="minorEastAsia" w:hint="eastAsia"/>
          <w:color w:val="0000FF"/>
          <w:sz w:val="32"/>
          <w:szCs w:val="32"/>
        </w:rPr>
        <w:t>11125.49</w:t>
      </w:r>
      <w:r>
        <w:rPr>
          <w:rFonts w:asciiTheme="minorEastAsia" w:eastAsiaTheme="minorEastAsia" w:hAnsiTheme="minorEastAsia" w:hint="eastAsia"/>
          <w:color w:val="0000FF"/>
          <w:sz w:val="32"/>
          <w:szCs w:val="32"/>
        </w:rPr>
        <w:t>万元</w:t>
      </w:r>
      <w:r>
        <w:rPr>
          <w:rFonts w:asciiTheme="minorEastAsia" w:eastAsiaTheme="minorEastAsia" w:hAnsiTheme="minorEastAsia" w:hint="eastAsia"/>
          <w:color w:val="0000FF"/>
          <w:sz w:val="32"/>
          <w:szCs w:val="32"/>
        </w:rPr>
        <w:t>，与上年相比，增加</w:t>
      </w:r>
      <w:r>
        <w:rPr>
          <w:rFonts w:asciiTheme="minorEastAsia" w:eastAsiaTheme="minorEastAsia" w:hAnsiTheme="minorEastAsia" w:hint="eastAsia"/>
          <w:color w:val="0000FF"/>
          <w:sz w:val="32"/>
          <w:szCs w:val="32"/>
        </w:rPr>
        <w:t>87.64</w:t>
      </w:r>
      <w:r>
        <w:rPr>
          <w:rFonts w:asciiTheme="minorEastAsia" w:eastAsiaTheme="minorEastAsia" w:hAnsiTheme="minorEastAsia" w:hint="eastAsia"/>
          <w:color w:val="0000FF"/>
          <w:sz w:val="32"/>
          <w:szCs w:val="32"/>
        </w:rPr>
        <w:t>万元</w:t>
      </w:r>
      <w:r>
        <w:rPr>
          <w:rFonts w:asciiTheme="minorEastAsia" w:eastAsiaTheme="minorEastAsia" w:hAnsiTheme="minorEastAsia" w:hint="eastAsia"/>
          <w:color w:val="0000FF"/>
          <w:sz w:val="32"/>
          <w:szCs w:val="32"/>
        </w:rPr>
        <w:t>,</w:t>
      </w:r>
      <w:r>
        <w:rPr>
          <w:rFonts w:asciiTheme="minorEastAsia" w:eastAsiaTheme="minorEastAsia" w:hAnsiTheme="minorEastAsia" w:hint="eastAsia"/>
          <w:color w:val="0000FF"/>
          <w:sz w:val="32"/>
          <w:szCs w:val="32"/>
        </w:rPr>
        <w:t>增长</w:t>
      </w:r>
      <w:r>
        <w:rPr>
          <w:rFonts w:asciiTheme="minorEastAsia" w:eastAsiaTheme="minorEastAsia" w:hAnsiTheme="minorEastAsia" w:hint="eastAsia"/>
          <w:color w:val="0000FF"/>
          <w:sz w:val="32"/>
          <w:szCs w:val="32"/>
        </w:rPr>
        <w:t>0.79</w:t>
      </w:r>
      <w:r>
        <w:rPr>
          <w:rFonts w:asciiTheme="minorEastAsia" w:eastAsiaTheme="minorEastAsia" w:hAnsiTheme="minorEastAsia" w:hint="eastAsia"/>
          <w:color w:val="0000FF"/>
          <w:sz w:val="32"/>
          <w:szCs w:val="32"/>
        </w:rPr>
        <w:t>%</w:t>
      </w:r>
      <w:r>
        <w:rPr>
          <w:rFonts w:asciiTheme="minorEastAsia" w:eastAsiaTheme="minorEastAsia" w:hAnsiTheme="minorEastAsia" w:hint="eastAsia"/>
          <w:color w:val="0000FF"/>
          <w:sz w:val="32"/>
          <w:szCs w:val="32"/>
        </w:rPr>
        <w:t>，主要是因为</w:t>
      </w:r>
      <w:r>
        <w:rPr>
          <w:rFonts w:asciiTheme="minorEastAsia" w:eastAsiaTheme="minorEastAsia" w:hAnsiTheme="minorEastAsia" w:hint="eastAsia"/>
          <w:color w:val="0000FF"/>
          <w:sz w:val="32"/>
          <w:szCs w:val="32"/>
        </w:rPr>
        <w:t>根据工作需要，相关工作项目增加，相应的收入和支出都有所增加。</w:t>
      </w:r>
    </w:p>
    <w:p w:rsidR="00065B80" w:rsidRDefault="009A7EE1" w:rsidP="00F02B7A">
      <w:pPr>
        <w:pStyle w:val="Default"/>
        <w:ind w:firstLineChars="196" w:firstLine="630"/>
        <w:rPr>
          <w:rFonts w:hAnsi="黑体"/>
          <w:b/>
          <w:sz w:val="32"/>
          <w:szCs w:val="32"/>
        </w:rPr>
      </w:pPr>
      <w:r>
        <w:rPr>
          <w:rFonts w:hAnsi="黑体" w:hint="eastAsia"/>
          <w:b/>
          <w:sz w:val="32"/>
          <w:szCs w:val="32"/>
        </w:rPr>
        <w:lastRenderedPageBreak/>
        <w:t>五、一般公共预算财政拨款支出决算情况说明</w:t>
      </w:r>
    </w:p>
    <w:p w:rsidR="00065B80" w:rsidRDefault="009A7EE1" w:rsidP="00F02B7A">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065B80" w:rsidRDefault="009A7EE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4792.76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，占本年支出合计的</w:t>
      </w:r>
      <w:r>
        <w:rPr>
          <w:rFonts w:asciiTheme="minorEastAsia" w:eastAsiaTheme="minorEastAsia" w:hAnsiTheme="minorEastAsia" w:hint="eastAsia"/>
          <w:sz w:val="32"/>
          <w:szCs w:val="32"/>
        </w:rPr>
        <w:t>79.38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558.36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下降</w:t>
      </w:r>
      <w:r>
        <w:rPr>
          <w:rFonts w:asciiTheme="minorEastAsia" w:eastAsiaTheme="minorEastAsia" w:hAnsiTheme="minorEastAsia" w:hint="eastAsia"/>
          <w:sz w:val="32"/>
          <w:szCs w:val="32"/>
        </w:rPr>
        <w:t>10.43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65B80" w:rsidRDefault="009A7EE1" w:rsidP="00F02B7A">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065B80" w:rsidRDefault="009A7EE1">
      <w:pPr>
        <w:ind w:firstLineChars="200" w:firstLine="640"/>
        <w:jc w:val="left"/>
        <w:rPr>
          <w:rFonts w:ascii="宋体" w:eastAsia="宋体" w:hAnsi="宋体" w:cs="Arial"/>
          <w:kern w:val="0"/>
          <w:sz w:val="20"/>
          <w:szCs w:val="20"/>
        </w:rPr>
      </w:pPr>
      <w:r>
        <w:rPr>
          <w:rFonts w:asciiTheme="minorEastAsia" w:hAnsiTheme="minorEastAsia" w:hint="eastAsia"/>
          <w:sz w:val="32"/>
          <w:szCs w:val="32"/>
        </w:rPr>
        <w:t>202</w:t>
      </w:r>
      <w:r>
        <w:rPr>
          <w:rFonts w:asciiTheme="minorEastAsia" w:hAnsiTheme="minorEastAsia" w:hint="eastAsia"/>
          <w:sz w:val="32"/>
          <w:szCs w:val="32"/>
        </w:rPr>
        <w:t>1</w:t>
      </w:r>
      <w:r>
        <w:rPr>
          <w:rFonts w:asciiTheme="minorEastAsia" w:hAnsiTheme="minorEastAsia" w:hint="eastAsia"/>
          <w:sz w:val="32"/>
          <w:szCs w:val="32"/>
        </w:rPr>
        <w:t>年度财政拨款支出</w:t>
      </w:r>
      <w:r>
        <w:rPr>
          <w:rFonts w:asciiTheme="minorEastAsia" w:hAnsiTheme="minorEastAsia" w:hint="eastAsia"/>
          <w:sz w:val="32"/>
          <w:szCs w:val="32"/>
        </w:rPr>
        <w:t>4792.76</w:t>
      </w:r>
      <w:r>
        <w:rPr>
          <w:rFonts w:asciiTheme="minorEastAsia" w:hAnsiTheme="minorEastAsia" w:hint="eastAsia"/>
          <w:sz w:val="32"/>
          <w:szCs w:val="32"/>
        </w:rPr>
        <w:t>万元，主要用于以下方面：一般公共服务（类）支出</w:t>
      </w:r>
      <w:r>
        <w:rPr>
          <w:rFonts w:asciiTheme="minorEastAsia" w:hAnsiTheme="minorEastAsia" w:hint="eastAsia"/>
          <w:sz w:val="32"/>
          <w:szCs w:val="32"/>
        </w:rPr>
        <w:t>4002.02</w:t>
      </w:r>
      <w:r>
        <w:rPr>
          <w:rFonts w:asciiTheme="minorEastAsia" w:hAnsiTheme="minorEastAsia" w:hint="eastAsia"/>
          <w:sz w:val="32"/>
          <w:szCs w:val="32"/>
        </w:rPr>
        <w:t>万元，占</w:t>
      </w:r>
      <w:r>
        <w:rPr>
          <w:rFonts w:asciiTheme="minorEastAsia" w:hAnsiTheme="minorEastAsia" w:hint="eastAsia"/>
          <w:sz w:val="32"/>
          <w:szCs w:val="32"/>
        </w:rPr>
        <w:t>83.5</w:t>
      </w:r>
      <w:r>
        <w:rPr>
          <w:rFonts w:asciiTheme="minorEastAsia" w:hAnsiTheme="minorEastAsia" w:hint="eastAsia"/>
          <w:sz w:val="32"/>
          <w:szCs w:val="32"/>
        </w:rPr>
        <w:t>%;</w:t>
      </w:r>
      <w:r>
        <w:rPr>
          <w:rFonts w:asciiTheme="minorEastAsia" w:hAnsiTheme="minorEastAsia" w:hint="eastAsia"/>
          <w:sz w:val="32"/>
          <w:szCs w:val="32"/>
        </w:rPr>
        <w:t>教育支出</w:t>
      </w:r>
      <w:r>
        <w:rPr>
          <w:rFonts w:asciiTheme="minorEastAsia" w:hAnsiTheme="minorEastAsia" w:hint="eastAsia"/>
          <w:sz w:val="32"/>
          <w:szCs w:val="32"/>
        </w:rPr>
        <w:t>2.73</w:t>
      </w:r>
      <w:r>
        <w:rPr>
          <w:rFonts w:asciiTheme="minorEastAsia" w:hAnsiTheme="minorEastAsia" w:hint="eastAsia"/>
          <w:sz w:val="32"/>
          <w:szCs w:val="32"/>
        </w:rPr>
        <w:t>万元，占</w:t>
      </w:r>
      <w:r>
        <w:rPr>
          <w:rFonts w:asciiTheme="minorEastAsia" w:hAnsiTheme="minorEastAsia" w:hint="eastAsia"/>
          <w:sz w:val="32"/>
          <w:szCs w:val="32"/>
        </w:rPr>
        <w:t>0.06%</w:t>
      </w:r>
      <w:r>
        <w:rPr>
          <w:rFonts w:asciiTheme="minorEastAsia" w:hAnsiTheme="minorEastAsia" w:hint="eastAsia"/>
          <w:sz w:val="32"/>
          <w:szCs w:val="32"/>
        </w:rPr>
        <w:t>；</w:t>
      </w:r>
      <w:r>
        <w:rPr>
          <w:rFonts w:asciiTheme="minorEastAsia" w:hAnsiTheme="minorEastAsia" w:hint="eastAsia"/>
          <w:sz w:val="32"/>
          <w:szCs w:val="32"/>
        </w:rPr>
        <w:t>社会保障和就业支出</w:t>
      </w:r>
      <w:r>
        <w:rPr>
          <w:rFonts w:asciiTheme="minorEastAsia" w:hAnsiTheme="minorEastAsia" w:hint="eastAsia"/>
          <w:sz w:val="32"/>
          <w:szCs w:val="32"/>
        </w:rPr>
        <w:t>254.81</w:t>
      </w:r>
      <w:r>
        <w:rPr>
          <w:rFonts w:asciiTheme="minorEastAsia" w:hAnsiTheme="minorEastAsia" w:hint="eastAsia"/>
          <w:sz w:val="32"/>
          <w:szCs w:val="32"/>
        </w:rPr>
        <w:t>万元，占</w:t>
      </w:r>
      <w:r>
        <w:rPr>
          <w:rFonts w:asciiTheme="minorEastAsia" w:hAnsiTheme="minorEastAsia" w:hint="eastAsia"/>
          <w:sz w:val="32"/>
          <w:szCs w:val="32"/>
        </w:rPr>
        <w:t>5.32</w:t>
      </w:r>
      <w:r>
        <w:rPr>
          <w:rFonts w:asciiTheme="minorEastAsia" w:hAnsiTheme="minorEastAsia" w:hint="eastAsia"/>
          <w:sz w:val="32"/>
          <w:szCs w:val="32"/>
        </w:rPr>
        <w:t>%</w:t>
      </w:r>
      <w:r>
        <w:rPr>
          <w:rFonts w:asciiTheme="minorEastAsia" w:hAnsiTheme="minorEastAsia" w:hint="eastAsia"/>
          <w:sz w:val="32"/>
          <w:szCs w:val="32"/>
        </w:rPr>
        <w:t>，卫生健康支出</w:t>
      </w:r>
      <w:r>
        <w:rPr>
          <w:rFonts w:asciiTheme="minorEastAsia" w:hAnsiTheme="minorEastAsia" w:hint="eastAsia"/>
          <w:sz w:val="32"/>
          <w:szCs w:val="32"/>
        </w:rPr>
        <w:t>245.35</w:t>
      </w:r>
      <w:r>
        <w:rPr>
          <w:rFonts w:asciiTheme="minorEastAsia" w:hAnsiTheme="minorEastAsia" w:hint="eastAsia"/>
          <w:sz w:val="32"/>
          <w:szCs w:val="32"/>
        </w:rPr>
        <w:t>万元，占</w:t>
      </w:r>
      <w:r>
        <w:rPr>
          <w:rFonts w:asciiTheme="minorEastAsia" w:hAnsiTheme="minorEastAsia" w:hint="eastAsia"/>
          <w:sz w:val="32"/>
          <w:szCs w:val="32"/>
        </w:rPr>
        <w:t>5.</w:t>
      </w:r>
      <w:r>
        <w:rPr>
          <w:rFonts w:asciiTheme="minorEastAsia" w:hAnsiTheme="minorEastAsia" w:hint="eastAsia"/>
          <w:sz w:val="32"/>
          <w:szCs w:val="32"/>
        </w:rPr>
        <w:t>12</w:t>
      </w:r>
      <w:r>
        <w:rPr>
          <w:rFonts w:asciiTheme="minorEastAsia" w:hAnsiTheme="minorEastAsia" w:hint="eastAsia"/>
          <w:sz w:val="32"/>
          <w:szCs w:val="32"/>
        </w:rPr>
        <w:t>%</w:t>
      </w:r>
      <w:r>
        <w:rPr>
          <w:rFonts w:asciiTheme="minorEastAsia" w:hAnsiTheme="minorEastAsia" w:hint="eastAsia"/>
          <w:sz w:val="32"/>
          <w:szCs w:val="32"/>
        </w:rPr>
        <w:t>，住房保障支出</w:t>
      </w:r>
      <w:r>
        <w:rPr>
          <w:rFonts w:asciiTheme="minorEastAsia" w:hAnsiTheme="minorEastAsia" w:hint="eastAsia"/>
          <w:sz w:val="32"/>
          <w:szCs w:val="32"/>
        </w:rPr>
        <w:t>287.86</w:t>
      </w:r>
      <w:r>
        <w:rPr>
          <w:rFonts w:asciiTheme="minorEastAsia" w:hAnsiTheme="minorEastAsia" w:hint="eastAsia"/>
          <w:sz w:val="32"/>
          <w:szCs w:val="32"/>
        </w:rPr>
        <w:t>万元</w:t>
      </w:r>
      <w:r>
        <w:rPr>
          <w:rFonts w:asciiTheme="minorEastAsia" w:hAnsiTheme="minorEastAsia" w:hint="eastAsia"/>
          <w:sz w:val="32"/>
          <w:szCs w:val="32"/>
        </w:rPr>
        <w:t>,</w:t>
      </w:r>
      <w:r>
        <w:rPr>
          <w:rFonts w:asciiTheme="minorEastAsia" w:hAnsiTheme="minorEastAsia" w:hint="eastAsia"/>
          <w:sz w:val="32"/>
          <w:szCs w:val="32"/>
        </w:rPr>
        <w:t>占</w:t>
      </w:r>
      <w:r>
        <w:rPr>
          <w:rFonts w:asciiTheme="minorEastAsia" w:hAnsiTheme="minorEastAsia" w:hint="eastAsia"/>
          <w:sz w:val="32"/>
          <w:szCs w:val="32"/>
        </w:rPr>
        <w:t>6</w:t>
      </w:r>
      <w:r>
        <w:rPr>
          <w:rFonts w:asciiTheme="minorEastAsia" w:hAnsiTheme="minorEastAsia" w:hint="eastAsia"/>
          <w:sz w:val="32"/>
          <w:szCs w:val="32"/>
        </w:rPr>
        <w:t>%</w:t>
      </w:r>
      <w:r>
        <w:rPr>
          <w:rFonts w:asciiTheme="minorEastAsia" w:hAnsiTheme="minorEastAsia" w:hint="eastAsia"/>
          <w:sz w:val="32"/>
          <w:szCs w:val="32"/>
        </w:rPr>
        <w:t>。</w:t>
      </w:r>
    </w:p>
    <w:p w:rsidR="00065B80" w:rsidRDefault="009A7EE1" w:rsidP="00F02B7A">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065B80" w:rsidRDefault="009A7EE1">
      <w:pPr>
        <w:pStyle w:val="Default"/>
        <w:ind w:firstLineChars="250" w:firstLine="800"/>
        <w:rPr>
          <w:rFonts w:ascii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6332.73</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4792.76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75.68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065B80" w:rsidRDefault="009A7EE1">
      <w:pPr>
        <w:pStyle w:val="Default"/>
        <w:numPr>
          <w:ilvl w:val="0"/>
          <w:numId w:val="1"/>
        </w:numPr>
        <w:ind w:firstLineChars="250" w:firstLine="800"/>
        <w:rPr>
          <w:rFonts w:asciiTheme="minorEastAsia" w:eastAsiaTheme="minorEastAsia" w:hAnsiTheme="minorEastAsia"/>
          <w:sz w:val="32"/>
          <w:szCs w:val="32"/>
        </w:rPr>
      </w:pPr>
      <w:r>
        <w:rPr>
          <w:rFonts w:ascii="宋体" w:eastAsia="宋体" w:hAnsi="宋体" w:hint="eastAsia"/>
          <w:color w:val="auto"/>
          <w:sz w:val="32"/>
          <w:szCs w:val="32"/>
        </w:rPr>
        <w:t>公共安全（类）法院（款）行政运行（项）。</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3626.2</w:t>
      </w:r>
      <w:r>
        <w:rPr>
          <w:rFonts w:asciiTheme="minorEastAsia" w:eastAsiaTheme="minorEastAsia" w:hAnsiTheme="minorEastAsia" w:hint="eastAsia"/>
          <w:sz w:val="32"/>
          <w:szCs w:val="32"/>
        </w:rPr>
        <w:t>万元，支出决算</w:t>
      </w:r>
      <w:r>
        <w:rPr>
          <w:rFonts w:asciiTheme="minorEastAsia" w:eastAsiaTheme="minorEastAsia" w:hAnsiTheme="minorEastAsia" w:hint="eastAsia"/>
          <w:sz w:val="32"/>
          <w:szCs w:val="32"/>
        </w:rPr>
        <w:t>3418.82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4.28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65B80" w:rsidRDefault="009A7EE1">
      <w:pPr>
        <w:pStyle w:val="Default"/>
        <w:numPr>
          <w:ilvl w:val="0"/>
          <w:numId w:val="1"/>
        </w:numPr>
        <w:ind w:firstLineChars="250" w:firstLine="800"/>
        <w:rPr>
          <w:rFonts w:asciiTheme="minorEastAsia" w:eastAsiaTheme="minorEastAsia" w:hAnsiTheme="minorEastAsia"/>
          <w:sz w:val="32"/>
          <w:szCs w:val="32"/>
        </w:rPr>
      </w:pPr>
      <w:r>
        <w:rPr>
          <w:rFonts w:ascii="宋体" w:eastAsia="宋体" w:hAnsi="宋体" w:hint="eastAsia"/>
          <w:color w:val="auto"/>
          <w:sz w:val="32"/>
          <w:szCs w:val="32"/>
        </w:rPr>
        <w:t>公共安全（类）法院（款）一般行政管理事务（项）。</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w:t>
      </w:r>
      <w:r>
        <w:rPr>
          <w:rFonts w:asciiTheme="minorEastAsia" w:eastAsiaTheme="minorEastAsia" w:hAnsiTheme="minorEastAsia" w:hint="eastAsia"/>
          <w:sz w:val="32"/>
          <w:szCs w:val="32"/>
        </w:rPr>
        <w:t>1704.2</w:t>
      </w:r>
      <w:r>
        <w:rPr>
          <w:rFonts w:asciiTheme="minorEastAsia" w:eastAsiaTheme="minorEastAsia" w:hAnsiTheme="minorEastAsia" w:hint="eastAsia"/>
          <w:sz w:val="32"/>
          <w:szCs w:val="32"/>
        </w:rPr>
        <w:t>万元，支出预算</w:t>
      </w:r>
      <w:r>
        <w:rPr>
          <w:rFonts w:asciiTheme="minorEastAsia" w:eastAsiaTheme="minorEastAsia" w:hAnsiTheme="minorEastAsia" w:hint="eastAsia"/>
          <w:sz w:val="32"/>
          <w:szCs w:val="32"/>
        </w:rPr>
        <w:t>580.14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34.04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65B80" w:rsidRDefault="009A7EE1">
      <w:pPr>
        <w:pStyle w:val="Default"/>
        <w:numPr>
          <w:ilvl w:val="0"/>
          <w:numId w:val="2"/>
        </w:numPr>
        <w:ind w:firstLineChars="250" w:firstLine="800"/>
        <w:rPr>
          <w:rFonts w:ascii="宋体" w:eastAsia="宋体" w:hAnsi="宋体"/>
          <w:color w:val="auto"/>
          <w:sz w:val="32"/>
          <w:szCs w:val="32"/>
        </w:rPr>
      </w:pPr>
      <w:r>
        <w:rPr>
          <w:rFonts w:ascii="宋体" w:eastAsia="宋体" w:hAnsi="宋体" w:hint="eastAsia"/>
          <w:color w:val="auto"/>
          <w:sz w:val="32"/>
          <w:szCs w:val="32"/>
        </w:rPr>
        <w:lastRenderedPageBreak/>
        <w:t>公共安全（类）法院（款）案件审判（项）。</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35.33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3.05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8.63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65B80" w:rsidRDefault="009A7EE1">
      <w:pPr>
        <w:pStyle w:val="Default"/>
        <w:ind w:firstLineChars="200" w:firstLine="640"/>
        <w:rPr>
          <w:rFonts w:asciiTheme="minorEastAsia" w:eastAsia="宋体" w:hAnsiTheme="minorEastAsia"/>
          <w:sz w:val="32"/>
          <w:szCs w:val="32"/>
        </w:rPr>
      </w:pPr>
      <w:r>
        <w:rPr>
          <w:rFonts w:ascii="宋体" w:eastAsia="宋体" w:hAnsi="宋体" w:hint="eastAsia"/>
          <w:color w:val="auto"/>
          <w:sz w:val="32"/>
          <w:szCs w:val="32"/>
        </w:rPr>
        <w:t>4</w:t>
      </w:r>
      <w:r>
        <w:rPr>
          <w:rFonts w:ascii="宋体" w:eastAsia="宋体" w:hAnsi="宋体" w:hint="eastAsia"/>
          <w:color w:val="auto"/>
          <w:sz w:val="32"/>
          <w:szCs w:val="32"/>
        </w:rPr>
        <w:t>、</w:t>
      </w:r>
      <w:r>
        <w:rPr>
          <w:rFonts w:ascii="宋体" w:eastAsia="宋体" w:hAnsi="宋体" w:hint="eastAsia"/>
          <w:color w:val="auto"/>
          <w:sz w:val="32"/>
          <w:szCs w:val="32"/>
        </w:rPr>
        <w:t>公共安全（类）法院（款）“两庭”建设（项）</w:t>
      </w:r>
      <w:r>
        <w:rPr>
          <w:rFonts w:ascii="宋体" w:eastAsia="宋体" w:hAnsi="宋体" w:hint="eastAsia"/>
          <w:color w:val="auto"/>
          <w:sz w:val="32"/>
          <w:szCs w:val="32"/>
        </w:rPr>
        <w:t>。</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130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65B80" w:rsidRDefault="009A7EE1">
      <w:pPr>
        <w:pStyle w:val="Default"/>
        <w:tabs>
          <w:tab w:val="left" w:pos="1227"/>
        </w:tabs>
        <w:rPr>
          <w:rFonts w:asciiTheme="minorEastAsia" w:eastAsia="宋体" w:hAnsiTheme="minorEastAsia"/>
          <w:sz w:val="32"/>
          <w:szCs w:val="32"/>
        </w:rPr>
      </w:pPr>
      <w:r>
        <w:rPr>
          <w:rFonts w:asciiTheme="minorEastAsia" w:eastAsiaTheme="minorEastAsia" w:hAnsiTheme="minorEastAsia" w:hint="eastAsia"/>
          <w:sz w:val="32"/>
          <w:szCs w:val="32"/>
        </w:rPr>
        <w:t xml:space="preserve">    5</w:t>
      </w:r>
      <w:r>
        <w:rPr>
          <w:rFonts w:asciiTheme="minorEastAsia" w:eastAsiaTheme="minorEastAsia" w:hAnsiTheme="minorEastAsia" w:hint="eastAsia"/>
          <w:sz w:val="32"/>
          <w:szCs w:val="32"/>
        </w:rPr>
        <w:t>、</w:t>
      </w:r>
      <w:r>
        <w:rPr>
          <w:rFonts w:ascii="宋体" w:eastAsia="宋体" w:hAnsi="宋体" w:hint="eastAsia"/>
          <w:color w:val="auto"/>
          <w:sz w:val="32"/>
          <w:szCs w:val="32"/>
        </w:rPr>
        <w:t>社会保障和就业（类）行政事业单位养老支出（款）机关事业单位基本养老保险缴费支出（项）</w:t>
      </w:r>
      <w:r>
        <w:rPr>
          <w:rFonts w:ascii="宋体" w:eastAsia="宋体" w:hAnsi="宋体" w:hint="eastAsia"/>
          <w:color w:val="auto"/>
          <w:sz w:val="32"/>
          <w:szCs w:val="32"/>
        </w:rPr>
        <w:t>。</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250</w:t>
      </w:r>
      <w:r>
        <w:rPr>
          <w:rFonts w:asciiTheme="minorEastAsia" w:eastAsiaTheme="minorEastAsia" w:hAnsiTheme="minorEastAsia" w:hint="eastAsia"/>
          <w:sz w:val="32"/>
          <w:szCs w:val="32"/>
        </w:rPr>
        <w:t>万元，支出决算</w:t>
      </w:r>
      <w:r>
        <w:rPr>
          <w:rFonts w:asciiTheme="minorEastAsia" w:eastAsiaTheme="minorEastAsia" w:hAnsiTheme="minorEastAsia" w:hint="eastAsia"/>
          <w:sz w:val="32"/>
          <w:szCs w:val="32"/>
        </w:rPr>
        <w:t>250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 xml:space="preserve">                                    </w:t>
      </w:r>
    </w:p>
    <w:p w:rsidR="00065B80" w:rsidRDefault="009A7EE1">
      <w:pPr>
        <w:pStyle w:val="Default"/>
        <w:ind w:left="630"/>
        <w:rPr>
          <w:rFonts w:ascii="宋体" w:eastAsia="宋体" w:hAnsi="宋体"/>
          <w:color w:val="auto"/>
          <w:sz w:val="32"/>
          <w:szCs w:val="32"/>
        </w:rPr>
      </w:pPr>
      <w:r>
        <w:rPr>
          <w:rFonts w:ascii="宋体" w:eastAsia="宋体" w:hAnsi="宋体" w:hint="eastAsia"/>
          <w:color w:val="auto"/>
          <w:sz w:val="32"/>
          <w:szCs w:val="32"/>
        </w:rPr>
        <w:t>6</w:t>
      </w:r>
      <w:r>
        <w:rPr>
          <w:rFonts w:ascii="宋体" w:eastAsia="宋体" w:hAnsi="宋体" w:hint="eastAsia"/>
          <w:color w:val="auto"/>
          <w:sz w:val="32"/>
          <w:szCs w:val="32"/>
        </w:rPr>
        <w:t>、</w:t>
      </w:r>
      <w:r>
        <w:rPr>
          <w:rFonts w:ascii="宋体" w:eastAsia="宋体" w:hAnsi="宋体" w:hint="eastAsia"/>
          <w:color w:val="auto"/>
          <w:sz w:val="32"/>
          <w:szCs w:val="32"/>
        </w:rPr>
        <w:t>社会保障和就业（类）其他社会保障和就业支出（款）其他社会保障和就业支出（项）</w:t>
      </w:r>
      <w:r>
        <w:rPr>
          <w:rFonts w:ascii="宋体" w:eastAsia="宋体" w:hAnsi="宋体" w:hint="eastAsia"/>
          <w:color w:val="auto"/>
          <w:sz w:val="32"/>
          <w:szCs w:val="32"/>
        </w:rPr>
        <w:t>。</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4.81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80.17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 xml:space="preserve">                                                                   </w:t>
      </w:r>
    </w:p>
    <w:p w:rsidR="00065B80" w:rsidRDefault="009A7EE1">
      <w:pPr>
        <w:pStyle w:val="Default"/>
        <w:ind w:left="630"/>
        <w:rPr>
          <w:rFonts w:ascii="宋体" w:eastAsia="宋体" w:hAnsi="宋体"/>
          <w:color w:val="auto"/>
          <w:sz w:val="32"/>
          <w:szCs w:val="32"/>
        </w:rPr>
      </w:pPr>
      <w:r>
        <w:rPr>
          <w:rFonts w:ascii="宋体" w:eastAsia="宋体" w:hAnsi="宋体" w:hint="eastAsia"/>
          <w:color w:val="auto"/>
          <w:sz w:val="32"/>
          <w:szCs w:val="32"/>
        </w:rPr>
        <w:t>7</w:t>
      </w:r>
      <w:r>
        <w:rPr>
          <w:rFonts w:ascii="宋体" w:eastAsia="宋体" w:hAnsi="宋体" w:hint="eastAsia"/>
          <w:color w:val="auto"/>
          <w:sz w:val="32"/>
          <w:szCs w:val="32"/>
        </w:rPr>
        <w:t>、</w:t>
      </w:r>
      <w:r>
        <w:rPr>
          <w:rFonts w:ascii="宋体" w:eastAsia="宋体" w:hAnsi="宋体" w:hint="eastAsia"/>
          <w:color w:val="auto"/>
          <w:sz w:val="32"/>
          <w:szCs w:val="32"/>
        </w:rPr>
        <w:t>卫生健康（类）行政事业单位医疗（款）行政单位医疗（项）。</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w:t>
      </w:r>
      <w:r>
        <w:rPr>
          <w:rFonts w:asciiTheme="minorEastAsia" w:eastAsiaTheme="minorEastAsia" w:hAnsiTheme="minorEastAsia" w:hint="eastAsia"/>
          <w:sz w:val="32"/>
          <w:szCs w:val="32"/>
        </w:rPr>
        <w:t>199</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175.65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88.27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65B80" w:rsidRDefault="009A7EE1">
      <w:pPr>
        <w:pStyle w:val="Default"/>
        <w:tabs>
          <w:tab w:val="left" w:pos="312"/>
        </w:tabs>
        <w:ind w:firstLineChars="200" w:firstLine="640"/>
        <w:rPr>
          <w:rFonts w:ascii="宋体" w:eastAsia="宋体" w:hAnsi="宋体"/>
          <w:color w:val="auto"/>
          <w:sz w:val="32"/>
          <w:szCs w:val="32"/>
        </w:rPr>
      </w:pPr>
      <w:r>
        <w:rPr>
          <w:rFonts w:ascii="宋体" w:eastAsia="宋体" w:hAnsi="宋体" w:hint="eastAsia"/>
          <w:color w:val="auto"/>
          <w:sz w:val="32"/>
          <w:szCs w:val="32"/>
        </w:rPr>
        <w:t>8</w:t>
      </w:r>
      <w:r>
        <w:rPr>
          <w:rFonts w:ascii="宋体" w:eastAsia="宋体" w:hAnsi="宋体" w:hint="eastAsia"/>
          <w:color w:val="auto"/>
          <w:sz w:val="32"/>
          <w:szCs w:val="32"/>
        </w:rPr>
        <w:t>、</w:t>
      </w:r>
      <w:r>
        <w:rPr>
          <w:rFonts w:ascii="宋体" w:eastAsia="宋体" w:hAnsi="宋体" w:hint="eastAsia"/>
          <w:color w:val="auto"/>
          <w:sz w:val="32"/>
          <w:szCs w:val="32"/>
        </w:rPr>
        <w:t>卫生健康（类）行政事业单位医疗（款）公务员医疗补助（项）。</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78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69.7</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89.36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65B80" w:rsidRDefault="009A7EE1">
      <w:pPr>
        <w:pStyle w:val="Default"/>
        <w:ind w:left="630"/>
        <w:rPr>
          <w:rFonts w:ascii="宋体" w:eastAsia="宋体" w:hAnsi="宋体"/>
          <w:color w:val="auto"/>
          <w:sz w:val="32"/>
          <w:szCs w:val="32"/>
        </w:rPr>
      </w:pPr>
      <w:r>
        <w:rPr>
          <w:rFonts w:ascii="宋体" w:eastAsia="宋体" w:hAnsi="宋体" w:hint="eastAsia"/>
          <w:color w:val="auto"/>
          <w:sz w:val="32"/>
          <w:szCs w:val="32"/>
        </w:rPr>
        <w:t>9</w:t>
      </w:r>
      <w:r>
        <w:rPr>
          <w:rFonts w:ascii="宋体" w:eastAsia="宋体" w:hAnsi="宋体" w:hint="eastAsia"/>
          <w:color w:val="auto"/>
          <w:sz w:val="32"/>
          <w:szCs w:val="32"/>
        </w:rPr>
        <w:t>、</w:t>
      </w:r>
      <w:r>
        <w:rPr>
          <w:rFonts w:ascii="宋体" w:eastAsia="宋体" w:hAnsi="宋体" w:hint="eastAsia"/>
          <w:color w:val="auto"/>
          <w:sz w:val="32"/>
          <w:szCs w:val="32"/>
        </w:rPr>
        <w:t>住房保障（类）住房改革（款）住房公积金（项）</w:t>
      </w:r>
      <w:r>
        <w:rPr>
          <w:rFonts w:ascii="宋体" w:eastAsia="宋体" w:hAnsi="宋体" w:hint="eastAsia"/>
          <w:color w:val="auto"/>
          <w:sz w:val="32"/>
          <w:szCs w:val="32"/>
        </w:rPr>
        <w:t>。</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299</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287.86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96.27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65B80" w:rsidRDefault="009A7EE1">
      <w:pPr>
        <w:pStyle w:val="Default"/>
        <w:numPr>
          <w:ilvl w:val="0"/>
          <w:numId w:val="3"/>
        </w:numPr>
        <w:ind w:firstLineChars="200" w:firstLine="640"/>
        <w:rPr>
          <w:rFonts w:ascii="宋体" w:eastAsia="宋体" w:hAnsi="宋体"/>
          <w:color w:val="auto"/>
          <w:sz w:val="32"/>
          <w:szCs w:val="32"/>
        </w:rPr>
      </w:pPr>
      <w:r>
        <w:rPr>
          <w:rFonts w:ascii="宋体" w:eastAsia="宋体" w:hAnsi="宋体" w:hint="eastAsia"/>
          <w:color w:val="auto"/>
          <w:sz w:val="32"/>
          <w:szCs w:val="32"/>
        </w:rPr>
        <w:t>教育（类）进修及培训（款）培训支出（项）</w:t>
      </w:r>
      <w:r>
        <w:rPr>
          <w:rFonts w:ascii="宋体" w:eastAsia="宋体" w:hAnsi="宋体" w:hint="eastAsia"/>
          <w:color w:val="auto"/>
          <w:sz w:val="32"/>
          <w:szCs w:val="32"/>
        </w:rPr>
        <w:t>。</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w:t>
      </w: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2.73</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54.6%</w:t>
      </w:r>
      <w:r>
        <w:rPr>
          <w:rFonts w:asciiTheme="minorEastAsia" w:eastAsiaTheme="minorEastAsia" w:hAnsiTheme="minorEastAsia" w:hint="eastAsia"/>
          <w:sz w:val="32"/>
          <w:szCs w:val="32"/>
        </w:rPr>
        <w:t>。</w:t>
      </w:r>
    </w:p>
    <w:p w:rsidR="00065B80" w:rsidRDefault="009A7EE1" w:rsidP="00F02B7A">
      <w:pPr>
        <w:pStyle w:val="Default"/>
        <w:ind w:firstLineChars="196" w:firstLine="630"/>
        <w:rPr>
          <w:rFonts w:hAnsi="黑体"/>
          <w:b/>
          <w:sz w:val="32"/>
          <w:szCs w:val="32"/>
        </w:rPr>
      </w:pPr>
      <w:r>
        <w:rPr>
          <w:rFonts w:hAnsi="黑体" w:hint="eastAsia"/>
          <w:b/>
          <w:sz w:val="32"/>
          <w:szCs w:val="32"/>
        </w:rPr>
        <w:t>六、一般公共预算财政拨款基本支出决算情况说明</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4209.57</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3034.83</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72.09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主要包括基本工资、津贴补贴、奖金、机关事业单位基本养老保险缴费、职工基本医疗保险缴费、公务员医疗补助缴费、</w:t>
      </w:r>
      <w:r>
        <w:rPr>
          <w:rFonts w:asciiTheme="minorEastAsia" w:eastAsiaTheme="minorEastAsia" w:hAnsiTheme="minorEastAsia" w:hint="eastAsia"/>
          <w:sz w:val="32"/>
          <w:szCs w:val="32"/>
        </w:rPr>
        <w:t>其他社会保障缴费、</w:t>
      </w:r>
      <w:r>
        <w:rPr>
          <w:rFonts w:asciiTheme="minorEastAsia" w:eastAsiaTheme="minorEastAsia" w:hAnsiTheme="minorEastAsia" w:hint="eastAsia"/>
          <w:sz w:val="32"/>
          <w:szCs w:val="32"/>
        </w:rPr>
        <w:t>住房公积金、其他工资福利支出、</w:t>
      </w:r>
      <w:r>
        <w:rPr>
          <w:rFonts w:asciiTheme="minorEastAsia" w:eastAsiaTheme="minorEastAsia" w:hAnsiTheme="minorEastAsia" w:hint="eastAsia"/>
          <w:sz w:val="32"/>
          <w:szCs w:val="32"/>
        </w:rPr>
        <w:t>奖励金</w:t>
      </w:r>
      <w:r>
        <w:rPr>
          <w:rFonts w:asciiTheme="minorEastAsia" w:eastAsiaTheme="minorEastAsia" w:hAnsiTheme="minorEastAsia" w:hint="eastAsia"/>
          <w:sz w:val="32"/>
          <w:szCs w:val="32"/>
        </w:rPr>
        <w:t>、其他对个人和家庭补助支出；公用经费</w:t>
      </w:r>
      <w:r>
        <w:rPr>
          <w:rFonts w:asciiTheme="minorEastAsia" w:eastAsiaTheme="minorEastAsia" w:hAnsiTheme="minorEastAsia" w:hint="eastAsia"/>
          <w:sz w:val="32"/>
          <w:szCs w:val="32"/>
        </w:rPr>
        <w:t>1174.74</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27.91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，主要包括办公费、印刷费、水费、电费、邮电费、物业管理费、差旅费、维修（护）费、租赁费、</w:t>
      </w:r>
      <w:r>
        <w:rPr>
          <w:rFonts w:asciiTheme="minorEastAsia" w:eastAsiaTheme="minorEastAsia" w:hAnsiTheme="minorEastAsia" w:hint="eastAsia"/>
          <w:sz w:val="32"/>
          <w:szCs w:val="32"/>
        </w:rPr>
        <w:t>会议费、</w:t>
      </w:r>
      <w:r>
        <w:rPr>
          <w:rFonts w:asciiTheme="minorEastAsia" w:eastAsiaTheme="minorEastAsia" w:hAnsiTheme="minorEastAsia" w:hint="eastAsia"/>
          <w:sz w:val="32"/>
          <w:szCs w:val="32"/>
        </w:rPr>
        <w:t>培训费、公务接待费、劳务费、工会经费、福利费、公务用车运行维护费、其他交通费、其他商品服务支出。</w:t>
      </w:r>
    </w:p>
    <w:p w:rsidR="00065B80" w:rsidRDefault="009A7EE1" w:rsidP="00F02B7A">
      <w:pPr>
        <w:pStyle w:val="Default"/>
        <w:ind w:firstLineChars="196" w:firstLine="630"/>
        <w:rPr>
          <w:rFonts w:hAnsi="黑体"/>
          <w:b/>
          <w:sz w:val="32"/>
          <w:szCs w:val="32"/>
        </w:rPr>
      </w:pPr>
      <w:r>
        <w:rPr>
          <w:rFonts w:hAnsi="黑体" w:hint="eastAsia"/>
          <w:b/>
          <w:sz w:val="32"/>
          <w:szCs w:val="32"/>
        </w:rPr>
        <w:t>七、一般公共预算财政拨款三公经费支出决算情况说明</w:t>
      </w:r>
    </w:p>
    <w:p w:rsidR="00065B80" w:rsidRDefault="009A7EE1" w:rsidP="00F02B7A">
      <w:pPr>
        <w:pStyle w:val="Default"/>
        <w:ind w:firstLineChars="196" w:firstLine="630"/>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065B80" w:rsidRDefault="009A7EE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98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74.08</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75.59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065B80" w:rsidRDefault="009A7EE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万元，与上年相比</w:t>
      </w:r>
      <w:r>
        <w:rPr>
          <w:rFonts w:asciiTheme="minorEastAsia" w:eastAsiaTheme="minorEastAsia" w:hAnsiTheme="minorEastAsia" w:hint="eastAsia"/>
          <w:sz w:val="32"/>
          <w:szCs w:val="32"/>
        </w:rPr>
        <w:t>持平</w:t>
      </w:r>
      <w:r>
        <w:rPr>
          <w:rFonts w:asciiTheme="minorEastAsia" w:eastAsiaTheme="minorEastAsia" w:hAnsiTheme="minorEastAsia" w:hint="eastAsia"/>
          <w:sz w:val="32"/>
          <w:szCs w:val="32"/>
        </w:rPr>
        <w:t>，主要原因是</w:t>
      </w:r>
      <w:r>
        <w:rPr>
          <w:rFonts w:asciiTheme="minorEastAsia" w:eastAsiaTheme="minorEastAsia" w:hAnsiTheme="minorEastAsia" w:hint="eastAsia"/>
          <w:sz w:val="32"/>
          <w:szCs w:val="32"/>
        </w:rPr>
        <w:t>2</w:t>
      </w:r>
      <w:r>
        <w:rPr>
          <w:rFonts w:asciiTheme="minorEastAsia" w:eastAsiaTheme="minorEastAsia" w:hAnsiTheme="minorEastAsia"/>
          <w:sz w:val="32"/>
          <w:szCs w:val="32"/>
        </w:rPr>
        <w:t>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年没有</w:t>
      </w:r>
      <w:r>
        <w:rPr>
          <w:rFonts w:asciiTheme="minorEastAsia" w:eastAsiaTheme="minorEastAsia" w:hAnsiTheme="minorEastAsia" w:hint="eastAsia"/>
          <w:sz w:val="32"/>
          <w:szCs w:val="32"/>
        </w:rPr>
        <w:t>发生因公出国（境）活动。</w:t>
      </w:r>
    </w:p>
    <w:p w:rsidR="00065B80" w:rsidRDefault="009A7EE1">
      <w:pPr>
        <w:pStyle w:val="Default"/>
        <w:ind w:firstLineChars="250" w:firstLine="800"/>
        <w:rPr>
          <w:rFonts w:asciiTheme="minorEastAsia" w:eastAsiaTheme="minorEastAsia" w:hAnsiTheme="minorEastAsia"/>
          <w:color w:val="0000FF"/>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30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9.59</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，完成预算的</w:t>
      </w:r>
      <w:r>
        <w:rPr>
          <w:rFonts w:asciiTheme="minorEastAsia" w:eastAsiaTheme="minorEastAsia" w:hAnsiTheme="minorEastAsia" w:hint="eastAsia"/>
          <w:sz w:val="32"/>
          <w:szCs w:val="32"/>
        </w:rPr>
        <w:t>31.97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，决算数小于预算数的主要原因是厉行节约；公务接待费支出与上年相比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7.06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279.05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的主要原因是</w:t>
      </w:r>
      <w:r>
        <w:rPr>
          <w:rFonts w:asciiTheme="minorEastAsia" w:eastAsiaTheme="minorEastAsia" w:hAnsiTheme="minorEastAsia" w:hint="eastAsia"/>
          <w:color w:val="0000FF"/>
          <w:sz w:val="32"/>
          <w:szCs w:val="32"/>
        </w:rPr>
        <w:t>大要案公务接待费用</w:t>
      </w:r>
      <w:r>
        <w:rPr>
          <w:rFonts w:asciiTheme="minorEastAsia" w:eastAsiaTheme="minorEastAsia" w:hAnsiTheme="minorEastAsia" w:hint="eastAsia"/>
          <w:color w:val="0000FF"/>
          <w:sz w:val="32"/>
          <w:szCs w:val="32"/>
        </w:rPr>
        <w:lastRenderedPageBreak/>
        <w:t>受开庭的影响，结账周期较长。</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68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64.49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94.84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Theme="minorEastAsia" w:eastAsiaTheme="minorEastAsia" w:hAnsiTheme="minorEastAsia" w:hint="eastAsia"/>
          <w:sz w:val="32"/>
          <w:szCs w:val="32"/>
        </w:rPr>
        <w:t>加强对公务用车的管理，严格控制支出</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17</w:t>
      </w:r>
      <w:r>
        <w:rPr>
          <w:rFonts w:asciiTheme="minorEastAsia" w:eastAsiaTheme="minorEastAsia" w:hAnsiTheme="minorEastAsia" w:hint="eastAsia"/>
          <w:sz w:val="32"/>
          <w:szCs w:val="32"/>
        </w:rPr>
        <w:t>万元，下降</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78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减少（增长）的主要原因是通过对公务用车严格管理，厉行勤俭节约，减少支出。</w:t>
      </w:r>
    </w:p>
    <w:p w:rsidR="00065B80" w:rsidRDefault="009A7EE1" w:rsidP="00F02B7A">
      <w:pPr>
        <w:pStyle w:val="Default"/>
        <w:ind w:firstLineChars="147" w:firstLine="472"/>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9.59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12.95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64.49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87.05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065B80" w:rsidRDefault="009A7EE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p>
    <w:p w:rsidR="00065B80" w:rsidRDefault="009A7EE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9.59</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98</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780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主要是调研</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公务活动以</w:t>
      </w:r>
      <w:r>
        <w:rPr>
          <w:rFonts w:asciiTheme="minorEastAsia" w:eastAsiaTheme="minorEastAsia" w:hAnsiTheme="minorEastAsia" w:hint="eastAsia"/>
          <w:sz w:val="32"/>
          <w:szCs w:val="32"/>
        </w:rPr>
        <w:t>及大要案</w:t>
      </w:r>
      <w:r>
        <w:rPr>
          <w:rFonts w:asciiTheme="minorEastAsia" w:eastAsiaTheme="minorEastAsia" w:hAnsiTheme="minorEastAsia" w:hint="eastAsia"/>
          <w:sz w:val="32"/>
          <w:szCs w:val="32"/>
        </w:rPr>
        <w:t>发生的接待支出。</w:t>
      </w:r>
    </w:p>
    <w:p w:rsidR="00065B80" w:rsidRDefault="009A7EE1">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64.49</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64.49</w:t>
      </w:r>
      <w:r>
        <w:rPr>
          <w:rFonts w:asciiTheme="minorEastAsia" w:hAnsiTheme="minorEastAsia" w:hint="eastAsia"/>
          <w:sz w:val="32"/>
          <w:szCs w:val="32"/>
        </w:rPr>
        <w:t>万元，主要是</w:t>
      </w:r>
      <w:r>
        <w:rPr>
          <w:rFonts w:ascii="宋体" w:hAnsi="宋体" w:hint="eastAsia"/>
          <w:sz w:val="32"/>
          <w:szCs w:val="32"/>
        </w:rPr>
        <w:t>车辆燃油及维修等支出</w:t>
      </w:r>
      <w:r>
        <w:rPr>
          <w:rFonts w:asciiTheme="minorEastAsia" w:hAnsiTheme="minorEastAsia" w:hint="eastAsia"/>
          <w:sz w:val="32"/>
          <w:szCs w:val="32"/>
        </w:rPr>
        <w:t>，截</w:t>
      </w:r>
      <w:r>
        <w:rPr>
          <w:rFonts w:asciiTheme="minorEastAsia" w:hAnsiTheme="minorEastAsia" w:hint="eastAsia"/>
          <w:sz w:val="32"/>
          <w:szCs w:val="32"/>
        </w:rPr>
        <w:t>至</w:t>
      </w:r>
      <w:r>
        <w:rPr>
          <w:rFonts w:asciiTheme="minorEastAsia" w:hAnsiTheme="minorEastAsia" w:hint="eastAsia"/>
          <w:sz w:val="32"/>
          <w:szCs w:val="32"/>
        </w:rPr>
        <w:t>202</w:t>
      </w:r>
      <w:r>
        <w:rPr>
          <w:rFonts w:asciiTheme="minorEastAsia" w:hAnsiTheme="minorEastAsia" w:hint="eastAsia"/>
          <w:sz w:val="32"/>
          <w:szCs w:val="32"/>
        </w:rPr>
        <w:t>1</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19</w:t>
      </w:r>
      <w:r>
        <w:rPr>
          <w:rFonts w:asciiTheme="minorEastAsia" w:hAnsiTheme="minorEastAsia" w:hint="eastAsia"/>
          <w:sz w:val="32"/>
          <w:szCs w:val="32"/>
        </w:rPr>
        <w:t>辆</w:t>
      </w:r>
      <w:r w:rsidR="00F02B7A">
        <w:rPr>
          <w:rFonts w:asciiTheme="minorEastAsia" w:hAnsiTheme="minorEastAsia" w:hint="eastAsia"/>
          <w:sz w:val="32"/>
          <w:szCs w:val="32"/>
        </w:rPr>
        <w:t>。2021年我单位未进行公务用车更新。</w:t>
      </w:r>
    </w:p>
    <w:p w:rsidR="00065B80" w:rsidRDefault="009A7EE1" w:rsidP="00F02B7A">
      <w:pPr>
        <w:pStyle w:val="Default"/>
        <w:ind w:firstLineChars="196" w:firstLine="630"/>
        <w:rPr>
          <w:rFonts w:hAnsi="黑体"/>
          <w:b/>
          <w:sz w:val="32"/>
          <w:szCs w:val="32"/>
        </w:rPr>
      </w:pPr>
      <w:r>
        <w:rPr>
          <w:rFonts w:hAnsi="黑体" w:hint="eastAsia"/>
          <w:b/>
          <w:sz w:val="32"/>
          <w:szCs w:val="32"/>
        </w:rPr>
        <w:t>八、政府性基金预算收入支出决算情况</w:t>
      </w:r>
    </w:p>
    <w:p w:rsidR="00065B80" w:rsidRDefault="009A7EE1">
      <w:pPr>
        <w:pStyle w:val="Default"/>
        <w:ind w:firstLine="630"/>
        <w:rPr>
          <w:rFonts w:asciiTheme="minorEastAsia" w:eastAsiaTheme="minorEastAsia" w:hAnsiTheme="minorEastAsia"/>
          <w:sz w:val="32"/>
          <w:szCs w:val="32"/>
        </w:rPr>
      </w:pPr>
      <w:r>
        <w:rPr>
          <w:rFonts w:asciiTheme="minorEastAsia" w:eastAsiaTheme="minorEastAsia" w:hAnsiTheme="minorEastAsia" w:hint="eastAsia"/>
          <w:sz w:val="32"/>
          <w:szCs w:val="32"/>
        </w:rPr>
        <w:t>本单位无政府性基金收支</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政府性基金预算财政拨款收入支出决算表无数据</w:t>
      </w:r>
      <w:r>
        <w:rPr>
          <w:rFonts w:asciiTheme="minorEastAsia" w:eastAsiaTheme="minorEastAsia" w:hAnsiTheme="minorEastAsia" w:hint="eastAsia"/>
          <w:sz w:val="32"/>
          <w:szCs w:val="32"/>
        </w:rPr>
        <w:t>。</w:t>
      </w:r>
    </w:p>
    <w:p w:rsidR="00065B80" w:rsidRDefault="009A7EE1">
      <w:pPr>
        <w:pStyle w:val="Default"/>
        <w:ind w:firstLine="630"/>
        <w:rPr>
          <w:rFonts w:hAnsi="黑体"/>
          <w:b/>
          <w:sz w:val="32"/>
          <w:szCs w:val="32"/>
        </w:rPr>
      </w:pPr>
      <w:r>
        <w:rPr>
          <w:rFonts w:hAnsi="黑体" w:hint="eastAsia"/>
          <w:b/>
          <w:sz w:val="32"/>
          <w:szCs w:val="32"/>
        </w:rPr>
        <w:lastRenderedPageBreak/>
        <w:t>九、关于机关运行经费支出说明</w:t>
      </w:r>
    </w:p>
    <w:p w:rsidR="00065B80" w:rsidRDefault="009A7EE1">
      <w:pPr>
        <w:pStyle w:val="Default"/>
        <w:ind w:firstLineChars="200" w:firstLine="640"/>
        <w:rPr>
          <w:rFonts w:ascii="宋体" w:eastAsia="宋体" w:hAnsi="宋体"/>
          <w:color w:val="auto"/>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1174.74</w:t>
      </w:r>
      <w:r>
        <w:rPr>
          <w:rFonts w:asciiTheme="minorEastAsia" w:eastAsiaTheme="minorEastAsia" w:hAnsiTheme="minorEastAsia" w:hint="eastAsia"/>
          <w:sz w:val="32"/>
          <w:szCs w:val="32"/>
        </w:rPr>
        <w:t>万元，比年初预算数减少</w:t>
      </w:r>
      <w:r>
        <w:rPr>
          <w:rFonts w:asciiTheme="minorEastAsia" w:eastAsiaTheme="minorEastAsia" w:hAnsiTheme="minorEastAsia" w:hint="eastAsia"/>
          <w:sz w:val="32"/>
          <w:szCs w:val="32"/>
        </w:rPr>
        <w:t>35.46</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万元，降低</w:t>
      </w:r>
      <w:r>
        <w:rPr>
          <w:rFonts w:asciiTheme="minorEastAsia" w:eastAsiaTheme="minorEastAsia" w:hAnsiTheme="minorEastAsia" w:hint="eastAsia"/>
          <w:sz w:val="32"/>
          <w:szCs w:val="32"/>
        </w:rPr>
        <w:t>3.17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。主要原因是：</w:t>
      </w:r>
      <w:r>
        <w:rPr>
          <w:rFonts w:ascii="宋体" w:eastAsia="宋体" w:hAnsi="宋体" w:hint="eastAsia"/>
          <w:color w:val="auto"/>
          <w:sz w:val="32"/>
          <w:szCs w:val="32"/>
        </w:rPr>
        <w:t>根据财政部门的要求压减一般性支出。</w:t>
      </w:r>
    </w:p>
    <w:p w:rsidR="00065B80" w:rsidRDefault="009A7EE1" w:rsidP="00F02B7A">
      <w:pPr>
        <w:pStyle w:val="Default"/>
        <w:ind w:firstLineChars="196" w:firstLine="630"/>
        <w:rPr>
          <w:rFonts w:hAnsi="黑体"/>
          <w:b/>
          <w:sz w:val="32"/>
          <w:szCs w:val="32"/>
        </w:rPr>
      </w:pPr>
      <w:r>
        <w:rPr>
          <w:rFonts w:hAnsi="黑体" w:hint="eastAsia"/>
          <w:b/>
          <w:sz w:val="32"/>
          <w:szCs w:val="32"/>
        </w:rPr>
        <w:t>十、一般性支出情况</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.68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用于举办或参加各类会议，人数</w:t>
      </w:r>
      <w:r>
        <w:rPr>
          <w:rFonts w:asciiTheme="minorEastAsia" w:eastAsiaTheme="minorEastAsia" w:hAnsiTheme="minorEastAsia" w:hint="eastAsia"/>
          <w:color w:val="auto"/>
          <w:sz w:val="32"/>
          <w:szCs w:val="32"/>
        </w:rPr>
        <w:t>140</w:t>
      </w:r>
      <w:r>
        <w:rPr>
          <w:rFonts w:asciiTheme="minorEastAsia" w:eastAsiaTheme="minorEastAsia" w:hAnsiTheme="minorEastAsia" w:hint="eastAsia"/>
          <w:color w:val="auto"/>
          <w:sz w:val="32"/>
          <w:szCs w:val="32"/>
        </w:rPr>
        <w:t>人，内容</w:t>
      </w:r>
      <w:r>
        <w:rPr>
          <w:rFonts w:asciiTheme="minorEastAsia" w:eastAsiaTheme="minorEastAsia" w:hAnsiTheme="minorEastAsia" w:hint="eastAsia"/>
          <w:color w:val="auto"/>
          <w:sz w:val="32"/>
          <w:szCs w:val="32"/>
        </w:rPr>
        <w:t>为执行工作会议、刑事审判工作会议</w:t>
      </w:r>
      <w:r>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73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用于开展各类培训，人数</w:t>
      </w:r>
      <w:r>
        <w:rPr>
          <w:rFonts w:asciiTheme="minorEastAsia" w:eastAsiaTheme="minorEastAsia" w:hAnsiTheme="minorEastAsia" w:hint="eastAsia"/>
          <w:sz w:val="32"/>
          <w:szCs w:val="32"/>
        </w:rPr>
        <w:t>150</w:t>
      </w:r>
      <w:r>
        <w:rPr>
          <w:rFonts w:asciiTheme="minorEastAsia" w:eastAsiaTheme="minorEastAsia" w:hAnsiTheme="minorEastAsia" w:hint="eastAsia"/>
          <w:sz w:val="32"/>
          <w:szCs w:val="32"/>
        </w:rPr>
        <w:t>人</w:t>
      </w:r>
      <w:r>
        <w:rPr>
          <w:rFonts w:asciiTheme="minorEastAsia" w:eastAsiaTheme="minorEastAsia" w:hAnsiTheme="minorEastAsia" w:hint="eastAsia"/>
          <w:sz w:val="32"/>
          <w:szCs w:val="32"/>
        </w:rPr>
        <w:t>，培训主要内容为司法警察</w:t>
      </w:r>
      <w:r>
        <w:rPr>
          <w:rFonts w:asciiTheme="minorEastAsia" w:eastAsiaTheme="minorEastAsia" w:hAnsiTheme="minorEastAsia" w:hint="eastAsia"/>
          <w:sz w:val="32"/>
          <w:szCs w:val="32"/>
        </w:rPr>
        <w:t>轮训、晋衔培训、新闻宣传写作培训</w:t>
      </w:r>
      <w:r>
        <w:rPr>
          <w:rFonts w:asciiTheme="minorEastAsia" w:eastAsiaTheme="minorEastAsia" w:hAnsiTheme="minorEastAsia" w:hint="eastAsia"/>
          <w:sz w:val="32"/>
          <w:szCs w:val="32"/>
        </w:rPr>
        <w:t>。</w:t>
      </w:r>
    </w:p>
    <w:p w:rsidR="00065B80" w:rsidRDefault="009A7EE1" w:rsidP="00F02B7A">
      <w:pPr>
        <w:pStyle w:val="Default"/>
        <w:ind w:firstLineChars="196" w:firstLine="630"/>
        <w:rPr>
          <w:rFonts w:hAnsi="黑体"/>
          <w:b/>
          <w:sz w:val="32"/>
          <w:szCs w:val="32"/>
        </w:rPr>
      </w:pPr>
      <w:r>
        <w:rPr>
          <w:rFonts w:hAnsi="黑体" w:hint="eastAsia"/>
          <w:b/>
          <w:sz w:val="32"/>
          <w:szCs w:val="32"/>
        </w:rPr>
        <w:t>十一、关于政府采购支出说明</w:t>
      </w:r>
    </w:p>
    <w:p w:rsidR="00065B80" w:rsidRDefault="009A7EE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244.27</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183.39</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60.88</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万元，占授予中小企业合同金额的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65B80" w:rsidRDefault="009A7EE1" w:rsidP="00F02B7A">
      <w:pPr>
        <w:pStyle w:val="Default"/>
        <w:ind w:firstLineChars="196" w:firstLine="630"/>
        <w:rPr>
          <w:rFonts w:hAnsi="黑体"/>
          <w:b/>
          <w:sz w:val="32"/>
          <w:szCs w:val="32"/>
        </w:rPr>
      </w:pPr>
      <w:r>
        <w:rPr>
          <w:rFonts w:hAnsi="黑体" w:hint="eastAsia"/>
          <w:b/>
          <w:sz w:val="32"/>
          <w:szCs w:val="32"/>
        </w:rPr>
        <w:t>十二、关于国有资产占用情况说明</w:t>
      </w:r>
    </w:p>
    <w:p w:rsidR="00065B80" w:rsidRDefault="009A7EE1">
      <w:pPr>
        <w:widowControl/>
        <w:spacing w:line="600" w:lineRule="exact"/>
        <w:ind w:firstLine="66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截至</w:t>
      </w:r>
      <w:r>
        <w:rPr>
          <w:rFonts w:asciiTheme="minorEastAsia" w:hAnsiTheme="minorEastAsia" w:cs="黑体" w:hint="eastAsia"/>
          <w:color w:val="000000"/>
          <w:kern w:val="0"/>
          <w:sz w:val="32"/>
          <w:szCs w:val="32"/>
        </w:rPr>
        <w:t>202</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12</w:t>
      </w:r>
      <w:r>
        <w:rPr>
          <w:rFonts w:asciiTheme="minorEastAsia" w:hAnsiTheme="minorEastAsia" w:cs="黑体" w:hint="eastAsia"/>
          <w:color w:val="000000"/>
          <w:kern w:val="0"/>
          <w:sz w:val="32"/>
          <w:szCs w:val="32"/>
        </w:rPr>
        <w:t>月</w:t>
      </w:r>
      <w:r>
        <w:rPr>
          <w:rFonts w:asciiTheme="minorEastAsia" w:hAnsiTheme="minorEastAsia" w:cs="黑体" w:hint="eastAsia"/>
          <w:color w:val="000000"/>
          <w:kern w:val="0"/>
          <w:sz w:val="32"/>
          <w:szCs w:val="32"/>
        </w:rPr>
        <w:t>31</w:t>
      </w:r>
      <w:r>
        <w:rPr>
          <w:rFonts w:asciiTheme="minorEastAsia" w:hAnsiTheme="minorEastAsia" w:cs="黑体" w:hint="eastAsia"/>
          <w:color w:val="000000"/>
          <w:kern w:val="0"/>
          <w:sz w:val="32"/>
          <w:szCs w:val="32"/>
        </w:rPr>
        <w:t>日，本单位共有车辆</w:t>
      </w:r>
      <w:r>
        <w:rPr>
          <w:rFonts w:asciiTheme="minorEastAsia" w:hAnsiTheme="minorEastAsia" w:cs="黑体" w:hint="eastAsia"/>
          <w:color w:val="000000"/>
          <w:kern w:val="0"/>
          <w:sz w:val="32"/>
          <w:szCs w:val="32"/>
        </w:rPr>
        <w:t>19</w:t>
      </w:r>
      <w:r>
        <w:rPr>
          <w:rFonts w:asciiTheme="minorEastAsia" w:hAnsiTheme="minorEastAsia" w:cs="黑体" w:hint="eastAsia"/>
          <w:color w:val="000000"/>
          <w:kern w:val="0"/>
          <w:sz w:val="32"/>
          <w:szCs w:val="32"/>
        </w:rPr>
        <w:t>辆，</w:t>
      </w:r>
      <w:r>
        <w:rPr>
          <w:rFonts w:asciiTheme="minorEastAsia" w:hAnsiTheme="minorEastAsia" w:cs="黑体"/>
          <w:color w:val="000000"/>
          <w:kern w:val="0"/>
          <w:sz w:val="32"/>
          <w:szCs w:val="32"/>
        </w:rPr>
        <w:t>其中执法执勤用车</w:t>
      </w:r>
      <w:r>
        <w:rPr>
          <w:rFonts w:asciiTheme="minorEastAsia" w:hAnsiTheme="minorEastAsia" w:cs="黑体"/>
          <w:color w:val="000000"/>
          <w:kern w:val="0"/>
          <w:sz w:val="32"/>
          <w:szCs w:val="32"/>
        </w:rPr>
        <w:t>17</w:t>
      </w:r>
      <w:r>
        <w:rPr>
          <w:rFonts w:asciiTheme="minorEastAsia" w:hAnsiTheme="minorEastAsia" w:cs="黑体"/>
          <w:color w:val="000000"/>
          <w:kern w:val="0"/>
          <w:sz w:val="32"/>
          <w:szCs w:val="32"/>
        </w:rPr>
        <w:t>辆，其他按照规定配备的公务用车</w:t>
      </w:r>
      <w:r>
        <w:rPr>
          <w:rFonts w:asciiTheme="minorEastAsia" w:hAnsiTheme="minorEastAsia" w:cs="黑体"/>
          <w:color w:val="000000"/>
          <w:kern w:val="0"/>
          <w:sz w:val="32"/>
          <w:szCs w:val="32"/>
        </w:rPr>
        <w:t>2</w:t>
      </w:r>
      <w:r>
        <w:rPr>
          <w:rFonts w:asciiTheme="minorEastAsia" w:hAnsiTheme="minorEastAsia" w:cs="黑体"/>
          <w:color w:val="000000"/>
          <w:kern w:val="0"/>
          <w:sz w:val="32"/>
          <w:szCs w:val="32"/>
        </w:rPr>
        <w:t>辆；单位价值</w:t>
      </w:r>
      <w:r>
        <w:rPr>
          <w:rFonts w:asciiTheme="minorEastAsia" w:hAnsiTheme="minorEastAsia" w:cs="黑体"/>
          <w:color w:val="000000"/>
          <w:kern w:val="0"/>
          <w:sz w:val="32"/>
          <w:szCs w:val="32"/>
        </w:rPr>
        <w:t>50</w:t>
      </w:r>
      <w:r>
        <w:rPr>
          <w:rFonts w:asciiTheme="minorEastAsia" w:hAnsiTheme="minorEastAsia" w:cs="黑体"/>
          <w:color w:val="000000"/>
          <w:kern w:val="0"/>
          <w:sz w:val="32"/>
          <w:szCs w:val="32"/>
        </w:rPr>
        <w:t>万元以上通用设备</w:t>
      </w:r>
      <w:r>
        <w:rPr>
          <w:rFonts w:asciiTheme="minorEastAsia" w:hAnsiTheme="minorEastAsia" w:cs="黑体" w:hint="eastAsia"/>
          <w:color w:val="000000"/>
          <w:kern w:val="0"/>
          <w:sz w:val="32"/>
          <w:szCs w:val="32"/>
        </w:rPr>
        <w:t>7</w:t>
      </w:r>
      <w:r>
        <w:rPr>
          <w:rFonts w:asciiTheme="minorEastAsia" w:hAnsiTheme="minorEastAsia" w:cs="黑体"/>
          <w:color w:val="000000"/>
          <w:kern w:val="0"/>
          <w:sz w:val="32"/>
          <w:szCs w:val="32"/>
        </w:rPr>
        <w:t>台，单位价值</w:t>
      </w:r>
      <w:r>
        <w:rPr>
          <w:rFonts w:asciiTheme="minorEastAsia" w:hAnsiTheme="minorEastAsia" w:cs="黑体"/>
          <w:color w:val="000000"/>
          <w:kern w:val="0"/>
          <w:sz w:val="32"/>
          <w:szCs w:val="32"/>
        </w:rPr>
        <w:t>100</w:t>
      </w:r>
      <w:r>
        <w:rPr>
          <w:rFonts w:asciiTheme="minorEastAsia" w:hAnsiTheme="minorEastAsia" w:cs="黑体"/>
          <w:color w:val="000000"/>
          <w:kern w:val="0"/>
          <w:sz w:val="32"/>
          <w:szCs w:val="32"/>
        </w:rPr>
        <w:t>万元以上专用设备</w:t>
      </w:r>
      <w:r>
        <w:rPr>
          <w:rFonts w:asciiTheme="minorEastAsia" w:hAnsiTheme="minorEastAsia" w:cs="黑体" w:hint="eastAsia"/>
          <w:color w:val="000000"/>
          <w:kern w:val="0"/>
          <w:sz w:val="32"/>
          <w:szCs w:val="32"/>
        </w:rPr>
        <w:t>0</w:t>
      </w:r>
      <w:r>
        <w:rPr>
          <w:rFonts w:asciiTheme="minorEastAsia" w:hAnsiTheme="minorEastAsia" w:cs="黑体"/>
          <w:color w:val="000000"/>
          <w:kern w:val="0"/>
          <w:sz w:val="32"/>
          <w:szCs w:val="32"/>
        </w:rPr>
        <w:t>台。</w:t>
      </w:r>
    </w:p>
    <w:p w:rsidR="00065B80" w:rsidRDefault="009A7EE1" w:rsidP="00F02B7A">
      <w:pPr>
        <w:pStyle w:val="Default"/>
        <w:ind w:firstLineChars="200" w:firstLine="643"/>
        <w:rPr>
          <w:rFonts w:hAnsi="黑体"/>
          <w:b/>
          <w:sz w:val="32"/>
          <w:szCs w:val="32"/>
        </w:rPr>
      </w:pPr>
      <w:r>
        <w:rPr>
          <w:rFonts w:hAnsi="黑体" w:hint="eastAsia"/>
          <w:b/>
          <w:sz w:val="32"/>
          <w:szCs w:val="32"/>
        </w:rPr>
        <w:t>十三、关于</w:t>
      </w:r>
      <w:r>
        <w:rPr>
          <w:rFonts w:hAnsi="黑体" w:hint="eastAsia"/>
          <w:b/>
          <w:sz w:val="32"/>
          <w:szCs w:val="32"/>
        </w:rPr>
        <w:t>2020</w:t>
      </w:r>
      <w:r>
        <w:rPr>
          <w:rFonts w:hAnsi="黑体" w:hint="eastAsia"/>
          <w:b/>
          <w:sz w:val="32"/>
          <w:szCs w:val="32"/>
        </w:rPr>
        <w:t>年度预算绩效情况的说明</w:t>
      </w:r>
    </w:p>
    <w:p w:rsidR="00065B80" w:rsidRDefault="009A7EE1">
      <w:pPr>
        <w:widowControl/>
        <w:spacing w:line="600" w:lineRule="exact"/>
        <w:ind w:firstLine="66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2021</w:t>
      </w:r>
      <w:r>
        <w:rPr>
          <w:rFonts w:asciiTheme="minorEastAsia" w:hAnsiTheme="minorEastAsia" w:cs="黑体" w:hint="eastAsia"/>
          <w:color w:val="000000"/>
          <w:kern w:val="0"/>
          <w:sz w:val="32"/>
          <w:szCs w:val="32"/>
        </w:rPr>
        <w:t>年，在市委的坚强领导</w:t>
      </w:r>
      <w:r>
        <w:rPr>
          <w:rFonts w:asciiTheme="minorEastAsia" w:hAnsiTheme="minorEastAsia" w:cs="黑体" w:hint="eastAsia"/>
          <w:color w:val="000000"/>
          <w:kern w:val="0"/>
          <w:sz w:val="32"/>
          <w:szCs w:val="32"/>
        </w:rPr>
        <w:t>和省高院精心指导</w:t>
      </w:r>
      <w:r>
        <w:rPr>
          <w:rFonts w:asciiTheme="minorEastAsia" w:hAnsiTheme="minorEastAsia" w:cs="黑体" w:hint="eastAsia"/>
          <w:color w:val="000000"/>
          <w:kern w:val="0"/>
          <w:sz w:val="32"/>
          <w:szCs w:val="32"/>
        </w:rPr>
        <w:t>下，市中院坚持以习近平新时代中国特色社会主义思想为指导，深入贯彻习近平法治思想、习近平总书记对湖南重要讲话重要指示批示精神和中央、省委、市委决策部署，各项工作取得新进展。全市两级法院受理各类案件</w:t>
      </w:r>
      <w:r>
        <w:rPr>
          <w:rFonts w:asciiTheme="minorEastAsia" w:hAnsiTheme="minorEastAsia" w:cs="黑体" w:hint="eastAsia"/>
          <w:color w:val="000000"/>
          <w:kern w:val="0"/>
          <w:sz w:val="32"/>
          <w:szCs w:val="32"/>
        </w:rPr>
        <w:t>54755</w:t>
      </w:r>
      <w:r>
        <w:rPr>
          <w:rFonts w:asciiTheme="minorEastAsia" w:hAnsiTheme="minorEastAsia" w:cs="黑体" w:hint="eastAsia"/>
          <w:color w:val="000000"/>
          <w:kern w:val="0"/>
          <w:sz w:val="32"/>
          <w:szCs w:val="32"/>
        </w:rPr>
        <w:t>件，审（执）结</w:t>
      </w:r>
      <w:r>
        <w:rPr>
          <w:rFonts w:asciiTheme="minorEastAsia" w:hAnsiTheme="minorEastAsia" w:cs="黑体" w:hint="eastAsia"/>
          <w:color w:val="000000"/>
          <w:kern w:val="0"/>
          <w:sz w:val="32"/>
          <w:szCs w:val="32"/>
        </w:rPr>
        <w:t>48330</w:t>
      </w:r>
      <w:r>
        <w:rPr>
          <w:rFonts w:asciiTheme="minorEastAsia" w:hAnsiTheme="minorEastAsia" w:cs="黑体" w:hint="eastAsia"/>
          <w:color w:val="000000"/>
          <w:kern w:val="0"/>
          <w:sz w:val="32"/>
          <w:szCs w:val="32"/>
        </w:rPr>
        <w:t>件，其中，市中院新收各类案件</w:t>
      </w:r>
      <w:r>
        <w:rPr>
          <w:rFonts w:asciiTheme="minorEastAsia" w:hAnsiTheme="minorEastAsia" w:cs="黑体" w:hint="eastAsia"/>
          <w:color w:val="000000"/>
          <w:kern w:val="0"/>
          <w:sz w:val="32"/>
          <w:szCs w:val="32"/>
        </w:rPr>
        <w:t>5355</w:t>
      </w:r>
      <w:r>
        <w:rPr>
          <w:rFonts w:asciiTheme="minorEastAsia" w:hAnsiTheme="minorEastAsia" w:cs="黑体" w:hint="eastAsia"/>
          <w:color w:val="000000"/>
          <w:kern w:val="0"/>
          <w:sz w:val="32"/>
          <w:szCs w:val="32"/>
        </w:rPr>
        <w:t>件，审结</w:t>
      </w:r>
      <w:r>
        <w:rPr>
          <w:rFonts w:asciiTheme="minorEastAsia" w:hAnsiTheme="minorEastAsia" w:cs="黑体" w:hint="eastAsia"/>
          <w:color w:val="000000"/>
          <w:kern w:val="0"/>
          <w:sz w:val="32"/>
          <w:szCs w:val="32"/>
        </w:rPr>
        <w:t>5818</w:t>
      </w:r>
      <w:r>
        <w:rPr>
          <w:rFonts w:asciiTheme="minorEastAsia" w:hAnsiTheme="minorEastAsia" w:cs="黑体" w:hint="eastAsia"/>
          <w:color w:val="000000"/>
          <w:kern w:val="0"/>
          <w:sz w:val="32"/>
          <w:szCs w:val="32"/>
        </w:rPr>
        <w:t>件，结收比</w:t>
      </w:r>
      <w:r>
        <w:rPr>
          <w:rFonts w:asciiTheme="minorEastAsia" w:hAnsiTheme="minorEastAsia" w:cs="黑体" w:hint="eastAsia"/>
          <w:color w:val="000000"/>
          <w:kern w:val="0"/>
          <w:sz w:val="32"/>
          <w:szCs w:val="32"/>
        </w:rPr>
        <w:t>108.65%</w:t>
      </w:r>
      <w:r>
        <w:rPr>
          <w:rFonts w:asciiTheme="minorEastAsia" w:hAnsiTheme="minorEastAsia" w:cs="黑体" w:hint="eastAsia"/>
          <w:color w:val="000000"/>
          <w:kern w:val="0"/>
          <w:sz w:val="32"/>
          <w:szCs w:val="32"/>
        </w:rPr>
        <w:t>。</w:t>
      </w:r>
    </w:p>
    <w:p w:rsidR="00065B80" w:rsidRDefault="00065B80">
      <w:pPr>
        <w:pStyle w:val="Default"/>
        <w:jc w:val="center"/>
        <w:rPr>
          <w:sz w:val="72"/>
          <w:szCs w:val="72"/>
        </w:rPr>
      </w:pPr>
    </w:p>
    <w:p w:rsidR="00065B80" w:rsidRDefault="00065B80">
      <w:pPr>
        <w:pStyle w:val="Default"/>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9A7EE1">
      <w:pPr>
        <w:pStyle w:val="Default"/>
        <w:jc w:val="center"/>
        <w:rPr>
          <w:sz w:val="72"/>
          <w:szCs w:val="72"/>
        </w:rPr>
      </w:pPr>
      <w:r>
        <w:rPr>
          <w:rFonts w:hint="eastAsia"/>
          <w:sz w:val="72"/>
          <w:szCs w:val="72"/>
        </w:rPr>
        <w:t>第四部分</w:t>
      </w:r>
    </w:p>
    <w:p w:rsidR="00065B80" w:rsidRDefault="00065B80">
      <w:pPr>
        <w:jc w:val="center"/>
        <w:rPr>
          <w:rFonts w:ascii="黑体" w:eastAsia="黑体" w:cs="黑体"/>
          <w:color w:val="000000"/>
          <w:kern w:val="0"/>
          <w:sz w:val="70"/>
          <w:szCs w:val="70"/>
        </w:rPr>
      </w:pPr>
    </w:p>
    <w:p w:rsidR="00065B80" w:rsidRDefault="009A7EE1">
      <w:pPr>
        <w:jc w:val="center"/>
        <w:rPr>
          <w:rFonts w:ascii="黑体" w:eastAsia="黑体" w:cs="黑体"/>
          <w:color w:val="000000" w:themeColor="text1"/>
          <w:kern w:val="0"/>
          <w:sz w:val="70"/>
          <w:szCs w:val="70"/>
        </w:rPr>
      </w:pPr>
      <w:r>
        <w:rPr>
          <w:rFonts w:ascii="黑体" w:eastAsia="黑体" w:cs="黑体" w:hint="eastAsia"/>
          <w:color w:val="000000" w:themeColor="text1"/>
          <w:kern w:val="0"/>
          <w:sz w:val="70"/>
          <w:szCs w:val="70"/>
        </w:rPr>
        <w:t>名词解释</w:t>
      </w:r>
    </w:p>
    <w:p w:rsidR="00065B80" w:rsidRDefault="009A7EE1">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065B80" w:rsidRDefault="009A7EE1">
      <w:pPr>
        <w:ind w:firstLineChars="200" w:firstLine="640"/>
        <w:rPr>
          <w:rFonts w:ascii="宋体" w:hAnsi="宋体" w:cs="黑体"/>
          <w:kern w:val="0"/>
          <w:sz w:val="32"/>
          <w:szCs w:val="32"/>
        </w:rPr>
      </w:pPr>
      <w:r>
        <w:rPr>
          <w:rFonts w:ascii="宋体" w:hAnsi="宋体" w:hint="eastAsia"/>
          <w:i/>
          <w:sz w:val="32"/>
          <w:szCs w:val="32"/>
        </w:rPr>
        <w:lastRenderedPageBreak/>
        <w:t>一</w:t>
      </w:r>
      <w:r>
        <w:rPr>
          <w:rFonts w:ascii="宋体" w:hAnsi="宋体" w:cs="黑体" w:hint="eastAsia"/>
          <w:kern w:val="0"/>
          <w:sz w:val="32"/>
          <w:szCs w:val="32"/>
        </w:rPr>
        <w:t>、财政拨款收入：指省级财政部门当年拨付的资金。</w:t>
      </w:r>
      <w:r>
        <w:rPr>
          <w:rFonts w:ascii="宋体" w:hAnsi="宋体" w:cs="黑体" w:hint="eastAsia"/>
          <w:kern w:val="0"/>
          <w:sz w:val="32"/>
          <w:szCs w:val="32"/>
        </w:rPr>
        <w:t> </w:t>
      </w:r>
    </w:p>
    <w:p w:rsidR="00065B80" w:rsidRDefault="009A7EE1">
      <w:pPr>
        <w:pStyle w:val="Default"/>
        <w:ind w:firstLineChars="200" w:firstLine="640"/>
        <w:rPr>
          <w:rFonts w:ascii="宋体" w:eastAsia="宋体" w:hAnsi="宋体"/>
          <w:color w:val="auto"/>
          <w:sz w:val="32"/>
          <w:szCs w:val="32"/>
        </w:rPr>
      </w:pPr>
      <w:r>
        <w:rPr>
          <w:rFonts w:ascii="宋体" w:eastAsiaTheme="minorEastAsia" w:hAnsi="宋体" w:hint="eastAsia"/>
          <w:color w:val="auto"/>
          <w:sz w:val="32"/>
          <w:szCs w:val="32"/>
        </w:rPr>
        <w:t>二、其他收入：</w:t>
      </w:r>
      <w:r>
        <w:rPr>
          <w:rFonts w:ascii="宋体" w:eastAsia="宋体" w:hAnsi="宋体" w:hint="eastAsia"/>
          <w:color w:val="auto"/>
          <w:sz w:val="32"/>
          <w:szCs w:val="32"/>
        </w:rPr>
        <w:t>主要是</w:t>
      </w:r>
      <w:r>
        <w:rPr>
          <w:rFonts w:ascii="宋体" w:eastAsia="宋体" w:hAnsi="宋体" w:hint="eastAsia"/>
          <w:color w:val="auto"/>
          <w:sz w:val="32"/>
          <w:szCs w:val="32"/>
        </w:rPr>
        <w:t>市</w:t>
      </w:r>
      <w:r>
        <w:rPr>
          <w:rFonts w:ascii="宋体" w:eastAsia="宋体" w:hAnsi="宋体" w:hint="eastAsia"/>
          <w:color w:val="auto"/>
          <w:sz w:val="32"/>
          <w:szCs w:val="32"/>
        </w:rPr>
        <w:t>级财政部门当年拨付的资金和利息收入。</w:t>
      </w:r>
      <w:r>
        <w:rPr>
          <w:rFonts w:ascii="宋体" w:eastAsia="宋体" w:hAnsi="宋体"/>
          <w:color w:val="auto"/>
          <w:sz w:val="32"/>
          <w:szCs w:val="32"/>
        </w:rPr>
        <w:t> </w:t>
      </w:r>
    </w:p>
    <w:p w:rsidR="00065B80" w:rsidRDefault="009A7EE1">
      <w:pPr>
        <w:ind w:firstLineChars="200" w:firstLine="640"/>
        <w:rPr>
          <w:rFonts w:ascii="宋体" w:hAnsi="宋体" w:cs="黑体"/>
          <w:kern w:val="0"/>
          <w:sz w:val="32"/>
          <w:szCs w:val="32"/>
        </w:rPr>
      </w:pPr>
      <w:r>
        <w:rPr>
          <w:rFonts w:ascii="宋体" w:hAnsi="宋体" w:cs="黑体" w:hint="eastAsia"/>
          <w:kern w:val="0"/>
          <w:sz w:val="32"/>
          <w:szCs w:val="32"/>
        </w:rPr>
        <w:t>三、年初结转和结余：指以前年度尚未完成、结转到本年按有关规定继续使用的资金。</w:t>
      </w:r>
      <w:r>
        <w:rPr>
          <w:rFonts w:ascii="宋体" w:hAnsi="宋体" w:cs="黑体" w:hint="eastAsia"/>
          <w:kern w:val="0"/>
          <w:sz w:val="32"/>
          <w:szCs w:val="32"/>
        </w:rPr>
        <w:t> </w:t>
      </w:r>
    </w:p>
    <w:p w:rsidR="00065B80" w:rsidRDefault="009A7EE1">
      <w:pPr>
        <w:ind w:firstLineChars="200" w:firstLine="640"/>
        <w:rPr>
          <w:rFonts w:ascii="宋体" w:hAnsi="宋体" w:cs="黑体"/>
          <w:kern w:val="0"/>
          <w:sz w:val="32"/>
          <w:szCs w:val="32"/>
        </w:rPr>
      </w:pPr>
      <w:r>
        <w:rPr>
          <w:rFonts w:ascii="宋体" w:hAnsi="宋体" w:cs="黑体" w:hint="eastAsia"/>
          <w:kern w:val="0"/>
          <w:sz w:val="32"/>
          <w:szCs w:val="32"/>
        </w:rPr>
        <w:t>四、公共安全（类）法院（款）行政运行（项）：指法院行政单位的基本支出。</w:t>
      </w:r>
      <w:r>
        <w:rPr>
          <w:rFonts w:ascii="宋体" w:hAnsi="宋体" w:cs="黑体" w:hint="eastAsia"/>
          <w:kern w:val="0"/>
          <w:sz w:val="32"/>
          <w:szCs w:val="32"/>
        </w:rPr>
        <w:t> </w:t>
      </w:r>
    </w:p>
    <w:p w:rsidR="00065B80" w:rsidRDefault="009A7EE1">
      <w:pPr>
        <w:ind w:firstLineChars="200" w:firstLine="640"/>
        <w:rPr>
          <w:rFonts w:ascii="宋体" w:hAnsi="宋体" w:cs="黑体"/>
          <w:kern w:val="0"/>
          <w:sz w:val="32"/>
          <w:szCs w:val="32"/>
        </w:rPr>
      </w:pPr>
      <w:r>
        <w:rPr>
          <w:rFonts w:ascii="宋体" w:hAnsi="宋体" w:cs="黑体" w:hint="eastAsia"/>
          <w:kern w:val="0"/>
          <w:sz w:val="32"/>
          <w:szCs w:val="32"/>
        </w:rPr>
        <w:t>五、公共安全（类）法院（款）一般行政管理事务（项）：指法院行政单位未单独设置项级科目的其他项目支出。</w:t>
      </w:r>
      <w:r>
        <w:rPr>
          <w:rFonts w:ascii="宋体" w:hAnsi="宋体" w:cs="黑体" w:hint="eastAsia"/>
          <w:kern w:val="0"/>
          <w:sz w:val="32"/>
          <w:szCs w:val="32"/>
        </w:rPr>
        <w:t> </w:t>
      </w:r>
    </w:p>
    <w:p w:rsidR="00065B80" w:rsidRDefault="009A7EE1">
      <w:pPr>
        <w:ind w:firstLineChars="200" w:firstLine="640"/>
        <w:rPr>
          <w:rFonts w:ascii="宋体" w:hAnsi="宋体" w:cs="黑体"/>
          <w:kern w:val="0"/>
          <w:sz w:val="32"/>
          <w:szCs w:val="32"/>
        </w:rPr>
      </w:pPr>
      <w:r>
        <w:rPr>
          <w:rFonts w:ascii="宋体" w:hAnsi="宋体" w:cs="黑体" w:hint="eastAsia"/>
          <w:kern w:val="0"/>
          <w:sz w:val="32"/>
          <w:szCs w:val="32"/>
        </w:rPr>
        <w:t>六、公共安全（类）法院（款）案件审判（项）：指法院对刑事、民事、行政、涉外等案件审判活动的支出。</w:t>
      </w:r>
      <w:r>
        <w:rPr>
          <w:rFonts w:ascii="宋体" w:hAnsi="宋体" w:cs="黑体" w:hint="eastAsia"/>
          <w:kern w:val="0"/>
          <w:sz w:val="32"/>
          <w:szCs w:val="32"/>
        </w:rPr>
        <w:t> </w:t>
      </w:r>
    </w:p>
    <w:p w:rsidR="00065B80" w:rsidRDefault="009A7EE1">
      <w:pPr>
        <w:ind w:firstLineChars="200" w:firstLine="640"/>
        <w:rPr>
          <w:rFonts w:ascii="宋体" w:hAnsi="宋体" w:cs="黑体"/>
          <w:kern w:val="0"/>
          <w:sz w:val="32"/>
          <w:szCs w:val="32"/>
        </w:rPr>
      </w:pPr>
      <w:r>
        <w:rPr>
          <w:rFonts w:ascii="宋体" w:hAnsi="宋体" w:cs="黑体" w:hint="eastAsia"/>
          <w:kern w:val="0"/>
          <w:sz w:val="32"/>
          <w:szCs w:val="32"/>
        </w:rPr>
        <w:t>七、、教育（类）进修及培训（款）培训（项）：指为配合审判业务工作开展，省法院安排的用于培训的支出。</w:t>
      </w:r>
      <w:r>
        <w:rPr>
          <w:rFonts w:ascii="宋体" w:hAnsi="宋体" w:cs="黑体" w:hint="eastAsia"/>
          <w:kern w:val="0"/>
          <w:sz w:val="32"/>
          <w:szCs w:val="32"/>
        </w:rPr>
        <w:t> </w:t>
      </w:r>
    </w:p>
    <w:p w:rsidR="00065B80" w:rsidRDefault="009A7EE1">
      <w:pPr>
        <w:ind w:firstLineChars="200" w:firstLine="640"/>
        <w:rPr>
          <w:rFonts w:ascii="宋体" w:eastAsia="宋体" w:hAnsi="宋体" w:cs="黑体"/>
          <w:color w:val="000000" w:themeColor="text1"/>
          <w:kern w:val="0"/>
          <w:sz w:val="32"/>
          <w:szCs w:val="32"/>
        </w:rPr>
      </w:pPr>
      <w:r>
        <w:rPr>
          <w:rFonts w:ascii="宋体" w:hAnsi="宋体" w:cs="黑体" w:hint="eastAsia"/>
          <w:color w:val="000000" w:themeColor="text1"/>
          <w:kern w:val="0"/>
          <w:sz w:val="32"/>
          <w:szCs w:val="32"/>
        </w:rPr>
        <w:t>八</w:t>
      </w:r>
      <w:r>
        <w:rPr>
          <w:rFonts w:ascii="宋体" w:hAnsi="宋体" w:cs="黑体" w:hint="eastAsia"/>
          <w:color w:val="000000" w:themeColor="text1"/>
          <w:kern w:val="0"/>
          <w:sz w:val="32"/>
          <w:szCs w:val="32"/>
        </w:rPr>
        <w:t>、</w:t>
      </w:r>
      <w:r>
        <w:rPr>
          <w:rFonts w:ascii="宋体" w:eastAsia="宋体" w:hAnsi="宋体" w:hint="eastAsia"/>
          <w:color w:val="000000" w:themeColor="text1"/>
          <w:sz w:val="32"/>
          <w:szCs w:val="32"/>
        </w:rPr>
        <w:t>社会保障和就业（类）行政事业单位养老支出（款）机关事业单位基本养老保险缴费支出（项</w:t>
      </w:r>
      <w:r>
        <w:rPr>
          <w:rFonts w:ascii="宋体" w:eastAsia="宋体" w:hAnsi="宋体" w:hint="eastAsia"/>
          <w:color w:val="000000" w:themeColor="text1"/>
          <w:sz w:val="32"/>
          <w:szCs w:val="32"/>
        </w:rPr>
        <w:t>）：</w:t>
      </w:r>
      <w:r>
        <w:rPr>
          <w:rFonts w:ascii="宋体" w:eastAsia="宋体" w:hAnsi="宋体" w:hint="eastAsia"/>
          <w:color w:val="000000" w:themeColor="text1"/>
          <w:sz w:val="32"/>
          <w:szCs w:val="32"/>
        </w:rPr>
        <w:t>指我院基本养老保险经费。</w:t>
      </w:r>
      <w:r>
        <w:rPr>
          <w:rFonts w:ascii="宋体" w:hAnsi="宋体" w:cs="黑体" w:hint="eastAsia"/>
          <w:color w:val="000000" w:themeColor="text1"/>
          <w:kern w:val="0"/>
          <w:sz w:val="32"/>
          <w:szCs w:val="32"/>
        </w:rPr>
        <w:t> </w:t>
      </w:r>
    </w:p>
    <w:p w:rsidR="00065B80" w:rsidRDefault="009A7EE1">
      <w:pPr>
        <w:ind w:firstLineChars="200" w:firstLine="640"/>
        <w:rPr>
          <w:rFonts w:ascii="宋体" w:hAnsi="宋体" w:cs="黑体"/>
          <w:color w:val="000000" w:themeColor="text1"/>
          <w:kern w:val="0"/>
          <w:sz w:val="32"/>
          <w:szCs w:val="32"/>
        </w:rPr>
      </w:pPr>
      <w:r>
        <w:rPr>
          <w:rFonts w:ascii="宋体" w:hAnsi="宋体" w:cs="黑体" w:hint="eastAsia"/>
          <w:color w:val="000000" w:themeColor="text1"/>
          <w:kern w:val="0"/>
          <w:sz w:val="32"/>
          <w:szCs w:val="32"/>
        </w:rPr>
        <w:t>九</w:t>
      </w:r>
      <w:r>
        <w:rPr>
          <w:rFonts w:ascii="宋体" w:hAnsi="宋体" w:cs="黑体" w:hint="eastAsia"/>
          <w:color w:val="000000" w:themeColor="text1"/>
          <w:kern w:val="0"/>
          <w:sz w:val="32"/>
          <w:szCs w:val="32"/>
        </w:rPr>
        <w:t>、医疗卫生与计划生育（类）医疗保障（款）行政单位医疗（项）：指</w:t>
      </w:r>
      <w:r>
        <w:rPr>
          <w:rFonts w:ascii="宋体" w:hAnsi="宋体" w:cs="黑体" w:hint="eastAsia"/>
          <w:color w:val="000000" w:themeColor="text1"/>
          <w:kern w:val="0"/>
          <w:sz w:val="32"/>
          <w:szCs w:val="32"/>
        </w:rPr>
        <w:t>我院基本医疗保险缴费经费</w:t>
      </w:r>
      <w:r>
        <w:rPr>
          <w:rFonts w:ascii="宋体" w:hAnsi="宋体" w:cs="黑体" w:hint="eastAsia"/>
          <w:color w:val="000000" w:themeColor="text1"/>
          <w:kern w:val="0"/>
          <w:sz w:val="32"/>
          <w:szCs w:val="32"/>
        </w:rPr>
        <w:t>。</w:t>
      </w:r>
      <w:r>
        <w:rPr>
          <w:rFonts w:ascii="宋体" w:hAnsi="宋体" w:cs="黑体" w:hint="eastAsia"/>
          <w:color w:val="000000" w:themeColor="text1"/>
          <w:kern w:val="0"/>
          <w:sz w:val="32"/>
          <w:szCs w:val="32"/>
        </w:rPr>
        <w:t> </w:t>
      </w:r>
    </w:p>
    <w:p w:rsidR="00065B80" w:rsidRDefault="009A7EE1">
      <w:pPr>
        <w:ind w:firstLineChars="200" w:firstLine="640"/>
        <w:rPr>
          <w:rFonts w:ascii="宋体" w:hAnsi="宋体" w:cs="黑体"/>
          <w:kern w:val="0"/>
          <w:sz w:val="32"/>
          <w:szCs w:val="32"/>
        </w:rPr>
      </w:pPr>
      <w:r>
        <w:rPr>
          <w:rFonts w:ascii="宋体" w:hAnsi="宋体" w:cs="黑体" w:hint="eastAsia"/>
          <w:color w:val="000000" w:themeColor="text1"/>
          <w:kern w:val="0"/>
          <w:sz w:val="32"/>
          <w:szCs w:val="32"/>
        </w:rPr>
        <w:t>十、住房保障（类）住房改革（款）住房公积金（项）：指按照《住房公积金管理条例》的规定，由单位</w:t>
      </w:r>
      <w:r>
        <w:rPr>
          <w:rFonts w:ascii="宋体" w:hAnsi="宋体" w:cs="黑体" w:hint="eastAsia"/>
          <w:kern w:val="0"/>
          <w:sz w:val="32"/>
          <w:szCs w:val="32"/>
        </w:rPr>
        <w:t>及其在职职工缴存的长期住房储金。</w:t>
      </w:r>
      <w:r>
        <w:rPr>
          <w:rFonts w:ascii="宋体" w:hAnsi="宋体" w:cs="黑体" w:hint="eastAsia"/>
          <w:kern w:val="0"/>
          <w:sz w:val="32"/>
          <w:szCs w:val="32"/>
        </w:rPr>
        <w:t> </w:t>
      </w:r>
    </w:p>
    <w:p w:rsidR="00065B80" w:rsidRDefault="009A7EE1">
      <w:pPr>
        <w:ind w:firstLineChars="200" w:firstLine="640"/>
        <w:rPr>
          <w:rFonts w:ascii="宋体" w:hAnsi="宋体" w:cs="黑体"/>
          <w:kern w:val="0"/>
          <w:sz w:val="32"/>
          <w:szCs w:val="32"/>
        </w:rPr>
      </w:pPr>
      <w:r>
        <w:rPr>
          <w:rFonts w:ascii="宋体" w:hAnsi="宋体" w:cs="黑体" w:hint="eastAsia"/>
          <w:kern w:val="0"/>
          <w:sz w:val="32"/>
          <w:szCs w:val="32"/>
        </w:rPr>
        <w:lastRenderedPageBreak/>
        <w:t>十</w:t>
      </w:r>
      <w:r>
        <w:rPr>
          <w:rFonts w:ascii="宋体" w:hAnsi="宋体" w:cs="黑体" w:hint="eastAsia"/>
          <w:kern w:val="0"/>
          <w:sz w:val="32"/>
          <w:szCs w:val="32"/>
        </w:rPr>
        <w:t>一</w:t>
      </w:r>
      <w:r>
        <w:rPr>
          <w:rFonts w:ascii="宋体" w:hAnsi="宋体" w:cs="黑体" w:hint="eastAsia"/>
          <w:kern w:val="0"/>
          <w:sz w:val="32"/>
          <w:szCs w:val="32"/>
        </w:rPr>
        <w:t>、年末结转和结余：指本年度或以前年度预算安排、因客观条件发生变化无法按原计划实施，需延迟到以后年度按有关规定继续使用的资金。</w:t>
      </w:r>
      <w:r>
        <w:rPr>
          <w:rFonts w:ascii="宋体" w:hAnsi="宋体" w:cs="黑体" w:hint="eastAsia"/>
          <w:kern w:val="0"/>
          <w:sz w:val="32"/>
          <w:szCs w:val="32"/>
        </w:rPr>
        <w:t>  </w:t>
      </w:r>
    </w:p>
    <w:p w:rsidR="00065B80" w:rsidRDefault="009A7EE1">
      <w:pPr>
        <w:ind w:firstLineChars="200" w:firstLine="640"/>
        <w:rPr>
          <w:rFonts w:ascii="宋体" w:hAnsi="宋体" w:cs="黑体"/>
          <w:kern w:val="0"/>
          <w:sz w:val="32"/>
          <w:szCs w:val="32"/>
        </w:rPr>
      </w:pPr>
      <w:r>
        <w:rPr>
          <w:rFonts w:ascii="宋体" w:hAnsi="宋体" w:cs="黑体" w:hint="eastAsia"/>
          <w:kern w:val="0"/>
          <w:sz w:val="32"/>
          <w:szCs w:val="32"/>
        </w:rPr>
        <w:t>十</w:t>
      </w:r>
      <w:r>
        <w:rPr>
          <w:rFonts w:ascii="宋体" w:hAnsi="宋体" w:cs="黑体" w:hint="eastAsia"/>
          <w:kern w:val="0"/>
          <w:sz w:val="32"/>
          <w:szCs w:val="32"/>
        </w:rPr>
        <w:t>二</w:t>
      </w:r>
      <w:r>
        <w:rPr>
          <w:rFonts w:ascii="宋体" w:hAnsi="宋体" w:cs="黑体" w:hint="eastAsia"/>
          <w:kern w:val="0"/>
          <w:sz w:val="32"/>
          <w:szCs w:val="32"/>
        </w:rPr>
        <w:t>、基本支出：指为保障机构正常运转、完成</w:t>
      </w:r>
      <w:r>
        <w:rPr>
          <w:rFonts w:ascii="宋体" w:hAnsi="宋体" w:cs="黑体" w:hint="eastAsia"/>
          <w:kern w:val="0"/>
          <w:sz w:val="32"/>
          <w:szCs w:val="32"/>
        </w:rPr>
        <w:t>日常工作任务而发生的人员支出和公用支出。</w:t>
      </w:r>
      <w:r>
        <w:rPr>
          <w:rFonts w:ascii="宋体" w:hAnsi="宋体" w:cs="黑体" w:hint="eastAsia"/>
          <w:kern w:val="0"/>
          <w:sz w:val="32"/>
          <w:szCs w:val="32"/>
        </w:rPr>
        <w:t> </w:t>
      </w:r>
    </w:p>
    <w:p w:rsidR="00065B80" w:rsidRDefault="009A7EE1">
      <w:pPr>
        <w:ind w:firstLineChars="200" w:firstLine="640"/>
        <w:rPr>
          <w:rFonts w:ascii="宋体" w:hAnsi="宋体" w:cs="黑体"/>
          <w:kern w:val="0"/>
          <w:sz w:val="32"/>
          <w:szCs w:val="32"/>
        </w:rPr>
      </w:pPr>
      <w:r>
        <w:rPr>
          <w:rFonts w:ascii="宋体" w:hAnsi="宋体" w:cs="黑体" w:hint="eastAsia"/>
          <w:kern w:val="0"/>
          <w:sz w:val="32"/>
          <w:szCs w:val="32"/>
        </w:rPr>
        <w:t>十</w:t>
      </w:r>
      <w:r>
        <w:rPr>
          <w:rFonts w:ascii="宋体" w:hAnsi="宋体" w:cs="黑体" w:hint="eastAsia"/>
          <w:kern w:val="0"/>
          <w:sz w:val="32"/>
          <w:szCs w:val="32"/>
        </w:rPr>
        <w:t>三</w:t>
      </w:r>
      <w:r>
        <w:rPr>
          <w:rFonts w:ascii="宋体" w:hAnsi="宋体" w:cs="黑体" w:hint="eastAsia"/>
          <w:kern w:val="0"/>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宋体" w:hAnsi="宋体" w:cs="黑体" w:hint="eastAsia"/>
          <w:kern w:val="0"/>
          <w:sz w:val="32"/>
          <w:szCs w:val="32"/>
        </w:rPr>
        <w:t> </w:t>
      </w:r>
    </w:p>
    <w:p w:rsidR="00065B80" w:rsidRDefault="009A7EE1">
      <w:pPr>
        <w:ind w:firstLineChars="200" w:firstLine="640"/>
        <w:rPr>
          <w:rFonts w:ascii="宋体" w:hAnsi="宋体" w:cs="黑体"/>
          <w:kern w:val="0"/>
          <w:sz w:val="32"/>
          <w:szCs w:val="32"/>
        </w:rPr>
      </w:pPr>
      <w:r>
        <w:rPr>
          <w:rFonts w:ascii="宋体" w:hAnsi="宋体" w:cs="黑体" w:hint="eastAsia"/>
          <w:kern w:val="0"/>
          <w:sz w:val="32"/>
          <w:szCs w:val="32"/>
        </w:rPr>
        <w:t>十</w:t>
      </w:r>
      <w:r>
        <w:rPr>
          <w:rFonts w:ascii="宋体" w:hAnsi="宋体" w:cs="黑体" w:hint="eastAsia"/>
          <w:kern w:val="0"/>
          <w:sz w:val="32"/>
          <w:szCs w:val="32"/>
        </w:rPr>
        <w:t>四</w:t>
      </w:r>
      <w:r>
        <w:rPr>
          <w:rFonts w:ascii="宋体" w:hAnsi="宋体" w:cs="黑体" w:hint="eastAsia"/>
          <w:kern w:val="0"/>
          <w:sz w:val="32"/>
          <w:szCs w:val="32"/>
        </w:rPr>
        <w:t>、机关运行经费：为保障行政单位（含参照公务员法管理的事业单位）运行</w:t>
      </w:r>
      <w:r>
        <w:rPr>
          <w:rFonts w:ascii="宋体" w:hAnsi="宋体" w:cs="黑体" w:hint="eastAsia"/>
          <w:kern w:val="0"/>
          <w:sz w:val="32"/>
          <w:szCs w:val="32"/>
        </w:rPr>
        <w:t>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65B80" w:rsidRDefault="009A7EE1">
      <w:pPr>
        <w:ind w:firstLineChars="200" w:firstLine="640"/>
        <w:rPr>
          <w:rFonts w:ascii="宋体" w:hAnsi="宋体" w:cs="黑体"/>
          <w:kern w:val="0"/>
          <w:sz w:val="32"/>
          <w:szCs w:val="32"/>
        </w:rPr>
      </w:pPr>
      <w:r>
        <w:rPr>
          <w:rFonts w:ascii="宋体" w:hAnsi="宋体" w:cs="黑体" w:hint="eastAsia"/>
          <w:kern w:val="0"/>
          <w:sz w:val="32"/>
          <w:szCs w:val="32"/>
        </w:rPr>
        <w:t>十</w:t>
      </w:r>
      <w:r>
        <w:rPr>
          <w:rFonts w:ascii="宋体" w:hAnsi="宋体" w:cs="黑体" w:hint="eastAsia"/>
          <w:kern w:val="0"/>
          <w:sz w:val="32"/>
          <w:szCs w:val="32"/>
        </w:rPr>
        <w:t>五</w:t>
      </w:r>
      <w:r>
        <w:rPr>
          <w:rFonts w:ascii="宋体" w:hAnsi="宋体" w:cs="黑体" w:hint="eastAsia"/>
          <w:kern w:val="0"/>
          <w:sz w:val="32"/>
          <w:szCs w:val="32"/>
        </w:rPr>
        <w:t>、项目支出：指在基本支出之外为完成特定行政任务和事业发展目标所发生的支出。</w:t>
      </w: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065B80">
      <w:pPr>
        <w:pStyle w:val="Default"/>
        <w:jc w:val="center"/>
        <w:rPr>
          <w:sz w:val="72"/>
          <w:szCs w:val="72"/>
        </w:rPr>
      </w:pPr>
    </w:p>
    <w:p w:rsidR="00065B80" w:rsidRDefault="009A7EE1">
      <w:pPr>
        <w:pStyle w:val="Default"/>
        <w:jc w:val="center"/>
        <w:rPr>
          <w:sz w:val="72"/>
          <w:szCs w:val="72"/>
        </w:rPr>
      </w:pPr>
      <w:r>
        <w:rPr>
          <w:rFonts w:hint="eastAsia"/>
          <w:sz w:val="72"/>
          <w:szCs w:val="72"/>
        </w:rPr>
        <w:t>第五部分</w:t>
      </w:r>
    </w:p>
    <w:p w:rsidR="00065B80" w:rsidRDefault="00065B80">
      <w:pPr>
        <w:jc w:val="center"/>
        <w:rPr>
          <w:rFonts w:ascii="黑体" w:eastAsia="黑体" w:cs="黑体"/>
          <w:color w:val="000000"/>
          <w:kern w:val="0"/>
          <w:sz w:val="70"/>
          <w:szCs w:val="70"/>
        </w:rPr>
      </w:pPr>
    </w:p>
    <w:p w:rsidR="00065B80" w:rsidRDefault="009A7EE1">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065B80" w:rsidRDefault="009A7EE1">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065B80" w:rsidRDefault="009A7EE1">
      <w:pPr>
        <w:widowControl/>
        <w:jc w:val="center"/>
        <w:rPr>
          <w:rFonts w:ascii="宋体" w:hAnsi="宋体" w:cs="黑体"/>
          <w:b/>
          <w:kern w:val="0"/>
          <w:sz w:val="44"/>
          <w:szCs w:val="44"/>
        </w:rPr>
      </w:pPr>
      <w:r>
        <w:rPr>
          <w:rFonts w:ascii="宋体" w:hAnsi="宋体" w:cs="黑体"/>
          <w:b/>
          <w:kern w:val="0"/>
          <w:sz w:val="44"/>
          <w:szCs w:val="44"/>
        </w:rPr>
        <w:lastRenderedPageBreak/>
        <w:t>202</w:t>
      </w:r>
      <w:r>
        <w:rPr>
          <w:rFonts w:ascii="宋体" w:hAnsi="宋体" w:cs="黑体" w:hint="eastAsia"/>
          <w:b/>
          <w:kern w:val="0"/>
          <w:sz w:val="44"/>
          <w:szCs w:val="44"/>
        </w:rPr>
        <w:t>1</w:t>
      </w:r>
      <w:r>
        <w:rPr>
          <w:rFonts w:ascii="宋体" w:hAnsi="宋体" w:cs="黑体" w:hint="eastAsia"/>
          <w:b/>
          <w:kern w:val="0"/>
          <w:sz w:val="44"/>
          <w:szCs w:val="44"/>
        </w:rPr>
        <w:t>年度湖南省中级人民法院部门整体支出</w:t>
      </w:r>
    </w:p>
    <w:p w:rsidR="00065B80" w:rsidRDefault="009A7EE1">
      <w:pPr>
        <w:widowControl/>
        <w:jc w:val="center"/>
        <w:rPr>
          <w:rFonts w:ascii="宋体" w:cs="黑体"/>
          <w:b/>
          <w:kern w:val="0"/>
          <w:sz w:val="44"/>
          <w:szCs w:val="44"/>
        </w:rPr>
      </w:pPr>
      <w:r>
        <w:rPr>
          <w:rFonts w:ascii="宋体" w:hAnsi="宋体" w:cs="黑体" w:hint="eastAsia"/>
          <w:b/>
          <w:kern w:val="0"/>
          <w:sz w:val="44"/>
          <w:szCs w:val="44"/>
        </w:rPr>
        <w:t>绩效评价报告</w:t>
      </w:r>
    </w:p>
    <w:p w:rsidR="00065B80" w:rsidRDefault="00065B80">
      <w:pPr>
        <w:widowControl/>
        <w:jc w:val="center"/>
        <w:rPr>
          <w:rFonts w:ascii="宋体" w:cs="黑体"/>
          <w:b/>
          <w:kern w:val="0"/>
          <w:sz w:val="36"/>
          <w:szCs w:val="36"/>
        </w:rPr>
      </w:pPr>
    </w:p>
    <w:p w:rsidR="00065B80" w:rsidRDefault="009A7EE1" w:rsidP="00F02B7A">
      <w:pPr>
        <w:widowControl/>
        <w:ind w:firstLineChars="200" w:firstLine="643"/>
        <w:rPr>
          <w:rFonts w:ascii="宋体" w:cs="黑体"/>
          <w:b/>
          <w:kern w:val="0"/>
          <w:sz w:val="32"/>
          <w:szCs w:val="32"/>
        </w:rPr>
      </w:pPr>
      <w:r>
        <w:rPr>
          <w:rFonts w:ascii="宋体" w:cs="黑体" w:hint="eastAsia"/>
          <w:b/>
          <w:kern w:val="0"/>
          <w:sz w:val="32"/>
          <w:szCs w:val="32"/>
        </w:rPr>
        <w:t>一、</w:t>
      </w:r>
      <w:r>
        <w:rPr>
          <w:rFonts w:ascii="黑体" w:eastAsia="黑体" w:hAnsi="黑体" w:cs="黑体" w:hint="eastAsia"/>
          <w:b/>
          <w:kern w:val="0"/>
          <w:sz w:val="32"/>
          <w:szCs w:val="32"/>
        </w:rPr>
        <w:t>部门基本情况</w:t>
      </w:r>
    </w:p>
    <w:p w:rsidR="00065B80" w:rsidRDefault="009A7EE1" w:rsidP="00F02B7A">
      <w:pPr>
        <w:ind w:firstLineChars="200" w:firstLine="643"/>
        <w:jc w:val="left"/>
        <w:rPr>
          <w:rFonts w:ascii="宋体" w:cs="黑体"/>
          <w:b/>
          <w:kern w:val="0"/>
          <w:sz w:val="32"/>
          <w:szCs w:val="32"/>
        </w:rPr>
      </w:pPr>
      <w:r>
        <w:rPr>
          <w:rFonts w:ascii="宋体" w:hAnsi="宋体" w:cs="黑体" w:hint="eastAsia"/>
          <w:b/>
          <w:kern w:val="0"/>
          <w:sz w:val="32"/>
          <w:szCs w:val="32"/>
        </w:rPr>
        <w:t>（一）部门职责职能</w:t>
      </w:r>
    </w:p>
    <w:p w:rsidR="00065B80" w:rsidRDefault="009A7EE1">
      <w:pPr>
        <w:ind w:firstLineChars="200" w:firstLine="640"/>
        <w:rPr>
          <w:rFonts w:ascii="宋体" w:hAnsi="宋体"/>
          <w:sz w:val="32"/>
          <w:szCs w:val="32"/>
        </w:rPr>
      </w:pPr>
      <w:r>
        <w:rPr>
          <w:rFonts w:ascii="宋体" w:hAnsi="宋体" w:hint="eastAsia"/>
          <w:sz w:val="32"/>
          <w:szCs w:val="32"/>
        </w:rPr>
        <w:t>湖南省娄底市中级人民法院是国家的审判机关，在市委、市政府的领导下和上级法院的指导监督下依法独立行使审判权，对市人民代表大会及其常务委员会负责报告工作，并自觉地接受人大的监督开展工作。</w:t>
      </w:r>
    </w:p>
    <w:p w:rsidR="00065B80" w:rsidRDefault="009A7EE1">
      <w:pPr>
        <w:pStyle w:val="ac"/>
        <w:numPr>
          <w:ilvl w:val="0"/>
          <w:numId w:val="4"/>
        </w:numPr>
        <w:ind w:firstLineChars="0"/>
        <w:jc w:val="left"/>
        <w:rPr>
          <w:rFonts w:ascii="宋体" w:cs="黑体"/>
          <w:b/>
          <w:kern w:val="0"/>
          <w:sz w:val="32"/>
          <w:szCs w:val="32"/>
        </w:rPr>
      </w:pPr>
      <w:r>
        <w:rPr>
          <w:rFonts w:ascii="宋体" w:hAnsi="宋体" w:cs="黑体" w:hint="eastAsia"/>
          <w:b/>
          <w:kern w:val="0"/>
          <w:sz w:val="32"/>
          <w:szCs w:val="32"/>
        </w:rPr>
        <w:t>机构设置情况</w:t>
      </w:r>
    </w:p>
    <w:p w:rsidR="00065B80" w:rsidRDefault="009A7EE1">
      <w:pPr>
        <w:ind w:firstLineChars="200" w:firstLine="640"/>
        <w:rPr>
          <w:rFonts w:ascii="宋体" w:hAnsi="宋体"/>
          <w:sz w:val="32"/>
          <w:szCs w:val="32"/>
        </w:rPr>
      </w:pPr>
      <w:r>
        <w:rPr>
          <w:rFonts w:ascii="宋体" w:hAnsi="宋体" w:hint="eastAsia"/>
          <w:sz w:val="32"/>
          <w:szCs w:val="32"/>
        </w:rPr>
        <w:t>根据上述职责，本院机关设</w:t>
      </w:r>
      <w:r>
        <w:rPr>
          <w:rFonts w:ascii="宋体" w:hAnsi="宋体" w:hint="eastAsia"/>
          <w:sz w:val="32"/>
          <w:szCs w:val="32"/>
        </w:rPr>
        <w:t>25</w:t>
      </w:r>
      <w:r>
        <w:rPr>
          <w:rFonts w:ascii="宋体" w:hAnsi="宋体" w:hint="eastAsia"/>
          <w:sz w:val="32"/>
          <w:szCs w:val="32"/>
        </w:rPr>
        <w:t>个职能庭、队、科、室、部。具体有：办公室、政治部、立案信访局、刑事审判第一庭、刑事审判第二庭、民事审判第一庭、民事审判第二庭、民事审判第三庭、行政审判庭、审判监督庭、执行局、司法警察支队、研究室、司法行政装备管理科、司法技术室、审管办、书记员管理科、刑事审判第三庭、安全保卫科、未成年人</w:t>
      </w:r>
      <w:r>
        <w:rPr>
          <w:rFonts w:ascii="宋体" w:hAnsi="宋体" w:hint="eastAsia"/>
          <w:sz w:val="32"/>
          <w:szCs w:val="32"/>
        </w:rPr>
        <w:t>案件综合审判庭、机关党委、民四庭、国家赔偿委员会、新闻信息网络科、法官培训中心。</w:t>
      </w:r>
    </w:p>
    <w:p w:rsidR="00065B80" w:rsidRDefault="009A7EE1">
      <w:pPr>
        <w:numPr>
          <w:ilvl w:val="0"/>
          <w:numId w:val="5"/>
        </w:numPr>
        <w:ind w:firstLine="640"/>
        <w:jc w:val="left"/>
        <w:rPr>
          <w:rFonts w:ascii="宋体" w:cs="黑体"/>
          <w:b/>
          <w:kern w:val="0"/>
          <w:sz w:val="32"/>
          <w:szCs w:val="32"/>
        </w:rPr>
      </w:pPr>
      <w:r>
        <w:rPr>
          <w:rFonts w:ascii="宋体" w:hAnsi="宋体" w:cs="黑体" w:hint="eastAsia"/>
          <w:b/>
          <w:kern w:val="0"/>
          <w:sz w:val="32"/>
          <w:szCs w:val="32"/>
        </w:rPr>
        <w:t>人员编制情况</w:t>
      </w:r>
    </w:p>
    <w:p w:rsidR="00065B80" w:rsidRDefault="009A7EE1">
      <w:pPr>
        <w:ind w:firstLineChars="200" w:firstLine="640"/>
        <w:jc w:val="left"/>
        <w:rPr>
          <w:rFonts w:ascii="宋体" w:hAnsi="宋体"/>
          <w:sz w:val="32"/>
          <w:szCs w:val="32"/>
        </w:rPr>
      </w:pPr>
      <w:r>
        <w:rPr>
          <w:rFonts w:ascii="宋体" w:hAnsi="宋体" w:hint="eastAsia"/>
          <w:sz w:val="32"/>
          <w:szCs w:val="32"/>
        </w:rPr>
        <w:t>我院共有政法专项编制</w:t>
      </w:r>
      <w:r>
        <w:rPr>
          <w:rFonts w:ascii="宋体" w:hAnsi="宋体" w:hint="eastAsia"/>
          <w:sz w:val="32"/>
          <w:szCs w:val="32"/>
        </w:rPr>
        <w:t>17</w:t>
      </w:r>
      <w:r>
        <w:rPr>
          <w:rFonts w:ascii="宋体" w:hAnsi="宋体" w:hint="eastAsia"/>
          <w:sz w:val="32"/>
          <w:szCs w:val="32"/>
        </w:rPr>
        <w:t>4</w:t>
      </w:r>
      <w:r>
        <w:rPr>
          <w:rFonts w:ascii="宋体" w:hAnsi="宋体" w:hint="eastAsia"/>
          <w:sz w:val="32"/>
          <w:szCs w:val="32"/>
        </w:rPr>
        <w:t>名</w:t>
      </w:r>
      <w:r>
        <w:rPr>
          <w:rFonts w:ascii="宋体" w:hAnsi="宋体" w:hint="eastAsia"/>
          <w:sz w:val="32"/>
          <w:szCs w:val="32"/>
        </w:rPr>
        <w:t>，</w:t>
      </w:r>
      <w:r>
        <w:rPr>
          <w:rFonts w:ascii="宋体" w:hAnsi="宋体" w:hint="eastAsia"/>
          <w:sz w:val="32"/>
          <w:szCs w:val="32"/>
        </w:rPr>
        <w:t>事业编制</w:t>
      </w:r>
      <w:r>
        <w:rPr>
          <w:rFonts w:ascii="宋体" w:hAnsi="宋体" w:hint="eastAsia"/>
          <w:sz w:val="32"/>
          <w:szCs w:val="32"/>
        </w:rPr>
        <w:t>5</w:t>
      </w:r>
      <w:r>
        <w:rPr>
          <w:rFonts w:ascii="宋体" w:hAnsi="宋体" w:hint="eastAsia"/>
          <w:sz w:val="32"/>
          <w:szCs w:val="32"/>
        </w:rPr>
        <w:t>人</w:t>
      </w:r>
      <w:r>
        <w:rPr>
          <w:rFonts w:ascii="宋体" w:hAnsi="宋体" w:hint="eastAsia"/>
          <w:sz w:val="32"/>
          <w:szCs w:val="32"/>
        </w:rPr>
        <w:t>。年末实有在职人数</w:t>
      </w:r>
      <w:r>
        <w:rPr>
          <w:rFonts w:ascii="宋体" w:hAnsi="宋体" w:hint="eastAsia"/>
          <w:sz w:val="32"/>
          <w:szCs w:val="32"/>
        </w:rPr>
        <w:t>政法专项编制</w:t>
      </w:r>
      <w:r>
        <w:rPr>
          <w:rFonts w:ascii="宋体" w:hAnsi="宋体" w:hint="eastAsia"/>
          <w:sz w:val="32"/>
          <w:szCs w:val="32"/>
        </w:rPr>
        <w:t>1</w:t>
      </w:r>
      <w:r>
        <w:rPr>
          <w:rFonts w:ascii="宋体" w:hAnsi="宋体" w:hint="eastAsia"/>
          <w:sz w:val="32"/>
          <w:szCs w:val="32"/>
        </w:rPr>
        <w:t>64</w:t>
      </w:r>
      <w:r>
        <w:rPr>
          <w:rFonts w:ascii="宋体" w:hAnsi="宋体" w:hint="eastAsia"/>
          <w:sz w:val="32"/>
          <w:szCs w:val="32"/>
        </w:rPr>
        <w:t>人，</w:t>
      </w:r>
      <w:r>
        <w:rPr>
          <w:rFonts w:ascii="宋体" w:hAnsi="宋体" w:hint="eastAsia"/>
          <w:sz w:val="32"/>
          <w:szCs w:val="32"/>
        </w:rPr>
        <w:t>事业编制</w:t>
      </w:r>
      <w:r>
        <w:rPr>
          <w:rFonts w:ascii="宋体" w:hAnsi="宋体" w:hint="eastAsia"/>
          <w:sz w:val="32"/>
          <w:szCs w:val="32"/>
        </w:rPr>
        <w:t>2</w:t>
      </w:r>
      <w:r>
        <w:rPr>
          <w:rFonts w:ascii="宋体" w:hAnsi="宋体" w:hint="eastAsia"/>
          <w:sz w:val="32"/>
          <w:szCs w:val="32"/>
        </w:rPr>
        <w:t>人，</w:t>
      </w:r>
      <w:r>
        <w:rPr>
          <w:rFonts w:ascii="宋体" w:hAnsi="宋体" w:hint="eastAsia"/>
          <w:sz w:val="32"/>
          <w:szCs w:val="32"/>
        </w:rPr>
        <w:lastRenderedPageBreak/>
        <w:t>退休人员</w:t>
      </w:r>
      <w:r>
        <w:rPr>
          <w:rFonts w:ascii="宋体" w:hAnsi="宋体" w:hint="eastAsia"/>
          <w:sz w:val="32"/>
          <w:szCs w:val="32"/>
        </w:rPr>
        <w:t>8</w:t>
      </w:r>
      <w:r>
        <w:rPr>
          <w:rFonts w:ascii="宋体" w:hAnsi="宋体" w:hint="eastAsia"/>
          <w:sz w:val="32"/>
          <w:szCs w:val="32"/>
        </w:rPr>
        <w:t>9</w:t>
      </w:r>
      <w:r>
        <w:rPr>
          <w:rFonts w:ascii="宋体" w:hAnsi="宋体" w:hint="eastAsia"/>
          <w:sz w:val="32"/>
          <w:szCs w:val="32"/>
        </w:rPr>
        <w:t>人，合计</w:t>
      </w:r>
      <w:r>
        <w:rPr>
          <w:rFonts w:ascii="宋体" w:hAnsi="宋体" w:hint="eastAsia"/>
          <w:sz w:val="32"/>
          <w:szCs w:val="32"/>
        </w:rPr>
        <w:t>2</w:t>
      </w:r>
      <w:r>
        <w:rPr>
          <w:rFonts w:ascii="宋体" w:hAnsi="宋体" w:hint="eastAsia"/>
          <w:sz w:val="32"/>
          <w:szCs w:val="32"/>
        </w:rPr>
        <w:t>55</w:t>
      </w:r>
      <w:r>
        <w:rPr>
          <w:rFonts w:ascii="宋体" w:hAnsi="宋体" w:hint="eastAsia"/>
          <w:sz w:val="32"/>
          <w:szCs w:val="32"/>
        </w:rPr>
        <w:t>人。</w:t>
      </w:r>
    </w:p>
    <w:p w:rsidR="00065B80" w:rsidRDefault="009A7EE1" w:rsidP="00F02B7A">
      <w:pPr>
        <w:ind w:firstLineChars="200" w:firstLine="643"/>
        <w:jc w:val="left"/>
        <w:rPr>
          <w:rFonts w:ascii="黑体" w:eastAsia="黑体" w:hAnsi="黑体" w:cs="黑体"/>
          <w:b/>
          <w:kern w:val="0"/>
          <w:sz w:val="32"/>
          <w:szCs w:val="32"/>
        </w:rPr>
      </w:pPr>
      <w:r>
        <w:rPr>
          <w:rFonts w:ascii="黑体" w:eastAsia="黑体" w:hAnsi="黑体" w:cs="黑体" w:hint="eastAsia"/>
          <w:b/>
          <w:kern w:val="0"/>
          <w:sz w:val="32"/>
          <w:szCs w:val="32"/>
        </w:rPr>
        <w:t>二、一般公共预算支出情况</w:t>
      </w:r>
    </w:p>
    <w:p w:rsidR="00065B80" w:rsidRDefault="009A7EE1" w:rsidP="00F02B7A">
      <w:pPr>
        <w:ind w:firstLineChars="200" w:firstLine="643"/>
        <w:jc w:val="left"/>
        <w:rPr>
          <w:rFonts w:ascii="黑体" w:eastAsia="黑体" w:hAnsi="黑体" w:cs="黑体"/>
          <w:b/>
          <w:kern w:val="0"/>
          <w:sz w:val="32"/>
          <w:szCs w:val="32"/>
        </w:rPr>
      </w:pPr>
      <w:r>
        <w:rPr>
          <w:rFonts w:ascii="黑体" w:eastAsia="黑体" w:hAnsi="黑体" w:cs="黑体" w:hint="eastAsia"/>
          <w:b/>
          <w:kern w:val="0"/>
          <w:sz w:val="32"/>
          <w:szCs w:val="32"/>
        </w:rPr>
        <w:t>（一）</w:t>
      </w:r>
      <w:r>
        <w:rPr>
          <w:rFonts w:ascii="黑体" w:eastAsia="黑体" w:hAnsi="黑体" w:cs="黑体"/>
          <w:b/>
          <w:kern w:val="0"/>
          <w:sz w:val="32"/>
          <w:szCs w:val="32"/>
        </w:rPr>
        <w:t>202</w:t>
      </w:r>
      <w:r>
        <w:rPr>
          <w:rFonts w:ascii="黑体" w:eastAsia="黑体" w:hAnsi="黑体" w:cs="黑体" w:hint="eastAsia"/>
          <w:b/>
          <w:kern w:val="0"/>
          <w:sz w:val="32"/>
          <w:szCs w:val="32"/>
        </w:rPr>
        <w:t>1</w:t>
      </w:r>
      <w:r>
        <w:rPr>
          <w:rFonts w:ascii="黑体" w:eastAsia="黑体" w:hAnsi="黑体" w:cs="黑体" w:hint="eastAsia"/>
          <w:b/>
          <w:kern w:val="0"/>
          <w:sz w:val="32"/>
          <w:szCs w:val="32"/>
        </w:rPr>
        <w:t>年部门预算情况</w:t>
      </w:r>
    </w:p>
    <w:p w:rsidR="00065B80" w:rsidRDefault="009A7EE1">
      <w:pPr>
        <w:ind w:firstLineChars="200" w:firstLine="640"/>
        <w:jc w:val="left"/>
        <w:rPr>
          <w:rFonts w:ascii="宋体"/>
          <w:sz w:val="32"/>
          <w:szCs w:val="32"/>
        </w:rPr>
      </w:pPr>
      <w:r>
        <w:rPr>
          <w:rFonts w:ascii="宋体" w:hAnsi="宋体"/>
          <w:sz w:val="32"/>
          <w:szCs w:val="32"/>
        </w:rPr>
        <w:t>202</w:t>
      </w:r>
      <w:r>
        <w:rPr>
          <w:rFonts w:ascii="宋体" w:hAnsi="宋体" w:hint="eastAsia"/>
          <w:sz w:val="32"/>
          <w:szCs w:val="32"/>
        </w:rPr>
        <w:t>1</w:t>
      </w:r>
      <w:r>
        <w:rPr>
          <w:rFonts w:ascii="宋体" w:hAnsi="宋体" w:hint="eastAsia"/>
          <w:sz w:val="32"/>
          <w:szCs w:val="32"/>
        </w:rPr>
        <w:t>年年初预算收入</w:t>
      </w:r>
      <w:r>
        <w:rPr>
          <w:rFonts w:asciiTheme="minorEastAsia" w:hAnsiTheme="minorEastAsia" w:hint="eastAsia"/>
          <w:sz w:val="32"/>
          <w:szCs w:val="32"/>
        </w:rPr>
        <w:t>5887.5</w:t>
      </w:r>
      <w:r>
        <w:rPr>
          <w:rFonts w:asciiTheme="minorEastAsia" w:hAnsiTheme="minorEastAsia" w:hint="eastAsia"/>
          <w:sz w:val="32"/>
          <w:szCs w:val="32"/>
        </w:rPr>
        <w:t>万元，</w:t>
      </w:r>
      <w:r>
        <w:rPr>
          <w:rFonts w:ascii="宋体" w:hAnsi="宋体" w:hint="eastAsia"/>
          <w:sz w:val="32"/>
          <w:szCs w:val="32"/>
        </w:rPr>
        <w:t>上年结转</w:t>
      </w:r>
      <w:r>
        <w:rPr>
          <w:rFonts w:ascii="宋体" w:hAnsi="宋体" w:hint="eastAsia"/>
          <w:sz w:val="32"/>
          <w:szCs w:val="32"/>
        </w:rPr>
        <w:t>445.23</w:t>
      </w:r>
      <w:r>
        <w:rPr>
          <w:rFonts w:ascii="宋体" w:hAnsi="宋体" w:hint="eastAsia"/>
          <w:sz w:val="32"/>
          <w:szCs w:val="32"/>
        </w:rPr>
        <w:t>万元，全年财政拨款收入</w:t>
      </w:r>
      <w:r>
        <w:rPr>
          <w:rFonts w:ascii="宋体" w:hAnsi="宋体" w:hint="eastAsia"/>
          <w:sz w:val="32"/>
          <w:szCs w:val="32"/>
        </w:rPr>
        <w:t>6</w:t>
      </w:r>
      <w:r>
        <w:rPr>
          <w:rFonts w:ascii="宋体" w:hAnsi="宋体" w:hint="eastAsia"/>
          <w:sz w:val="32"/>
          <w:szCs w:val="32"/>
        </w:rPr>
        <w:t>332.73</w:t>
      </w:r>
      <w:r>
        <w:rPr>
          <w:rFonts w:ascii="宋体" w:hAnsi="宋体" w:hint="eastAsia"/>
          <w:sz w:val="32"/>
          <w:szCs w:val="32"/>
        </w:rPr>
        <w:t>万元。其他收入（地方财政拨款收入）</w:t>
      </w:r>
      <w:r>
        <w:rPr>
          <w:rFonts w:ascii="宋体" w:hAnsi="宋体" w:hint="eastAsia"/>
          <w:sz w:val="32"/>
          <w:szCs w:val="32"/>
        </w:rPr>
        <w:t>1244.8</w:t>
      </w:r>
      <w:r>
        <w:rPr>
          <w:rFonts w:ascii="宋体" w:hAnsi="宋体" w:hint="eastAsia"/>
          <w:sz w:val="32"/>
          <w:szCs w:val="32"/>
        </w:rPr>
        <w:t>万元。</w:t>
      </w:r>
    </w:p>
    <w:p w:rsidR="00065B80" w:rsidRDefault="009A7EE1" w:rsidP="00F02B7A">
      <w:pPr>
        <w:pStyle w:val="aa"/>
        <w:widowControl/>
        <w:shd w:val="clear" w:color="auto" w:fill="FFFFFF"/>
        <w:spacing w:beforeAutospacing="0" w:afterAutospacing="0"/>
        <w:ind w:firstLineChars="200" w:firstLine="643"/>
        <w:rPr>
          <w:rFonts w:ascii="宋体" w:cs="微软雅黑"/>
          <w:sz w:val="32"/>
          <w:szCs w:val="32"/>
        </w:rPr>
      </w:pPr>
      <w:r>
        <w:rPr>
          <w:rStyle w:val="ab"/>
          <w:rFonts w:ascii="宋体" w:hAnsi="宋体" w:cs="宋体" w:hint="eastAsia"/>
          <w:bCs/>
          <w:sz w:val="32"/>
          <w:szCs w:val="32"/>
          <w:shd w:val="clear" w:color="auto" w:fill="FFFFFF"/>
        </w:rPr>
        <w:t>（二）</w:t>
      </w:r>
      <w:r>
        <w:rPr>
          <w:rStyle w:val="ab"/>
          <w:rFonts w:ascii="宋体" w:hAnsi="宋体"/>
          <w:bCs/>
          <w:sz w:val="32"/>
          <w:szCs w:val="32"/>
          <w:shd w:val="clear" w:color="auto" w:fill="FFFFFF"/>
        </w:rPr>
        <w:t>202</w:t>
      </w:r>
      <w:r>
        <w:rPr>
          <w:rStyle w:val="ab"/>
          <w:rFonts w:ascii="宋体" w:hAnsi="宋体" w:hint="eastAsia"/>
          <w:bCs/>
          <w:sz w:val="32"/>
          <w:szCs w:val="32"/>
          <w:shd w:val="clear" w:color="auto" w:fill="FFFFFF"/>
        </w:rPr>
        <w:t>1</w:t>
      </w:r>
      <w:r>
        <w:rPr>
          <w:rStyle w:val="ab"/>
          <w:rFonts w:ascii="宋体" w:hAnsi="宋体" w:cs="宋体" w:hint="eastAsia"/>
          <w:bCs/>
          <w:sz w:val="32"/>
          <w:szCs w:val="32"/>
          <w:shd w:val="clear" w:color="auto" w:fill="FFFFFF"/>
        </w:rPr>
        <w:t>年部门决算情况</w:t>
      </w:r>
    </w:p>
    <w:p w:rsidR="00065B80" w:rsidRDefault="009A7EE1">
      <w:pPr>
        <w:ind w:firstLineChars="200" w:firstLine="640"/>
        <w:jc w:val="left"/>
        <w:rPr>
          <w:rFonts w:ascii="宋体"/>
          <w:sz w:val="32"/>
          <w:szCs w:val="32"/>
        </w:rPr>
      </w:pPr>
      <w:r>
        <w:rPr>
          <w:rFonts w:ascii="宋体" w:hAnsi="宋体"/>
          <w:sz w:val="32"/>
          <w:szCs w:val="32"/>
        </w:rPr>
        <w:t>202</w:t>
      </w:r>
      <w:r>
        <w:rPr>
          <w:rFonts w:ascii="宋体" w:hAnsi="宋体" w:hint="eastAsia"/>
          <w:sz w:val="32"/>
          <w:szCs w:val="32"/>
        </w:rPr>
        <w:t>1</w:t>
      </w:r>
      <w:r>
        <w:rPr>
          <w:rFonts w:ascii="宋体" w:hAnsi="宋体" w:hint="eastAsia"/>
          <w:sz w:val="32"/>
          <w:szCs w:val="32"/>
        </w:rPr>
        <w:t>年财政拨款支出</w:t>
      </w:r>
      <w:r>
        <w:rPr>
          <w:rFonts w:ascii="宋体" w:hAnsi="宋体" w:hint="eastAsia"/>
          <w:sz w:val="32"/>
          <w:szCs w:val="32"/>
        </w:rPr>
        <w:t>4792.76</w:t>
      </w:r>
      <w:r>
        <w:rPr>
          <w:rFonts w:ascii="宋体" w:hAnsi="宋体" w:hint="eastAsia"/>
          <w:sz w:val="32"/>
          <w:szCs w:val="32"/>
        </w:rPr>
        <w:t>万元。其中：基本支出</w:t>
      </w:r>
      <w:r>
        <w:rPr>
          <w:rFonts w:ascii="宋体" w:hAnsi="宋体" w:hint="eastAsia"/>
          <w:sz w:val="32"/>
          <w:szCs w:val="32"/>
        </w:rPr>
        <w:t>4209.57</w:t>
      </w:r>
      <w:r>
        <w:rPr>
          <w:rFonts w:ascii="宋体" w:hAnsi="宋体" w:hint="eastAsia"/>
          <w:sz w:val="32"/>
          <w:szCs w:val="32"/>
        </w:rPr>
        <w:t>万元，项目支出</w:t>
      </w:r>
      <w:r>
        <w:rPr>
          <w:rFonts w:ascii="宋体" w:hAnsi="宋体" w:hint="eastAsia"/>
          <w:sz w:val="32"/>
          <w:szCs w:val="32"/>
        </w:rPr>
        <w:t>583.19</w:t>
      </w:r>
      <w:r>
        <w:rPr>
          <w:rFonts w:ascii="宋体" w:hAnsi="宋体" w:hint="eastAsia"/>
          <w:sz w:val="32"/>
          <w:szCs w:val="32"/>
        </w:rPr>
        <w:t>万元。</w:t>
      </w:r>
    </w:p>
    <w:p w:rsidR="00065B80" w:rsidRDefault="009A7EE1" w:rsidP="00F02B7A">
      <w:pPr>
        <w:pStyle w:val="aa"/>
        <w:widowControl/>
        <w:shd w:val="clear" w:color="auto" w:fill="FFFFFF"/>
        <w:spacing w:beforeAutospacing="0" w:afterAutospacing="0"/>
        <w:ind w:firstLineChars="200" w:firstLine="643"/>
        <w:rPr>
          <w:rFonts w:ascii="宋体" w:cs="微软雅黑"/>
          <w:sz w:val="32"/>
          <w:szCs w:val="32"/>
        </w:rPr>
      </w:pPr>
      <w:r>
        <w:rPr>
          <w:rStyle w:val="ab"/>
          <w:rFonts w:ascii="宋体" w:hAnsi="宋体" w:cs="宋体" w:hint="eastAsia"/>
          <w:bCs/>
          <w:sz w:val="32"/>
          <w:szCs w:val="32"/>
          <w:shd w:val="clear" w:color="auto" w:fill="FFFFFF"/>
        </w:rPr>
        <w:t>（三）支出分类情况</w:t>
      </w:r>
    </w:p>
    <w:p w:rsidR="00065B80" w:rsidRDefault="009A7EE1" w:rsidP="00F02B7A">
      <w:pPr>
        <w:pStyle w:val="aa"/>
        <w:widowControl/>
        <w:shd w:val="clear" w:color="auto" w:fill="FFFFFF"/>
        <w:spacing w:beforeAutospacing="0" w:afterAutospacing="0"/>
        <w:ind w:firstLineChars="200" w:firstLine="643"/>
        <w:rPr>
          <w:rFonts w:ascii="宋体" w:cs="微软雅黑"/>
          <w:sz w:val="32"/>
          <w:szCs w:val="32"/>
        </w:rPr>
      </w:pPr>
      <w:r>
        <w:rPr>
          <w:rStyle w:val="ab"/>
          <w:rFonts w:ascii="宋体" w:hAnsi="宋体"/>
          <w:bCs/>
          <w:sz w:val="32"/>
          <w:szCs w:val="32"/>
          <w:shd w:val="clear" w:color="auto" w:fill="FFFFFF"/>
        </w:rPr>
        <w:t>1</w:t>
      </w:r>
      <w:r>
        <w:rPr>
          <w:rFonts w:ascii="宋体" w:hAnsi="宋体" w:cs="仿宋" w:hint="eastAsia"/>
          <w:sz w:val="32"/>
          <w:szCs w:val="32"/>
          <w:shd w:val="clear" w:color="auto" w:fill="FFFFFF"/>
        </w:rPr>
        <w:t>．</w:t>
      </w:r>
      <w:r>
        <w:rPr>
          <w:rStyle w:val="ab"/>
          <w:rFonts w:ascii="宋体" w:hAnsi="宋体" w:cs="仿宋" w:hint="eastAsia"/>
          <w:bCs/>
          <w:sz w:val="32"/>
          <w:szCs w:val="32"/>
          <w:shd w:val="clear" w:color="auto" w:fill="FFFFFF"/>
        </w:rPr>
        <w:t>基本支出</w:t>
      </w:r>
    </w:p>
    <w:p w:rsidR="00065B80" w:rsidRDefault="009A7EE1">
      <w:pPr>
        <w:pStyle w:val="aa"/>
        <w:widowControl/>
        <w:shd w:val="clear" w:color="auto" w:fill="FFFFFF"/>
        <w:spacing w:beforeAutospacing="0" w:afterAutospacing="0"/>
        <w:ind w:firstLineChars="200" w:firstLine="640"/>
        <w:rPr>
          <w:rFonts w:ascii="宋体"/>
          <w:kern w:val="2"/>
          <w:sz w:val="32"/>
          <w:szCs w:val="32"/>
        </w:rPr>
      </w:pPr>
      <w:r>
        <w:rPr>
          <w:rFonts w:ascii="宋体" w:hAnsi="宋体" w:hint="eastAsia"/>
          <w:kern w:val="2"/>
          <w:sz w:val="32"/>
          <w:szCs w:val="32"/>
        </w:rPr>
        <w:t>基本支出是保障机构正常运转、完成日常工作任务而发生的各项支出，包括人员经费支出和公用经费支出。人员经费主要用于在职人员、离退休人员和编外长期聘用人员的工资福利支出和各项社会保险缴费支出以及对个人和家庭补助等支出。公用经费支出主要用于保障机关正常运转的</w:t>
      </w:r>
      <w:r>
        <w:rPr>
          <w:rFonts w:asciiTheme="minorEastAsia" w:eastAsiaTheme="minorEastAsia" w:hAnsiTheme="minorEastAsia" w:hint="eastAsia"/>
          <w:sz w:val="32"/>
          <w:szCs w:val="32"/>
        </w:rPr>
        <w:t>办公费、印刷费、水费、电费、邮电费、物业管理费、差旅费、维修（护）费、租赁费、培训费、公务接待费、劳务费、工会经费、福利费、公务用车运行维护费、其他交通费、其他商品服务支出</w:t>
      </w:r>
      <w:r>
        <w:rPr>
          <w:rFonts w:ascii="宋体" w:hAnsi="宋体" w:hint="eastAsia"/>
          <w:kern w:val="2"/>
          <w:sz w:val="32"/>
          <w:szCs w:val="32"/>
        </w:rPr>
        <w:t>等支出。</w:t>
      </w:r>
      <w:r>
        <w:rPr>
          <w:rFonts w:ascii="宋体" w:hAnsi="宋体"/>
          <w:kern w:val="2"/>
          <w:sz w:val="32"/>
          <w:szCs w:val="32"/>
        </w:rPr>
        <w:t>202</w:t>
      </w:r>
      <w:r>
        <w:rPr>
          <w:rFonts w:ascii="宋体" w:hAnsi="宋体" w:hint="eastAsia"/>
          <w:kern w:val="2"/>
          <w:sz w:val="32"/>
          <w:szCs w:val="32"/>
        </w:rPr>
        <w:t>1</w:t>
      </w:r>
      <w:r>
        <w:rPr>
          <w:rFonts w:ascii="宋体" w:hAnsi="宋体" w:hint="eastAsia"/>
          <w:kern w:val="2"/>
          <w:sz w:val="32"/>
          <w:szCs w:val="32"/>
        </w:rPr>
        <w:t>年基本支出为</w:t>
      </w:r>
      <w:r>
        <w:rPr>
          <w:rFonts w:ascii="宋体" w:hAnsi="宋体" w:hint="eastAsia"/>
          <w:kern w:val="2"/>
          <w:sz w:val="32"/>
          <w:szCs w:val="32"/>
        </w:rPr>
        <w:t>4209.57</w:t>
      </w:r>
      <w:r>
        <w:rPr>
          <w:rFonts w:ascii="宋体" w:hAnsi="宋体" w:hint="eastAsia"/>
          <w:kern w:val="2"/>
          <w:sz w:val="32"/>
          <w:szCs w:val="32"/>
        </w:rPr>
        <w:t>万元，其中主要是：</w:t>
      </w:r>
    </w:p>
    <w:p w:rsidR="00065B80" w:rsidRDefault="009A7EE1">
      <w:pPr>
        <w:pStyle w:val="aa"/>
        <w:widowControl/>
        <w:shd w:val="clear" w:color="auto" w:fill="FFFFFF"/>
        <w:spacing w:beforeAutospacing="0" w:afterAutospacing="0"/>
        <w:ind w:firstLineChars="200" w:firstLine="640"/>
        <w:rPr>
          <w:rFonts w:ascii="宋体"/>
          <w:kern w:val="2"/>
          <w:sz w:val="32"/>
          <w:szCs w:val="32"/>
        </w:rPr>
      </w:pPr>
      <w:r>
        <w:rPr>
          <w:rFonts w:ascii="宋体" w:hAnsi="宋体"/>
          <w:kern w:val="2"/>
          <w:sz w:val="32"/>
          <w:szCs w:val="32"/>
        </w:rPr>
        <w:lastRenderedPageBreak/>
        <w:t>(1)</w:t>
      </w:r>
      <w:r>
        <w:rPr>
          <w:rFonts w:ascii="宋体" w:hAnsi="宋体" w:hint="eastAsia"/>
          <w:kern w:val="2"/>
          <w:sz w:val="32"/>
          <w:szCs w:val="32"/>
        </w:rPr>
        <w:t>工资福利支出</w:t>
      </w:r>
      <w:r>
        <w:rPr>
          <w:rFonts w:ascii="宋体" w:hAnsi="宋体" w:hint="eastAsia"/>
          <w:kern w:val="2"/>
          <w:sz w:val="32"/>
          <w:szCs w:val="32"/>
        </w:rPr>
        <w:t>3005.28</w:t>
      </w:r>
      <w:r>
        <w:rPr>
          <w:rFonts w:ascii="宋体" w:hAnsi="宋体" w:hint="eastAsia"/>
          <w:kern w:val="2"/>
          <w:sz w:val="32"/>
          <w:szCs w:val="32"/>
        </w:rPr>
        <w:t>万元</w:t>
      </w:r>
      <w:r>
        <w:rPr>
          <w:rFonts w:ascii="宋体" w:hAnsi="宋体" w:hint="eastAsia"/>
          <w:kern w:val="2"/>
          <w:sz w:val="32"/>
          <w:szCs w:val="32"/>
        </w:rPr>
        <w:t>，占基本支出的</w:t>
      </w:r>
      <w:r>
        <w:rPr>
          <w:rFonts w:ascii="宋体" w:hAnsi="宋体" w:hint="eastAsia"/>
          <w:kern w:val="2"/>
          <w:sz w:val="32"/>
          <w:szCs w:val="32"/>
        </w:rPr>
        <w:t>71.39</w:t>
      </w:r>
      <w:r>
        <w:rPr>
          <w:rFonts w:ascii="宋体" w:hAnsi="宋体"/>
          <w:kern w:val="2"/>
          <w:sz w:val="32"/>
          <w:szCs w:val="32"/>
        </w:rPr>
        <w:t>%</w:t>
      </w:r>
      <w:r>
        <w:rPr>
          <w:rFonts w:ascii="宋体" w:hAnsi="宋体" w:hint="eastAsia"/>
          <w:kern w:val="2"/>
          <w:sz w:val="32"/>
          <w:szCs w:val="32"/>
        </w:rPr>
        <w:t>，较上年减少</w:t>
      </w:r>
      <w:r>
        <w:rPr>
          <w:rFonts w:ascii="宋体" w:hAnsi="宋体" w:hint="eastAsia"/>
          <w:kern w:val="2"/>
          <w:sz w:val="32"/>
          <w:szCs w:val="32"/>
        </w:rPr>
        <w:t>1.05</w:t>
      </w:r>
      <w:r>
        <w:rPr>
          <w:rFonts w:ascii="宋体" w:hAnsi="宋体"/>
          <w:kern w:val="2"/>
          <w:sz w:val="32"/>
          <w:szCs w:val="32"/>
        </w:rPr>
        <w:t>%</w:t>
      </w:r>
      <w:r>
        <w:rPr>
          <w:rFonts w:ascii="宋体" w:hAnsi="宋体" w:hint="eastAsia"/>
          <w:kern w:val="2"/>
          <w:sz w:val="32"/>
          <w:szCs w:val="32"/>
        </w:rPr>
        <w:t>。</w:t>
      </w:r>
      <w:r>
        <w:rPr>
          <w:rFonts w:ascii="宋体" w:hAnsi="宋体" w:hint="eastAsia"/>
          <w:kern w:val="2"/>
          <w:sz w:val="32"/>
          <w:szCs w:val="32"/>
        </w:rPr>
        <w:t>减少</w:t>
      </w:r>
      <w:r>
        <w:rPr>
          <w:rFonts w:ascii="宋体" w:hAnsi="宋体" w:hint="eastAsia"/>
          <w:kern w:val="2"/>
          <w:sz w:val="32"/>
          <w:szCs w:val="32"/>
        </w:rPr>
        <w:t>的主要原因</w:t>
      </w:r>
      <w:r>
        <w:rPr>
          <w:rFonts w:ascii="宋体" w:hAnsi="宋体" w:hint="eastAsia"/>
          <w:kern w:val="2"/>
          <w:sz w:val="32"/>
          <w:szCs w:val="32"/>
        </w:rPr>
        <w:t>受政策影响，人员奖金支出减少。</w:t>
      </w:r>
    </w:p>
    <w:p w:rsidR="00065B80" w:rsidRDefault="009A7EE1">
      <w:pPr>
        <w:pStyle w:val="aa"/>
        <w:widowControl/>
        <w:shd w:val="clear" w:color="auto" w:fill="FFFFFF"/>
        <w:spacing w:beforeAutospacing="0" w:afterAutospacing="0"/>
        <w:ind w:firstLineChars="200" w:firstLine="640"/>
        <w:rPr>
          <w:rFonts w:ascii="宋体"/>
          <w:kern w:val="2"/>
          <w:sz w:val="32"/>
          <w:szCs w:val="32"/>
        </w:rPr>
      </w:pPr>
      <w:r>
        <w:rPr>
          <w:rFonts w:ascii="宋体" w:hAnsi="宋体"/>
          <w:kern w:val="2"/>
          <w:sz w:val="32"/>
          <w:szCs w:val="32"/>
        </w:rPr>
        <w:t>(2)</w:t>
      </w:r>
      <w:r>
        <w:rPr>
          <w:rFonts w:ascii="宋体" w:hAnsi="宋体" w:hint="eastAsia"/>
          <w:kern w:val="2"/>
          <w:sz w:val="32"/>
          <w:szCs w:val="32"/>
        </w:rPr>
        <w:t>商品和服务支出</w:t>
      </w:r>
      <w:r>
        <w:rPr>
          <w:rFonts w:ascii="宋体" w:hAnsi="宋体" w:hint="eastAsia"/>
          <w:kern w:val="2"/>
          <w:sz w:val="32"/>
          <w:szCs w:val="32"/>
        </w:rPr>
        <w:t>1174.74</w:t>
      </w:r>
      <w:r>
        <w:rPr>
          <w:rFonts w:ascii="宋体" w:hAnsi="宋体" w:hint="eastAsia"/>
          <w:kern w:val="2"/>
          <w:sz w:val="32"/>
          <w:szCs w:val="32"/>
        </w:rPr>
        <w:t>万元</w:t>
      </w:r>
      <w:r>
        <w:rPr>
          <w:rFonts w:ascii="宋体" w:hAnsi="宋体"/>
          <w:kern w:val="2"/>
          <w:sz w:val="32"/>
          <w:szCs w:val="32"/>
        </w:rPr>
        <w:t>940.38</w:t>
      </w:r>
      <w:r>
        <w:rPr>
          <w:rFonts w:ascii="宋体" w:hAnsi="宋体" w:hint="eastAsia"/>
          <w:kern w:val="2"/>
          <w:sz w:val="32"/>
          <w:szCs w:val="32"/>
        </w:rPr>
        <w:t>万元，占基本支出的</w:t>
      </w:r>
      <w:r>
        <w:rPr>
          <w:rFonts w:ascii="宋体" w:hAnsi="宋体" w:hint="eastAsia"/>
          <w:kern w:val="2"/>
          <w:sz w:val="32"/>
          <w:szCs w:val="32"/>
        </w:rPr>
        <w:t>27.91</w:t>
      </w:r>
      <w:r>
        <w:rPr>
          <w:rFonts w:ascii="宋体" w:hAnsi="宋体"/>
          <w:kern w:val="2"/>
          <w:sz w:val="32"/>
          <w:szCs w:val="32"/>
        </w:rPr>
        <w:t>%</w:t>
      </w:r>
      <w:r>
        <w:rPr>
          <w:rFonts w:ascii="宋体" w:hAnsi="宋体" w:hint="eastAsia"/>
          <w:kern w:val="2"/>
          <w:sz w:val="32"/>
          <w:szCs w:val="32"/>
        </w:rPr>
        <w:t>，较上年</w:t>
      </w:r>
      <w:r>
        <w:rPr>
          <w:rFonts w:ascii="宋体" w:hAnsi="宋体" w:hint="eastAsia"/>
          <w:kern w:val="2"/>
          <w:sz w:val="32"/>
          <w:szCs w:val="32"/>
        </w:rPr>
        <w:t>增加</w:t>
      </w:r>
      <w:r>
        <w:rPr>
          <w:rFonts w:ascii="宋体" w:hAnsi="宋体" w:hint="eastAsia"/>
          <w:kern w:val="2"/>
          <w:sz w:val="32"/>
          <w:szCs w:val="32"/>
        </w:rPr>
        <w:t>24.92</w:t>
      </w:r>
      <w:r>
        <w:rPr>
          <w:rFonts w:ascii="宋体" w:hAnsi="宋体"/>
          <w:kern w:val="2"/>
          <w:sz w:val="32"/>
          <w:szCs w:val="32"/>
        </w:rPr>
        <w:t>%</w:t>
      </w:r>
      <w:r>
        <w:rPr>
          <w:rFonts w:ascii="宋体" w:hAnsi="宋体" w:hint="eastAsia"/>
          <w:kern w:val="2"/>
          <w:sz w:val="32"/>
          <w:szCs w:val="32"/>
        </w:rPr>
        <w:t>。</w:t>
      </w:r>
      <w:r>
        <w:rPr>
          <w:rFonts w:ascii="宋体" w:hAnsi="宋体" w:hint="eastAsia"/>
          <w:kern w:val="2"/>
          <w:sz w:val="32"/>
          <w:szCs w:val="32"/>
        </w:rPr>
        <w:t>增加</w:t>
      </w:r>
      <w:r>
        <w:rPr>
          <w:rFonts w:ascii="宋体" w:hAnsi="宋体" w:hint="eastAsia"/>
          <w:kern w:val="2"/>
          <w:sz w:val="32"/>
          <w:szCs w:val="32"/>
        </w:rPr>
        <w:t>的主要原因是</w:t>
      </w:r>
      <w:r>
        <w:rPr>
          <w:rFonts w:ascii="宋体" w:hAnsi="宋体" w:hint="eastAsia"/>
          <w:kern w:val="2"/>
          <w:sz w:val="32"/>
          <w:szCs w:val="32"/>
        </w:rPr>
        <w:t>物价上涨导致相关费用支出</w:t>
      </w:r>
      <w:r>
        <w:rPr>
          <w:rFonts w:ascii="宋体" w:hAnsi="宋体" w:hint="eastAsia"/>
          <w:kern w:val="2"/>
          <w:sz w:val="32"/>
          <w:szCs w:val="32"/>
        </w:rPr>
        <w:t>增加。</w:t>
      </w:r>
    </w:p>
    <w:p w:rsidR="00065B80" w:rsidRDefault="009A7EE1">
      <w:pPr>
        <w:pStyle w:val="aa"/>
        <w:widowControl/>
        <w:shd w:val="clear" w:color="auto" w:fill="FFFFFF"/>
        <w:spacing w:beforeAutospacing="0" w:afterAutospacing="0"/>
        <w:ind w:firstLineChars="200" w:firstLine="640"/>
        <w:rPr>
          <w:rFonts w:ascii="宋体"/>
          <w:kern w:val="2"/>
          <w:sz w:val="32"/>
          <w:szCs w:val="32"/>
        </w:rPr>
      </w:pPr>
      <w:r>
        <w:rPr>
          <w:rFonts w:ascii="宋体" w:hAnsi="宋体"/>
          <w:kern w:val="2"/>
          <w:sz w:val="32"/>
          <w:szCs w:val="32"/>
        </w:rPr>
        <w:t xml:space="preserve"> (3)</w:t>
      </w:r>
      <w:r>
        <w:rPr>
          <w:rFonts w:ascii="宋体" w:hAnsi="宋体" w:hint="eastAsia"/>
          <w:kern w:val="2"/>
          <w:sz w:val="32"/>
          <w:szCs w:val="32"/>
        </w:rPr>
        <w:t>对个人和家庭补助支出</w:t>
      </w:r>
      <w:r>
        <w:rPr>
          <w:rFonts w:ascii="宋体" w:hAnsi="宋体" w:hint="eastAsia"/>
          <w:kern w:val="2"/>
          <w:sz w:val="32"/>
          <w:szCs w:val="32"/>
        </w:rPr>
        <w:t>29.55</w:t>
      </w:r>
      <w:r>
        <w:rPr>
          <w:rFonts w:ascii="宋体" w:hAnsi="宋体" w:hint="eastAsia"/>
          <w:kern w:val="2"/>
          <w:sz w:val="32"/>
          <w:szCs w:val="32"/>
        </w:rPr>
        <w:t>万元</w:t>
      </w:r>
      <w:r>
        <w:rPr>
          <w:rFonts w:ascii="宋体" w:hAnsi="宋体" w:hint="eastAsia"/>
          <w:kern w:val="2"/>
          <w:sz w:val="32"/>
          <w:szCs w:val="32"/>
        </w:rPr>
        <w:t>，占基本支出的</w:t>
      </w:r>
      <w:r>
        <w:rPr>
          <w:rFonts w:ascii="宋体" w:hAnsi="宋体" w:hint="eastAsia"/>
          <w:kern w:val="2"/>
          <w:sz w:val="32"/>
          <w:szCs w:val="32"/>
        </w:rPr>
        <w:t>0.7</w:t>
      </w:r>
      <w:r>
        <w:rPr>
          <w:rFonts w:ascii="宋体" w:hAnsi="宋体"/>
          <w:kern w:val="2"/>
          <w:sz w:val="32"/>
          <w:szCs w:val="32"/>
        </w:rPr>
        <w:t>%</w:t>
      </w:r>
      <w:r>
        <w:rPr>
          <w:rFonts w:ascii="宋体" w:hAnsi="宋体" w:hint="eastAsia"/>
          <w:kern w:val="2"/>
          <w:sz w:val="32"/>
          <w:szCs w:val="32"/>
        </w:rPr>
        <w:t>，</w:t>
      </w:r>
      <w:r>
        <w:rPr>
          <w:rFonts w:ascii="宋体" w:hAnsi="宋体" w:hint="eastAsia"/>
          <w:kern w:val="2"/>
          <w:sz w:val="32"/>
          <w:szCs w:val="32"/>
        </w:rPr>
        <w:t>较上年增加</w:t>
      </w:r>
      <w:r>
        <w:rPr>
          <w:rFonts w:ascii="宋体" w:hAnsi="宋体" w:hint="eastAsia"/>
          <w:kern w:val="2"/>
          <w:sz w:val="32"/>
          <w:szCs w:val="32"/>
        </w:rPr>
        <w:t>3.53%</w:t>
      </w:r>
      <w:r>
        <w:rPr>
          <w:rFonts w:ascii="宋体" w:hAnsi="宋体" w:hint="eastAsia"/>
          <w:kern w:val="2"/>
          <w:sz w:val="32"/>
          <w:szCs w:val="32"/>
        </w:rPr>
        <w:t>。</w:t>
      </w:r>
    </w:p>
    <w:p w:rsidR="00065B80" w:rsidRDefault="009A7EE1">
      <w:pPr>
        <w:pStyle w:val="aa"/>
        <w:widowControl/>
        <w:shd w:val="clear" w:color="auto" w:fill="FFFFFF"/>
        <w:spacing w:beforeAutospacing="0" w:afterAutospacing="0"/>
        <w:ind w:firstLineChars="200" w:firstLine="640"/>
        <w:rPr>
          <w:rFonts w:ascii="宋体"/>
          <w:kern w:val="2"/>
          <w:sz w:val="32"/>
          <w:szCs w:val="32"/>
        </w:rPr>
      </w:pPr>
      <w:r>
        <w:rPr>
          <w:rFonts w:ascii="宋体" w:hAnsi="宋体"/>
          <w:kern w:val="2"/>
          <w:sz w:val="32"/>
          <w:szCs w:val="32"/>
        </w:rPr>
        <w:t>2</w:t>
      </w:r>
      <w:r>
        <w:rPr>
          <w:rFonts w:ascii="宋体" w:hAnsi="宋体" w:hint="eastAsia"/>
          <w:kern w:val="2"/>
          <w:sz w:val="32"/>
          <w:szCs w:val="32"/>
        </w:rPr>
        <w:t>．项目支出</w:t>
      </w:r>
    </w:p>
    <w:p w:rsidR="00065B80" w:rsidRDefault="009A7EE1">
      <w:pPr>
        <w:pStyle w:val="aa"/>
        <w:widowControl/>
        <w:shd w:val="clear" w:color="auto" w:fill="FFFFFF"/>
        <w:spacing w:beforeAutospacing="0" w:afterAutospacing="0"/>
        <w:ind w:firstLineChars="200" w:firstLine="640"/>
        <w:rPr>
          <w:rFonts w:ascii="宋体"/>
          <w:kern w:val="2"/>
          <w:sz w:val="32"/>
          <w:szCs w:val="32"/>
        </w:rPr>
      </w:pPr>
      <w:r>
        <w:rPr>
          <w:rFonts w:ascii="宋体" w:hAnsi="宋体" w:hint="eastAsia"/>
          <w:kern w:val="2"/>
          <w:sz w:val="32"/>
          <w:szCs w:val="32"/>
        </w:rPr>
        <w:t>项目支出包括业务工作专项支出和运行维护专项支出，</w:t>
      </w:r>
      <w:r>
        <w:rPr>
          <w:rFonts w:ascii="宋体" w:hAnsi="宋体"/>
          <w:kern w:val="2"/>
          <w:sz w:val="32"/>
          <w:szCs w:val="32"/>
        </w:rPr>
        <w:t>202</w:t>
      </w:r>
      <w:r>
        <w:rPr>
          <w:rFonts w:ascii="宋体" w:hAnsi="宋体" w:hint="eastAsia"/>
          <w:kern w:val="2"/>
          <w:sz w:val="32"/>
          <w:szCs w:val="32"/>
        </w:rPr>
        <w:t>1</w:t>
      </w:r>
      <w:r>
        <w:rPr>
          <w:rFonts w:ascii="宋体" w:hAnsi="宋体" w:hint="eastAsia"/>
          <w:kern w:val="2"/>
          <w:sz w:val="32"/>
          <w:szCs w:val="32"/>
        </w:rPr>
        <w:t>年项目支出</w:t>
      </w:r>
      <w:r>
        <w:rPr>
          <w:rFonts w:ascii="宋体" w:hAnsi="宋体" w:hint="eastAsia"/>
          <w:kern w:val="2"/>
          <w:sz w:val="32"/>
          <w:szCs w:val="32"/>
        </w:rPr>
        <w:t>583.19</w:t>
      </w:r>
      <w:r>
        <w:rPr>
          <w:rFonts w:ascii="宋体" w:hAnsi="宋体" w:hint="eastAsia"/>
          <w:kern w:val="2"/>
          <w:sz w:val="32"/>
          <w:szCs w:val="32"/>
        </w:rPr>
        <w:t>万元。</w:t>
      </w:r>
      <w:r>
        <w:rPr>
          <w:rFonts w:ascii="宋体"/>
          <w:kern w:val="2"/>
          <w:sz w:val="32"/>
          <w:szCs w:val="32"/>
        </w:rPr>
        <w:t> </w:t>
      </w:r>
    </w:p>
    <w:p w:rsidR="00065B80" w:rsidRDefault="009A7EE1" w:rsidP="00F02B7A">
      <w:pPr>
        <w:pStyle w:val="aa"/>
        <w:widowControl/>
        <w:shd w:val="clear" w:color="auto" w:fill="FFFFFF"/>
        <w:spacing w:beforeAutospacing="0" w:afterAutospacing="0"/>
        <w:ind w:firstLineChars="200" w:firstLine="643"/>
        <w:rPr>
          <w:rFonts w:ascii="宋体"/>
          <w:b/>
          <w:bCs/>
          <w:kern w:val="2"/>
          <w:sz w:val="32"/>
          <w:szCs w:val="32"/>
        </w:rPr>
      </w:pPr>
      <w:r>
        <w:rPr>
          <w:rFonts w:ascii="宋体" w:hAnsi="宋体" w:hint="eastAsia"/>
          <w:b/>
          <w:bCs/>
          <w:kern w:val="2"/>
          <w:sz w:val="32"/>
          <w:szCs w:val="32"/>
        </w:rPr>
        <w:t>（四）“三公”经费情况</w:t>
      </w:r>
    </w:p>
    <w:p w:rsidR="00065B80" w:rsidRDefault="009A7EE1">
      <w:pPr>
        <w:pStyle w:val="aa"/>
        <w:widowControl/>
        <w:shd w:val="clear" w:color="auto" w:fill="FFFFFF"/>
        <w:spacing w:beforeAutospacing="0" w:afterAutospacing="0"/>
        <w:ind w:firstLineChars="200" w:firstLine="640"/>
        <w:rPr>
          <w:rFonts w:ascii="宋体"/>
          <w:kern w:val="2"/>
          <w:sz w:val="32"/>
          <w:szCs w:val="32"/>
        </w:rPr>
      </w:pPr>
      <w:r>
        <w:rPr>
          <w:rFonts w:ascii="宋体" w:hAnsi="宋体"/>
          <w:kern w:val="2"/>
          <w:sz w:val="32"/>
          <w:szCs w:val="32"/>
        </w:rPr>
        <w:t>202</w:t>
      </w:r>
      <w:r>
        <w:rPr>
          <w:rFonts w:ascii="宋体" w:hAnsi="宋体" w:hint="eastAsia"/>
          <w:kern w:val="2"/>
          <w:sz w:val="32"/>
          <w:szCs w:val="32"/>
        </w:rPr>
        <w:t>1</w:t>
      </w:r>
      <w:r>
        <w:rPr>
          <w:rFonts w:ascii="宋体" w:hAnsi="宋体" w:hint="eastAsia"/>
          <w:kern w:val="2"/>
          <w:sz w:val="32"/>
          <w:szCs w:val="32"/>
        </w:rPr>
        <w:t>年“三公”经费年初预算</w:t>
      </w:r>
      <w:r>
        <w:rPr>
          <w:rFonts w:ascii="宋体" w:hAnsi="宋体" w:hint="eastAsia"/>
          <w:kern w:val="2"/>
          <w:sz w:val="32"/>
          <w:szCs w:val="32"/>
        </w:rPr>
        <w:t>98</w:t>
      </w:r>
      <w:r>
        <w:rPr>
          <w:rFonts w:ascii="宋体" w:hAnsi="宋体" w:hint="eastAsia"/>
          <w:kern w:val="2"/>
          <w:sz w:val="32"/>
          <w:szCs w:val="32"/>
        </w:rPr>
        <w:t>万元，</w:t>
      </w:r>
      <w:r>
        <w:rPr>
          <w:rFonts w:ascii="宋体" w:hAnsi="宋体"/>
          <w:kern w:val="2"/>
          <w:sz w:val="32"/>
          <w:szCs w:val="32"/>
        </w:rPr>
        <w:t>2020</w:t>
      </w:r>
      <w:r>
        <w:rPr>
          <w:rFonts w:ascii="宋体" w:hAnsi="宋体" w:hint="eastAsia"/>
          <w:kern w:val="2"/>
          <w:sz w:val="32"/>
          <w:szCs w:val="32"/>
        </w:rPr>
        <w:t>年“三公”经费实际支出合计</w:t>
      </w:r>
      <w:r>
        <w:rPr>
          <w:rFonts w:ascii="宋体" w:hAnsi="宋体" w:hint="eastAsia"/>
          <w:kern w:val="2"/>
          <w:sz w:val="32"/>
          <w:szCs w:val="32"/>
        </w:rPr>
        <w:t>74.08</w:t>
      </w:r>
      <w:r>
        <w:rPr>
          <w:rFonts w:ascii="宋体" w:hAnsi="宋体" w:hint="eastAsia"/>
          <w:kern w:val="2"/>
          <w:sz w:val="32"/>
          <w:szCs w:val="32"/>
        </w:rPr>
        <w:t>万元，比预算节约</w:t>
      </w:r>
      <w:r>
        <w:rPr>
          <w:rFonts w:ascii="宋体" w:hAnsi="宋体" w:hint="eastAsia"/>
          <w:kern w:val="2"/>
          <w:sz w:val="32"/>
          <w:szCs w:val="32"/>
        </w:rPr>
        <w:t>23.92</w:t>
      </w:r>
      <w:r>
        <w:rPr>
          <w:rFonts w:ascii="宋体" w:hAnsi="宋体" w:hint="eastAsia"/>
          <w:kern w:val="2"/>
          <w:sz w:val="32"/>
          <w:szCs w:val="32"/>
        </w:rPr>
        <w:t>万元，主要原因是</w:t>
      </w:r>
      <w:r>
        <w:rPr>
          <w:rFonts w:ascii="宋体" w:hAnsi="宋体" w:hint="eastAsia"/>
          <w:kern w:val="2"/>
          <w:sz w:val="32"/>
          <w:szCs w:val="32"/>
        </w:rPr>
        <w:t>公务接待方面节支较多</w:t>
      </w:r>
      <w:r>
        <w:rPr>
          <w:rFonts w:ascii="宋体" w:hAnsi="宋体" w:hint="eastAsia"/>
          <w:kern w:val="2"/>
          <w:sz w:val="32"/>
          <w:szCs w:val="32"/>
        </w:rPr>
        <w:t>。</w:t>
      </w:r>
    </w:p>
    <w:p w:rsidR="00065B80" w:rsidRDefault="00F02B7A">
      <w:pPr>
        <w:pStyle w:val="aa"/>
        <w:widowControl/>
        <w:shd w:val="clear" w:color="auto" w:fill="FFFFFF"/>
        <w:spacing w:beforeAutospacing="0" w:afterAutospacing="0"/>
        <w:ind w:firstLineChars="200" w:firstLine="640"/>
        <w:rPr>
          <w:rFonts w:ascii="宋体"/>
          <w:kern w:val="2"/>
          <w:sz w:val="32"/>
          <w:szCs w:val="32"/>
        </w:rPr>
      </w:pPr>
      <w:r>
        <w:rPr>
          <w:rFonts w:ascii="宋体" w:hAnsi="宋体" w:hint="eastAsia"/>
          <w:kern w:val="2"/>
          <w:sz w:val="32"/>
          <w:szCs w:val="32"/>
        </w:rPr>
        <w:t>1</w:t>
      </w:r>
      <w:r w:rsidR="009A7EE1">
        <w:rPr>
          <w:rFonts w:ascii="宋体" w:hAnsi="宋体" w:hint="eastAsia"/>
          <w:kern w:val="2"/>
          <w:sz w:val="32"/>
          <w:szCs w:val="32"/>
        </w:rPr>
        <w:t>．公务接待经费年初预算</w:t>
      </w:r>
      <w:r w:rsidR="009A7EE1">
        <w:rPr>
          <w:rFonts w:ascii="宋体" w:hAnsi="宋体" w:hint="eastAsia"/>
          <w:kern w:val="2"/>
          <w:sz w:val="32"/>
          <w:szCs w:val="32"/>
        </w:rPr>
        <w:t>30</w:t>
      </w:r>
      <w:r w:rsidR="009A7EE1">
        <w:rPr>
          <w:rFonts w:ascii="宋体" w:hAnsi="宋体" w:hint="eastAsia"/>
          <w:kern w:val="2"/>
          <w:sz w:val="32"/>
          <w:szCs w:val="32"/>
        </w:rPr>
        <w:t>万元，实际支出</w:t>
      </w:r>
      <w:r w:rsidR="009A7EE1">
        <w:rPr>
          <w:rFonts w:ascii="宋体" w:hAnsi="宋体" w:hint="eastAsia"/>
          <w:kern w:val="2"/>
          <w:sz w:val="32"/>
          <w:szCs w:val="32"/>
        </w:rPr>
        <w:t>9.59</w:t>
      </w:r>
      <w:r w:rsidR="009A7EE1">
        <w:rPr>
          <w:rFonts w:ascii="宋体" w:hAnsi="宋体" w:hint="eastAsia"/>
          <w:kern w:val="2"/>
          <w:sz w:val="32"/>
          <w:szCs w:val="32"/>
        </w:rPr>
        <w:t>万元</w:t>
      </w:r>
      <w:r w:rsidR="009A7EE1">
        <w:rPr>
          <w:rFonts w:ascii="宋体" w:hAnsi="宋体" w:hint="eastAsia"/>
          <w:kern w:val="2"/>
          <w:sz w:val="32"/>
          <w:szCs w:val="32"/>
        </w:rPr>
        <w:t>，</w:t>
      </w:r>
      <w:r w:rsidR="009A7EE1">
        <w:rPr>
          <w:rFonts w:ascii="宋体" w:hAnsi="宋体" w:hint="eastAsia"/>
          <w:kern w:val="2"/>
          <w:sz w:val="32"/>
          <w:szCs w:val="32"/>
        </w:rPr>
        <w:t>比预算节支</w:t>
      </w:r>
      <w:r w:rsidR="009A7EE1">
        <w:rPr>
          <w:rFonts w:ascii="宋体" w:hAnsi="宋体" w:hint="eastAsia"/>
          <w:kern w:val="2"/>
          <w:sz w:val="32"/>
          <w:szCs w:val="32"/>
        </w:rPr>
        <w:t>20.41</w:t>
      </w:r>
      <w:r w:rsidR="009A7EE1">
        <w:rPr>
          <w:rFonts w:ascii="宋体" w:hAnsi="宋体" w:hint="eastAsia"/>
          <w:kern w:val="2"/>
          <w:sz w:val="32"/>
          <w:szCs w:val="32"/>
        </w:rPr>
        <w:t>万元</w:t>
      </w:r>
      <w:r w:rsidR="009A7EE1">
        <w:rPr>
          <w:rFonts w:ascii="宋体" w:hAnsi="宋体" w:hint="eastAsia"/>
          <w:kern w:val="2"/>
          <w:sz w:val="32"/>
          <w:szCs w:val="32"/>
        </w:rPr>
        <w:t>。</w:t>
      </w:r>
    </w:p>
    <w:p w:rsidR="00065B80" w:rsidRDefault="00F02B7A">
      <w:pPr>
        <w:pStyle w:val="aa"/>
        <w:widowControl/>
        <w:shd w:val="clear" w:color="auto" w:fill="FFFFFF"/>
        <w:spacing w:beforeAutospacing="0" w:afterAutospacing="0"/>
        <w:ind w:firstLineChars="200" w:firstLine="640"/>
        <w:rPr>
          <w:rFonts w:ascii="宋体"/>
          <w:kern w:val="2"/>
          <w:sz w:val="32"/>
          <w:szCs w:val="32"/>
        </w:rPr>
      </w:pPr>
      <w:r>
        <w:rPr>
          <w:rFonts w:ascii="宋体" w:hAnsi="宋体" w:hint="eastAsia"/>
          <w:kern w:val="2"/>
          <w:sz w:val="32"/>
          <w:szCs w:val="32"/>
        </w:rPr>
        <w:t>2</w:t>
      </w:r>
      <w:r w:rsidR="009A7EE1">
        <w:rPr>
          <w:rFonts w:ascii="宋体" w:hAnsi="宋体" w:hint="eastAsia"/>
          <w:kern w:val="2"/>
          <w:sz w:val="32"/>
          <w:szCs w:val="32"/>
        </w:rPr>
        <w:t>．公务用车购置及运行维护经费支出年初预算</w:t>
      </w:r>
      <w:r w:rsidR="009A7EE1">
        <w:rPr>
          <w:rFonts w:ascii="宋体" w:hAnsi="宋体" w:hint="eastAsia"/>
          <w:kern w:val="2"/>
          <w:sz w:val="32"/>
          <w:szCs w:val="32"/>
        </w:rPr>
        <w:t>68</w:t>
      </w:r>
      <w:r w:rsidR="009A7EE1">
        <w:rPr>
          <w:rFonts w:ascii="宋体" w:hAnsi="宋体" w:hint="eastAsia"/>
          <w:kern w:val="2"/>
          <w:sz w:val="32"/>
          <w:szCs w:val="32"/>
        </w:rPr>
        <w:t>万元，实际支出</w:t>
      </w:r>
      <w:r w:rsidR="009A7EE1">
        <w:rPr>
          <w:rFonts w:ascii="宋体" w:hAnsi="宋体" w:hint="eastAsia"/>
          <w:kern w:val="2"/>
          <w:sz w:val="32"/>
          <w:szCs w:val="32"/>
        </w:rPr>
        <w:t>64.49</w:t>
      </w:r>
      <w:r w:rsidR="009A7EE1">
        <w:rPr>
          <w:rFonts w:ascii="宋体" w:hAnsi="宋体" w:hint="eastAsia"/>
          <w:kern w:val="2"/>
          <w:sz w:val="32"/>
          <w:szCs w:val="32"/>
        </w:rPr>
        <w:t>万元，支出控制在预算范围内，比预算节约</w:t>
      </w:r>
      <w:r w:rsidR="009A7EE1">
        <w:rPr>
          <w:rFonts w:ascii="宋体" w:hAnsi="宋体" w:hint="eastAsia"/>
          <w:kern w:val="2"/>
          <w:sz w:val="32"/>
          <w:szCs w:val="32"/>
        </w:rPr>
        <w:t>3.51</w:t>
      </w:r>
      <w:r w:rsidR="009A7EE1">
        <w:rPr>
          <w:rFonts w:ascii="宋体" w:hAnsi="宋体" w:hint="eastAsia"/>
          <w:kern w:val="2"/>
          <w:sz w:val="32"/>
          <w:szCs w:val="32"/>
        </w:rPr>
        <w:t>万元。</w:t>
      </w:r>
    </w:p>
    <w:p w:rsidR="00065B80" w:rsidRDefault="009A7EE1" w:rsidP="00F02B7A">
      <w:pPr>
        <w:widowControl/>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三、政府性基金预算支出情况</w:t>
      </w:r>
    </w:p>
    <w:p w:rsidR="00065B80" w:rsidRDefault="009A7EE1">
      <w:pPr>
        <w:pStyle w:val="aa"/>
        <w:widowControl/>
        <w:shd w:val="clear" w:color="auto" w:fill="FFFFFF"/>
        <w:spacing w:beforeAutospacing="0" w:afterAutospacing="0"/>
        <w:ind w:firstLineChars="200" w:firstLine="640"/>
        <w:rPr>
          <w:rFonts w:ascii="宋体"/>
          <w:kern w:val="2"/>
          <w:sz w:val="32"/>
          <w:szCs w:val="32"/>
        </w:rPr>
      </w:pPr>
      <w:r>
        <w:rPr>
          <w:rFonts w:ascii="宋体" w:hAnsi="宋体" w:hint="eastAsia"/>
          <w:kern w:val="2"/>
          <w:sz w:val="32"/>
          <w:szCs w:val="32"/>
        </w:rPr>
        <w:t>无。</w:t>
      </w:r>
      <w:r>
        <w:rPr>
          <w:rFonts w:ascii="黑体" w:eastAsia="黑体" w:hAnsi="宋体" w:cs="黑体" w:hint="eastAsia"/>
          <w:color w:val="000000"/>
          <w:sz w:val="30"/>
          <w:szCs w:val="30"/>
          <w:lang/>
        </w:rPr>
        <w:t>政府性基金预算财政拨款收入支出决算表无数据。</w:t>
      </w:r>
    </w:p>
    <w:p w:rsidR="00065B80" w:rsidRDefault="009A7EE1" w:rsidP="00F02B7A">
      <w:pPr>
        <w:widowControl/>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lastRenderedPageBreak/>
        <w:t>四、国有资本经营预算支出情况</w:t>
      </w:r>
    </w:p>
    <w:p w:rsidR="00065B80" w:rsidRDefault="009A7EE1">
      <w:pPr>
        <w:pStyle w:val="aa"/>
        <w:widowControl/>
        <w:shd w:val="clear" w:color="auto" w:fill="FFFFFF"/>
        <w:spacing w:beforeAutospacing="0" w:afterAutospacing="0"/>
        <w:ind w:firstLineChars="200" w:firstLine="640"/>
        <w:rPr>
          <w:rFonts w:ascii="宋体"/>
          <w:kern w:val="2"/>
          <w:sz w:val="32"/>
          <w:szCs w:val="32"/>
        </w:rPr>
      </w:pPr>
      <w:r>
        <w:rPr>
          <w:rFonts w:ascii="宋体" w:hAnsi="宋体" w:hint="eastAsia"/>
          <w:kern w:val="2"/>
          <w:sz w:val="32"/>
          <w:szCs w:val="32"/>
        </w:rPr>
        <w:t>无。</w:t>
      </w:r>
      <w:r>
        <w:rPr>
          <w:rFonts w:ascii="黑体" w:eastAsia="黑体" w:hAnsi="宋体" w:cs="黑体" w:hint="eastAsia"/>
          <w:color w:val="000000"/>
          <w:sz w:val="30"/>
          <w:szCs w:val="30"/>
          <w:lang/>
        </w:rPr>
        <w:t>国有资本经营预算财政拨款支出决算表无数据。</w:t>
      </w:r>
    </w:p>
    <w:p w:rsidR="00065B80" w:rsidRDefault="009A7EE1" w:rsidP="00F02B7A">
      <w:pPr>
        <w:widowControl/>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五、社会保险基金预算支出情况</w:t>
      </w:r>
    </w:p>
    <w:p w:rsidR="00065B80" w:rsidRDefault="009A7EE1">
      <w:pPr>
        <w:pStyle w:val="aa"/>
        <w:widowControl/>
        <w:shd w:val="clear" w:color="auto" w:fill="FFFFFF"/>
        <w:spacing w:beforeAutospacing="0" w:afterAutospacing="0"/>
        <w:ind w:firstLineChars="200" w:firstLine="640"/>
        <w:rPr>
          <w:rFonts w:ascii="宋体"/>
          <w:kern w:val="2"/>
          <w:sz w:val="32"/>
          <w:szCs w:val="32"/>
        </w:rPr>
      </w:pPr>
      <w:r>
        <w:rPr>
          <w:rFonts w:ascii="宋体" w:hAnsi="宋体" w:hint="eastAsia"/>
          <w:kern w:val="2"/>
          <w:sz w:val="32"/>
          <w:szCs w:val="32"/>
        </w:rPr>
        <w:t>无。</w:t>
      </w:r>
    </w:p>
    <w:p w:rsidR="00065B80" w:rsidRDefault="009A7EE1" w:rsidP="00F02B7A">
      <w:pPr>
        <w:widowControl/>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六、部门整体支出绩效情况</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我院从运行成本、管理效率、履职效能、社会效应、可持续发展能力和服务对象满意度等方面，对</w:t>
      </w:r>
      <w:r>
        <w:rPr>
          <w:rFonts w:ascii="宋体" w:hAnsi="宋体"/>
          <w:kern w:val="2"/>
          <w:sz w:val="32"/>
          <w:szCs w:val="32"/>
        </w:rPr>
        <w:t>202</w:t>
      </w:r>
      <w:r>
        <w:rPr>
          <w:rFonts w:ascii="宋体" w:hAnsi="宋体" w:hint="eastAsia"/>
          <w:kern w:val="2"/>
          <w:sz w:val="32"/>
          <w:szCs w:val="32"/>
        </w:rPr>
        <w:t>1</w:t>
      </w:r>
      <w:r>
        <w:rPr>
          <w:rFonts w:ascii="宋体" w:hAnsi="宋体" w:hint="eastAsia"/>
          <w:kern w:val="2"/>
          <w:sz w:val="32"/>
          <w:szCs w:val="32"/>
        </w:rPr>
        <w:t>年部门整体支出绩效进行了评价，具体情况如下：</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楷体" w:eastAsia="楷体" w:hAnsi="楷体" w:cs="楷体" w:hint="eastAsia"/>
          <w:kern w:val="2"/>
          <w:sz w:val="32"/>
          <w:szCs w:val="32"/>
        </w:rPr>
        <w:t>（一）运行成本</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我院编制数</w:t>
      </w:r>
      <w:r>
        <w:rPr>
          <w:rFonts w:ascii="宋体" w:hAnsi="宋体" w:hint="eastAsia"/>
          <w:kern w:val="2"/>
          <w:sz w:val="32"/>
          <w:szCs w:val="32"/>
        </w:rPr>
        <w:t>179</w:t>
      </w:r>
      <w:r>
        <w:rPr>
          <w:rFonts w:ascii="宋体" w:hAnsi="宋体" w:hint="eastAsia"/>
          <w:kern w:val="2"/>
          <w:sz w:val="32"/>
          <w:szCs w:val="32"/>
        </w:rPr>
        <w:t>人，年末实有在职在编人员</w:t>
      </w:r>
      <w:r>
        <w:rPr>
          <w:rFonts w:ascii="宋体" w:hAnsi="宋体" w:hint="eastAsia"/>
          <w:kern w:val="2"/>
          <w:sz w:val="32"/>
          <w:szCs w:val="32"/>
        </w:rPr>
        <w:t>166</w:t>
      </w:r>
      <w:r>
        <w:rPr>
          <w:rFonts w:ascii="宋体" w:hAnsi="宋体" w:hint="eastAsia"/>
          <w:kern w:val="2"/>
          <w:sz w:val="32"/>
          <w:szCs w:val="32"/>
        </w:rPr>
        <w:t>人，无超编人员。</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1174.74</w:t>
      </w:r>
      <w:r>
        <w:rPr>
          <w:rFonts w:asciiTheme="minorEastAsia" w:eastAsiaTheme="minorEastAsia" w:hAnsiTheme="minorEastAsia" w:hint="eastAsia"/>
          <w:sz w:val="32"/>
          <w:szCs w:val="32"/>
        </w:rPr>
        <w:t>万元，比年初预算数减少</w:t>
      </w:r>
      <w:r>
        <w:rPr>
          <w:rFonts w:asciiTheme="minorEastAsia" w:eastAsiaTheme="minorEastAsia" w:hAnsiTheme="minorEastAsia" w:hint="eastAsia"/>
          <w:sz w:val="32"/>
          <w:szCs w:val="32"/>
        </w:rPr>
        <w:t>35.46</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万元，降低</w:t>
      </w:r>
      <w:r>
        <w:rPr>
          <w:rFonts w:asciiTheme="minorEastAsia" w:eastAsiaTheme="minorEastAsia" w:hAnsiTheme="minorEastAsia" w:hint="eastAsia"/>
          <w:sz w:val="32"/>
          <w:szCs w:val="32"/>
        </w:rPr>
        <w:t>3.17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“三公经费”年初预算数</w:t>
      </w:r>
      <w:r>
        <w:rPr>
          <w:rFonts w:ascii="宋体" w:hAnsi="宋体" w:hint="eastAsia"/>
          <w:kern w:val="2"/>
          <w:sz w:val="32"/>
          <w:szCs w:val="32"/>
        </w:rPr>
        <w:t>98</w:t>
      </w:r>
      <w:r>
        <w:rPr>
          <w:rFonts w:ascii="宋体" w:hAnsi="宋体" w:hint="eastAsia"/>
          <w:kern w:val="2"/>
          <w:sz w:val="32"/>
          <w:szCs w:val="32"/>
        </w:rPr>
        <w:t>万元</w:t>
      </w:r>
      <w:r>
        <w:rPr>
          <w:rFonts w:ascii="宋体" w:hAnsi="宋体" w:hint="eastAsia"/>
          <w:kern w:val="2"/>
          <w:sz w:val="32"/>
          <w:szCs w:val="32"/>
        </w:rPr>
        <w:t>，上年预算数</w:t>
      </w:r>
      <w:r>
        <w:rPr>
          <w:rFonts w:ascii="宋体" w:hAnsi="宋体" w:hint="eastAsia"/>
          <w:kern w:val="2"/>
          <w:sz w:val="32"/>
          <w:szCs w:val="32"/>
        </w:rPr>
        <w:t>114</w:t>
      </w:r>
      <w:r>
        <w:rPr>
          <w:rFonts w:ascii="宋体" w:hAnsi="宋体" w:hint="eastAsia"/>
          <w:kern w:val="2"/>
          <w:sz w:val="32"/>
          <w:szCs w:val="32"/>
        </w:rPr>
        <w:t>万元，“三公经费”变动率为</w:t>
      </w:r>
      <w:r>
        <w:rPr>
          <w:rFonts w:ascii="宋体" w:hAnsi="宋体" w:hint="eastAsia"/>
          <w:kern w:val="2"/>
          <w:sz w:val="32"/>
          <w:szCs w:val="32"/>
        </w:rPr>
        <w:t>14.04</w:t>
      </w:r>
      <w:r>
        <w:rPr>
          <w:rFonts w:ascii="宋体" w:hAnsi="宋体"/>
          <w:kern w:val="2"/>
          <w:sz w:val="32"/>
          <w:szCs w:val="32"/>
        </w:rPr>
        <w:t>%</w:t>
      </w:r>
      <w:r>
        <w:rPr>
          <w:rFonts w:ascii="宋体" w:hAnsi="宋体" w:hint="eastAsia"/>
          <w:kern w:val="2"/>
          <w:sz w:val="32"/>
          <w:szCs w:val="32"/>
        </w:rPr>
        <w:t>，控制较好。</w:t>
      </w:r>
    </w:p>
    <w:p w:rsidR="00065B80" w:rsidRDefault="009A7EE1">
      <w:pPr>
        <w:pStyle w:val="aa"/>
        <w:widowControl/>
        <w:shd w:val="clear" w:color="auto" w:fill="FFFFFF"/>
        <w:spacing w:beforeAutospacing="0" w:afterAutospacing="0"/>
        <w:ind w:firstLineChars="250" w:firstLine="800"/>
        <w:rPr>
          <w:rFonts w:ascii="楷体" w:eastAsia="楷体" w:hAnsi="楷体" w:cs="楷体"/>
          <w:kern w:val="2"/>
          <w:sz w:val="32"/>
          <w:szCs w:val="32"/>
        </w:rPr>
      </w:pPr>
      <w:r>
        <w:rPr>
          <w:rFonts w:ascii="楷体" w:eastAsia="楷体" w:hAnsi="楷体" w:cs="楷体" w:hint="eastAsia"/>
          <w:kern w:val="2"/>
          <w:sz w:val="32"/>
          <w:szCs w:val="32"/>
        </w:rPr>
        <w:t>（二）管理效率方面</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2021</w:t>
      </w:r>
      <w:r>
        <w:rPr>
          <w:rFonts w:ascii="宋体" w:hAnsi="宋体" w:hint="eastAsia"/>
          <w:kern w:val="2"/>
          <w:sz w:val="32"/>
          <w:szCs w:val="32"/>
        </w:rPr>
        <w:t>年，在市委的坚强领导</w:t>
      </w:r>
      <w:r>
        <w:rPr>
          <w:rFonts w:ascii="宋体" w:hAnsi="宋体" w:hint="eastAsia"/>
          <w:kern w:val="2"/>
          <w:sz w:val="32"/>
          <w:szCs w:val="32"/>
        </w:rPr>
        <w:t>和省高院精心指导</w:t>
      </w:r>
      <w:r>
        <w:rPr>
          <w:rFonts w:ascii="宋体" w:hAnsi="宋体" w:hint="eastAsia"/>
          <w:kern w:val="2"/>
          <w:sz w:val="32"/>
          <w:szCs w:val="32"/>
        </w:rPr>
        <w:t>下，市中院坚持以习近平新时代中国特色社会主义思想为指导，深入贯彻习近平法治思想、习近平总书记对湖南重要讲话重要指示批示精神和中央、省委、市委决策部</w:t>
      </w:r>
      <w:r>
        <w:rPr>
          <w:rFonts w:ascii="宋体" w:hAnsi="宋体" w:hint="eastAsia"/>
          <w:kern w:val="2"/>
          <w:sz w:val="32"/>
          <w:szCs w:val="32"/>
        </w:rPr>
        <w:lastRenderedPageBreak/>
        <w:t>署，各项工作取得新进展。全市两级法院受理各类案件</w:t>
      </w:r>
      <w:r>
        <w:rPr>
          <w:rFonts w:ascii="宋体" w:hAnsi="宋体" w:hint="eastAsia"/>
          <w:kern w:val="2"/>
          <w:sz w:val="32"/>
          <w:szCs w:val="32"/>
        </w:rPr>
        <w:t>54755</w:t>
      </w:r>
      <w:r>
        <w:rPr>
          <w:rFonts w:ascii="宋体" w:hAnsi="宋体" w:hint="eastAsia"/>
          <w:kern w:val="2"/>
          <w:sz w:val="32"/>
          <w:szCs w:val="32"/>
        </w:rPr>
        <w:t>件，审（执）结</w:t>
      </w:r>
      <w:r>
        <w:rPr>
          <w:rFonts w:ascii="宋体" w:hAnsi="宋体" w:hint="eastAsia"/>
          <w:kern w:val="2"/>
          <w:sz w:val="32"/>
          <w:szCs w:val="32"/>
        </w:rPr>
        <w:t>48330</w:t>
      </w:r>
      <w:r>
        <w:rPr>
          <w:rFonts w:ascii="宋体" w:hAnsi="宋体" w:hint="eastAsia"/>
          <w:kern w:val="2"/>
          <w:sz w:val="32"/>
          <w:szCs w:val="32"/>
        </w:rPr>
        <w:t>件，其中，市中院新收各类案件</w:t>
      </w:r>
      <w:r>
        <w:rPr>
          <w:rFonts w:ascii="宋体" w:hAnsi="宋体" w:hint="eastAsia"/>
          <w:kern w:val="2"/>
          <w:sz w:val="32"/>
          <w:szCs w:val="32"/>
        </w:rPr>
        <w:t>5355</w:t>
      </w:r>
      <w:r>
        <w:rPr>
          <w:rFonts w:ascii="宋体" w:hAnsi="宋体" w:hint="eastAsia"/>
          <w:kern w:val="2"/>
          <w:sz w:val="32"/>
          <w:szCs w:val="32"/>
        </w:rPr>
        <w:t>件，审结</w:t>
      </w:r>
      <w:r>
        <w:rPr>
          <w:rFonts w:ascii="宋体" w:hAnsi="宋体" w:hint="eastAsia"/>
          <w:kern w:val="2"/>
          <w:sz w:val="32"/>
          <w:szCs w:val="32"/>
        </w:rPr>
        <w:t>5818</w:t>
      </w:r>
      <w:r>
        <w:rPr>
          <w:rFonts w:ascii="宋体" w:hAnsi="宋体" w:hint="eastAsia"/>
          <w:kern w:val="2"/>
          <w:sz w:val="32"/>
          <w:szCs w:val="32"/>
        </w:rPr>
        <w:t>件，结收比</w:t>
      </w:r>
      <w:r>
        <w:rPr>
          <w:rFonts w:ascii="宋体" w:hAnsi="宋体" w:hint="eastAsia"/>
          <w:kern w:val="2"/>
          <w:sz w:val="32"/>
          <w:szCs w:val="32"/>
        </w:rPr>
        <w:t>108.65%</w:t>
      </w:r>
      <w:r>
        <w:rPr>
          <w:rFonts w:ascii="宋体" w:hAnsi="宋体" w:hint="eastAsia"/>
          <w:kern w:val="2"/>
          <w:sz w:val="32"/>
          <w:szCs w:val="32"/>
        </w:rPr>
        <w:t>。</w:t>
      </w:r>
    </w:p>
    <w:p w:rsidR="00065B80" w:rsidRDefault="009A7EE1">
      <w:pPr>
        <w:pStyle w:val="aa"/>
        <w:widowControl/>
        <w:shd w:val="clear" w:color="auto" w:fill="FFFFFF"/>
        <w:spacing w:beforeAutospacing="0" w:afterAutospacing="0"/>
        <w:rPr>
          <w:rFonts w:ascii="楷体" w:eastAsia="楷体" w:hAnsi="楷体" w:cs="楷体"/>
          <w:kern w:val="2"/>
          <w:sz w:val="32"/>
          <w:szCs w:val="32"/>
        </w:rPr>
      </w:pPr>
      <w:r>
        <w:rPr>
          <w:rFonts w:ascii="楷体" w:eastAsia="楷体" w:hAnsi="楷体" w:cs="楷体" w:hint="eastAsia"/>
          <w:kern w:val="2"/>
          <w:sz w:val="32"/>
          <w:szCs w:val="32"/>
        </w:rPr>
        <w:t xml:space="preserve"> </w:t>
      </w:r>
      <w:r>
        <w:rPr>
          <w:rFonts w:ascii="楷体" w:eastAsia="楷体" w:hAnsi="楷体" w:cs="楷体" w:hint="eastAsia"/>
          <w:kern w:val="2"/>
          <w:sz w:val="32"/>
          <w:szCs w:val="32"/>
        </w:rPr>
        <w:t>（三）</w:t>
      </w:r>
      <w:r>
        <w:rPr>
          <w:rFonts w:ascii="楷体" w:eastAsia="楷体" w:hAnsi="楷体" w:cs="楷体" w:hint="eastAsia"/>
          <w:kern w:val="2"/>
          <w:sz w:val="32"/>
          <w:szCs w:val="32"/>
        </w:rPr>
        <w:t>履职效能方面</w:t>
      </w:r>
    </w:p>
    <w:p w:rsidR="00065B80" w:rsidRDefault="009A7EE1" w:rsidP="00F02B7A">
      <w:pPr>
        <w:spacing w:line="600" w:lineRule="exact"/>
        <w:ind w:firstLineChars="300" w:firstLine="964"/>
        <w:rPr>
          <w:rFonts w:ascii="宋体" w:eastAsia="宋体" w:hAnsi="宋体" w:cs="Times New Roman"/>
          <w:b/>
          <w:bCs/>
          <w:sz w:val="32"/>
          <w:szCs w:val="32"/>
        </w:rPr>
      </w:pPr>
      <w:r>
        <w:rPr>
          <w:rFonts w:ascii="宋体" w:eastAsia="宋体" w:hAnsi="宋体" w:cs="Times New Roman" w:hint="eastAsia"/>
          <w:b/>
          <w:bCs/>
          <w:sz w:val="32"/>
          <w:szCs w:val="32"/>
        </w:rPr>
        <w:t>1</w:t>
      </w:r>
      <w:r>
        <w:rPr>
          <w:rFonts w:ascii="宋体" w:eastAsia="宋体" w:hAnsi="宋体" w:cs="Times New Roman" w:hint="eastAsia"/>
          <w:b/>
          <w:bCs/>
          <w:sz w:val="32"/>
          <w:szCs w:val="32"/>
        </w:rPr>
        <w:t>、永葆对党忠诚本色，把牢正确政治方向</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始终坚持党的绝对领导。坚决捍卫“两个确立”，以实际行动做到“两个维护”，确保中央、省委、市委重大决策部署在全市两级法院得到不折不扣落实。严格落实意识形态工作责任制。严肃政治纪律和政治规矩，及时向市委、市委政法委请示报告重大事项。</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持续强化科学理论武装。推行党组理论学习中心组学习“每月一次、上下同题”，分级分类抓好领导干部培训，广泛开展宣传宣讲，不断筑牢干警思想根基。我院</w:t>
      </w:r>
      <w:r>
        <w:rPr>
          <w:rFonts w:ascii="宋体" w:hAnsi="宋体" w:hint="eastAsia"/>
          <w:kern w:val="2"/>
          <w:sz w:val="32"/>
          <w:szCs w:val="32"/>
        </w:rPr>
        <w:t>“高质量服务中心、高质量建设队伍”的“双高”工程</w:t>
      </w:r>
      <w:r>
        <w:rPr>
          <w:rFonts w:ascii="宋体" w:hAnsi="宋体" w:hint="eastAsia"/>
          <w:kern w:val="2"/>
          <w:sz w:val="32"/>
          <w:szCs w:val="32"/>
        </w:rPr>
        <w:t>被市直工委评为全市十大党建创新品牌。</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扎实开展党史学习教育。建立导学、比学、述学、督学、评学</w:t>
      </w:r>
      <w:r>
        <w:rPr>
          <w:rFonts w:ascii="宋体" w:hAnsi="宋体" w:hint="eastAsia"/>
          <w:kern w:val="2"/>
          <w:sz w:val="32"/>
          <w:szCs w:val="32"/>
        </w:rPr>
        <w:t>“五学”制度，全市两级法院院长带头讲党课，高标准推进党史学习教育。扎实开展“我为群众办实事”实践活动，</w:t>
      </w:r>
      <w:r>
        <w:rPr>
          <w:rFonts w:ascii="宋体" w:hAnsi="宋体" w:hint="eastAsia"/>
          <w:kern w:val="2"/>
          <w:sz w:val="32"/>
          <w:szCs w:val="32"/>
        </w:rPr>
        <w:t>全市两级法院</w:t>
      </w:r>
      <w:r>
        <w:rPr>
          <w:rFonts w:ascii="宋体" w:hAnsi="宋体" w:hint="eastAsia"/>
          <w:kern w:val="2"/>
          <w:sz w:val="32"/>
          <w:szCs w:val="32"/>
        </w:rPr>
        <w:t>推出便民措施</w:t>
      </w:r>
      <w:r>
        <w:rPr>
          <w:rFonts w:ascii="宋体" w:hAnsi="宋体" w:hint="eastAsia"/>
          <w:kern w:val="2"/>
          <w:sz w:val="32"/>
          <w:szCs w:val="32"/>
        </w:rPr>
        <w:t>75</w:t>
      </w:r>
      <w:r>
        <w:rPr>
          <w:rFonts w:ascii="宋体" w:hAnsi="宋体" w:hint="eastAsia"/>
          <w:kern w:val="2"/>
          <w:sz w:val="32"/>
          <w:szCs w:val="32"/>
        </w:rPr>
        <w:t>项，为民办实事</w:t>
      </w:r>
      <w:r>
        <w:rPr>
          <w:rFonts w:ascii="宋体" w:hAnsi="宋体" w:hint="eastAsia"/>
          <w:kern w:val="2"/>
          <w:sz w:val="32"/>
          <w:szCs w:val="32"/>
        </w:rPr>
        <w:t>4950</w:t>
      </w:r>
      <w:r>
        <w:rPr>
          <w:rFonts w:ascii="宋体" w:hAnsi="宋体" w:hint="eastAsia"/>
          <w:kern w:val="2"/>
          <w:sz w:val="32"/>
          <w:szCs w:val="32"/>
        </w:rPr>
        <w:t>件。</w:t>
      </w:r>
    </w:p>
    <w:p w:rsidR="00065B80" w:rsidRDefault="009A7EE1" w:rsidP="00F02B7A">
      <w:pPr>
        <w:spacing w:line="600" w:lineRule="exact"/>
        <w:ind w:firstLineChars="300" w:firstLine="964"/>
        <w:rPr>
          <w:rFonts w:ascii="宋体" w:eastAsia="宋体" w:hAnsi="宋体" w:cs="Times New Roman"/>
          <w:b/>
          <w:bCs/>
          <w:sz w:val="32"/>
          <w:szCs w:val="32"/>
        </w:rPr>
      </w:pPr>
      <w:r>
        <w:rPr>
          <w:rFonts w:ascii="宋体" w:eastAsia="宋体" w:hAnsi="宋体" w:cs="Times New Roman" w:hint="eastAsia"/>
          <w:b/>
          <w:bCs/>
          <w:sz w:val="32"/>
          <w:szCs w:val="32"/>
        </w:rPr>
        <w:t>2</w:t>
      </w:r>
      <w:r>
        <w:rPr>
          <w:rFonts w:ascii="宋体" w:eastAsia="宋体" w:hAnsi="宋体" w:cs="Times New Roman" w:hint="eastAsia"/>
          <w:b/>
          <w:bCs/>
          <w:sz w:val="32"/>
          <w:szCs w:val="32"/>
        </w:rPr>
        <w:t>、推进队伍教育整顿，打造过硬娄底法院铁军</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lastRenderedPageBreak/>
        <w:t>2021</w:t>
      </w:r>
      <w:r>
        <w:rPr>
          <w:rFonts w:ascii="宋体" w:hAnsi="宋体" w:hint="eastAsia"/>
          <w:kern w:val="2"/>
          <w:sz w:val="32"/>
          <w:szCs w:val="32"/>
        </w:rPr>
        <w:t>年全市法院扎实开展政法队伍教育整顿，聚焦“四项任务”，抓实“三个环节”，全面建设让党放心、人民满意的法院队伍。</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抓好学习教育。制定政治教育学习方案，举办专题培训班，召开全院警示教育大会，纪检组长作廉政报告，进行党纪党规培训辅导，筑牢政治忠诚。深入开展英模教育，推树</w:t>
      </w:r>
      <w:r>
        <w:rPr>
          <w:rFonts w:ascii="宋体" w:hAnsi="宋体" w:hint="eastAsia"/>
          <w:kern w:val="2"/>
          <w:sz w:val="32"/>
          <w:szCs w:val="32"/>
        </w:rPr>
        <w:t>2</w:t>
      </w:r>
      <w:r>
        <w:rPr>
          <w:rFonts w:ascii="宋体" w:hAnsi="宋体" w:hint="eastAsia"/>
          <w:kern w:val="2"/>
          <w:sz w:val="32"/>
          <w:szCs w:val="32"/>
        </w:rPr>
        <w:t>名同志为全市政法英模、全市优秀政法干</w:t>
      </w:r>
      <w:r>
        <w:rPr>
          <w:rFonts w:ascii="宋体" w:hAnsi="宋体" w:hint="eastAsia"/>
          <w:kern w:val="2"/>
          <w:sz w:val="32"/>
          <w:szCs w:val="32"/>
        </w:rPr>
        <w:t>警。</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抓实查纠整改。广泛开展谈心谈话，宣讲“自查从宽、被查从严”政策。</w:t>
      </w:r>
      <w:r>
        <w:rPr>
          <w:rFonts w:ascii="宋体" w:hAnsi="宋体" w:hint="eastAsia"/>
          <w:kern w:val="2"/>
          <w:sz w:val="32"/>
          <w:szCs w:val="32"/>
        </w:rPr>
        <w:t>全市两级法院</w:t>
      </w:r>
      <w:r>
        <w:rPr>
          <w:rFonts w:ascii="宋体" w:hAnsi="宋体" w:hint="eastAsia"/>
          <w:kern w:val="2"/>
          <w:sz w:val="32"/>
          <w:szCs w:val="32"/>
        </w:rPr>
        <w:t>核查问题线索</w:t>
      </w:r>
      <w:r>
        <w:rPr>
          <w:rFonts w:ascii="宋体" w:hAnsi="宋体" w:hint="eastAsia"/>
          <w:kern w:val="2"/>
          <w:sz w:val="32"/>
          <w:szCs w:val="32"/>
        </w:rPr>
        <w:t>677</w:t>
      </w:r>
      <w:r>
        <w:rPr>
          <w:rFonts w:ascii="宋体" w:hAnsi="宋体" w:hint="eastAsia"/>
          <w:kern w:val="2"/>
          <w:sz w:val="32"/>
          <w:szCs w:val="32"/>
        </w:rPr>
        <w:t>条，自查自纠问题</w:t>
      </w:r>
      <w:r>
        <w:rPr>
          <w:rFonts w:ascii="宋体" w:hAnsi="宋体" w:hint="eastAsia"/>
          <w:kern w:val="2"/>
          <w:sz w:val="32"/>
          <w:szCs w:val="32"/>
        </w:rPr>
        <w:t>266</w:t>
      </w:r>
      <w:r>
        <w:rPr>
          <w:rFonts w:ascii="宋体" w:hAnsi="宋体" w:hint="eastAsia"/>
          <w:kern w:val="2"/>
          <w:sz w:val="32"/>
          <w:szCs w:val="32"/>
        </w:rPr>
        <w:t>个，党纪政务处分</w:t>
      </w:r>
      <w:r>
        <w:rPr>
          <w:rFonts w:ascii="宋体" w:hAnsi="宋体" w:hint="eastAsia"/>
          <w:kern w:val="2"/>
          <w:sz w:val="32"/>
          <w:szCs w:val="32"/>
        </w:rPr>
        <w:t>19</w:t>
      </w:r>
      <w:r>
        <w:rPr>
          <w:rFonts w:ascii="宋体" w:hAnsi="宋体" w:hint="eastAsia"/>
          <w:kern w:val="2"/>
          <w:sz w:val="32"/>
          <w:szCs w:val="32"/>
        </w:rPr>
        <w:t>人，组织处理</w:t>
      </w:r>
      <w:r>
        <w:rPr>
          <w:rFonts w:ascii="宋体" w:hAnsi="宋体" w:hint="eastAsia"/>
          <w:kern w:val="2"/>
          <w:sz w:val="32"/>
          <w:szCs w:val="32"/>
        </w:rPr>
        <w:t>203</w:t>
      </w:r>
      <w:r>
        <w:rPr>
          <w:rFonts w:ascii="宋体" w:hAnsi="宋体" w:hint="eastAsia"/>
          <w:kern w:val="2"/>
          <w:sz w:val="32"/>
          <w:szCs w:val="32"/>
        </w:rPr>
        <w:t>人，整治顽瘴痼疾</w:t>
      </w:r>
      <w:r>
        <w:rPr>
          <w:rFonts w:ascii="宋体" w:hAnsi="宋体" w:hint="eastAsia"/>
          <w:kern w:val="2"/>
          <w:sz w:val="32"/>
          <w:szCs w:val="32"/>
        </w:rPr>
        <w:t>98</w:t>
      </w:r>
      <w:r>
        <w:rPr>
          <w:rFonts w:ascii="宋体" w:hAnsi="宋体" w:hint="eastAsia"/>
          <w:kern w:val="2"/>
          <w:sz w:val="32"/>
          <w:szCs w:val="32"/>
        </w:rPr>
        <w:t>项，持续开展涉诉信访案件评查化解、执行领域突出问题集中整治、涉黑涉恶案件线索倒查等活动。</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抓牢建章立制。坚持治建并举、抓源治本，组建工作专班，</w:t>
      </w:r>
      <w:r>
        <w:rPr>
          <w:rFonts w:ascii="宋体" w:hAnsi="宋体" w:hint="eastAsia"/>
          <w:kern w:val="2"/>
          <w:sz w:val="32"/>
          <w:szCs w:val="32"/>
        </w:rPr>
        <w:t>对防止干预司法</w:t>
      </w:r>
      <w:r>
        <w:rPr>
          <w:rFonts w:ascii="宋体" w:hAnsi="宋体" w:hint="eastAsia"/>
          <w:kern w:val="2"/>
          <w:sz w:val="32"/>
          <w:szCs w:val="32"/>
        </w:rPr>
        <w:t>“三个规定”、减刑假释、审判管理、司法作风等</w:t>
      </w:r>
      <w:r>
        <w:rPr>
          <w:rFonts w:ascii="宋体" w:hAnsi="宋体" w:hint="eastAsia"/>
          <w:kern w:val="2"/>
          <w:sz w:val="32"/>
          <w:szCs w:val="32"/>
        </w:rPr>
        <w:t>15</w:t>
      </w:r>
      <w:r>
        <w:rPr>
          <w:rFonts w:ascii="宋体" w:hAnsi="宋体" w:hint="eastAsia"/>
          <w:kern w:val="2"/>
          <w:sz w:val="32"/>
          <w:szCs w:val="32"/>
        </w:rPr>
        <w:t>个领域</w:t>
      </w:r>
      <w:r>
        <w:rPr>
          <w:rFonts w:ascii="宋体" w:hAnsi="宋体" w:hint="eastAsia"/>
          <w:kern w:val="2"/>
          <w:sz w:val="32"/>
          <w:szCs w:val="32"/>
        </w:rPr>
        <w:t>制定</w:t>
      </w:r>
      <w:r>
        <w:rPr>
          <w:rFonts w:ascii="宋体" w:hAnsi="宋体" w:hint="eastAsia"/>
          <w:kern w:val="2"/>
          <w:sz w:val="32"/>
          <w:szCs w:val="32"/>
        </w:rPr>
        <w:t>实施办法、长效机制</w:t>
      </w:r>
      <w:r>
        <w:rPr>
          <w:rFonts w:ascii="宋体" w:hAnsi="宋体" w:hint="eastAsia"/>
          <w:kern w:val="2"/>
          <w:sz w:val="32"/>
          <w:szCs w:val="32"/>
        </w:rPr>
        <w:t>，</w:t>
      </w:r>
      <w:r>
        <w:rPr>
          <w:rFonts w:ascii="宋体" w:hAnsi="宋体" w:hint="eastAsia"/>
          <w:kern w:val="2"/>
          <w:sz w:val="32"/>
          <w:szCs w:val="32"/>
        </w:rPr>
        <w:t>中央第十督导组、省第十三指导组充分肯定。</w:t>
      </w:r>
    </w:p>
    <w:p w:rsidR="00065B80" w:rsidRDefault="009A7EE1" w:rsidP="00F02B7A">
      <w:pPr>
        <w:spacing w:line="600" w:lineRule="exact"/>
        <w:ind w:firstLineChars="300" w:firstLine="964"/>
        <w:rPr>
          <w:rFonts w:ascii="宋体" w:eastAsia="宋体" w:hAnsi="宋体" w:cs="Times New Roman"/>
          <w:b/>
          <w:bCs/>
          <w:sz w:val="32"/>
          <w:szCs w:val="32"/>
        </w:rPr>
      </w:pPr>
      <w:r>
        <w:rPr>
          <w:rFonts w:ascii="宋体" w:eastAsia="宋体" w:hAnsi="宋体" w:cs="Times New Roman" w:hint="eastAsia"/>
          <w:b/>
          <w:bCs/>
          <w:sz w:val="32"/>
          <w:szCs w:val="32"/>
        </w:rPr>
        <w:t>3</w:t>
      </w:r>
      <w:r>
        <w:rPr>
          <w:rFonts w:ascii="宋体" w:eastAsia="宋体" w:hAnsi="宋体" w:cs="Times New Roman" w:hint="eastAsia"/>
          <w:b/>
          <w:bCs/>
          <w:sz w:val="32"/>
          <w:szCs w:val="32"/>
        </w:rPr>
        <w:t>、服务发展稳定大局，助力落实“三高四新”战略定位和使命</w:t>
      </w:r>
      <w:r>
        <w:rPr>
          <w:rFonts w:ascii="宋体" w:eastAsia="宋体" w:hAnsi="宋体" w:cs="Times New Roman" w:hint="eastAsia"/>
          <w:b/>
          <w:bCs/>
          <w:sz w:val="32"/>
          <w:szCs w:val="32"/>
        </w:rPr>
        <w:t>任务</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优化</w:t>
      </w:r>
      <w:r>
        <w:rPr>
          <w:rFonts w:ascii="宋体" w:hAnsi="宋体" w:hint="eastAsia"/>
          <w:kern w:val="2"/>
          <w:sz w:val="32"/>
          <w:szCs w:val="32"/>
        </w:rPr>
        <w:t>营商环境。助力防范重大金融风险，全市两级法院审结“打处非”诉讼案件</w:t>
      </w:r>
      <w:r>
        <w:rPr>
          <w:rFonts w:ascii="宋体" w:hAnsi="宋体" w:hint="eastAsia"/>
          <w:kern w:val="2"/>
          <w:sz w:val="32"/>
          <w:szCs w:val="32"/>
        </w:rPr>
        <w:t>27</w:t>
      </w:r>
      <w:r>
        <w:rPr>
          <w:rFonts w:ascii="宋体" w:hAnsi="宋体" w:hint="eastAsia"/>
          <w:kern w:val="2"/>
          <w:sz w:val="32"/>
          <w:szCs w:val="32"/>
        </w:rPr>
        <w:t>件</w:t>
      </w:r>
      <w:r>
        <w:rPr>
          <w:rFonts w:ascii="宋体" w:hAnsi="宋体" w:hint="eastAsia"/>
          <w:kern w:val="2"/>
          <w:sz w:val="32"/>
          <w:szCs w:val="32"/>
        </w:rPr>
        <w:t>36</w:t>
      </w:r>
      <w:r>
        <w:rPr>
          <w:rFonts w:ascii="宋体" w:hAnsi="宋体" w:hint="eastAsia"/>
          <w:kern w:val="2"/>
          <w:sz w:val="32"/>
          <w:szCs w:val="32"/>
        </w:rPr>
        <w:t>人，对集资诈骗</w:t>
      </w:r>
      <w:r>
        <w:rPr>
          <w:rFonts w:ascii="宋体" w:hAnsi="宋体" w:hint="eastAsia"/>
          <w:kern w:val="2"/>
          <w:sz w:val="32"/>
          <w:szCs w:val="32"/>
        </w:rPr>
        <w:t>6</w:t>
      </w:r>
      <w:r>
        <w:rPr>
          <w:rFonts w:ascii="宋体" w:hAnsi="宋体" w:hint="eastAsia"/>
          <w:kern w:val="2"/>
          <w:sz w:val="32"/>
          <w:szCs w:val="32"/>
        </w:rPr>
        <w:t>亿余元的湖南新地企业集团有限公司原董事长周向鲁判处无期徒刑。实行涉企案件生产经营影响评估，审慎采取涉企保全，</w:t>
      </w:r>
      <w:r>
        <w:rPr>
          <w:rFonts w:ascii="宋体" w:hAnsi="宋体" w:hint="eastAsia"/>
          <w:kern w:val="2"/>
          <w:sz w:val="32"/>
          <w:szCs w:val="32"/>
        </w:rPr>
        <w:t>坚决防止“案子办了、企业垮了”。</w:t>
      </w:r>
      <w:r>
        <w:rPr>
          <w:rFonts w:ascii="宋体" w:hAnsi="宋体" w:hint="eastAsia"/>
          <w:kern w:val="2"/>
          <w:sz w:val="32"/>
          <w:szCs w:val="32"/>
        </w:rPr>
        <w:t>审结破产清算或破产重整案件</w:t>
      </w:r>
      <w:r>
        <w:rPr>
          <w:rFonts w:ascii="宋体" w:hAnsi="宋体" w:hint="eastAsia"/>
          <w:kern w:val="2"/>
          <w:sz w:val="32"/>
          <w:szCs w:val="32"/>
        </w:rPr>
        <w:t>5</w:t>
      </w:r>
      <w:r>
        <w:rPr>
          <w:rFonts w:ascii="宋体" w:hAnsi="宋体" w:hint="eastAsia"/>
          <w:kern w:val="2"/>
          <w:sz w:val="32"/>
          <w:szCs w:val="32"/>
        </w:rPr>
        <w:t>件，</w:t>
      </w:r>
      <w:r>
        <w:rPr>
          <w:rFonts w:ascii="宋体" w:hAnsi="宋体" w:hint="eastAsia"/>
          <w:kern w:val="2"/>
          <w:sz w:val="32"/>
          <w:szCs w:val="32"/>
        </w:rPr>
        <w:t>依法</w:t>
      </w:r>
      <w:r>
        <w:rPr>
          <w:rFonts w:ascii="宋体" w:hAnsi="宋体" w:hint="eastAsia"/>
          <w:kern w:val="2"/>
          <w:sz w:val="32"/>
          <w:szCs w:val="32"/>
        </w:rPr>
        <w:t>盘活建成东方财富广场、湘华雅阁等房地产项目，彰显“法治是最好的营商环境”。</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lastRenderedPageBreak/>
        <w:t>保障高质量发展。审结知识产权一审案件</w:t>
      </w:r>
      <w:r>
        <w:rPr>
          <w:rFonts w:ascii="宋体" w:hAnsi="宋体" w:hint="eastAsia"/>
          <w:kern w:val="2"/>
          <w:sz w:val="32"/>
          <w:szCs w:val="32"/>
        </w:rPr>
        <w:t>133</w:t>
      </w:r>
      <w:r>
        <w:rPr>
          <w:rFonts w:ascii="宋体" w:hAnsi="宋体" w:hint="eastAsia"/>
          <w:kern w:val="2"/>
          <w:sz w:val="32"/>
          <w:szCs w:val="32"/>
        </w:rPr>
        <w:t>件，涉外、涉港澳台、涉自贸区案件</w:t>
      </w:r>
      <w:r>
        <w:rPr>
          <w:rFonts w:ascii="宋体" w:hAnsi="宋体" w:hint="eastAsia"/>
          <w:kern w:val="2"/>
          <w:sz w:val="32"/>
          <w:szCs w:val="32"/>
        </w:rPr>
        <w:t>26</w:t>
      </w:r>
      <w:r>
        <w:rPr>
          <w:rFonts w:ascii="宋体" w:hAnsi="宋体" w:hint="eastAsia"/>
          <w:kern w:val="2"/>
          <w:sz w:val="32"/>
          <w:szCs w:val="32"/>
        </w:rPr>
        <w:t>件，</w:t>
      </w:r>
      <w:r>
        <w:rPr>
          <w:rFonts w:ascii="宋体" w:hAnsi="宋体" w:hint="eastAsia"/>
          <w:kern w:val="2"/>
          <w:sz w:val="32"/>
          <w:szCs w:val="32"/>
        </w:rPr>
        <w:t>保障科技自强</w:t>
      </w:r>
      <w:r>
        <w:rPr>
          <w:rFonts w:ascii="宋体" w:hAnsi="宋体" w:hint="eastAsia"/>
          <w:kern w:val="2"/>
          <w:sz w:val="32"/>
          <w:szCs w:val="32"/>
        </w:rPr>
        <w:t>和对外开放。服务美丽娄底建设，开展“环境资源审判利剑专项行动”和</w:t>
      </w:r>
      <w:r>
        <w:rPr>
          <w:rFonts w:ascii="宋体" w:hAnsi="宋体" w:hint="eastAsia"/>
          <w:kern w:val="2"/>
          <w:sz w:val="32"/>
          <w:szCs w:val="32"/>
        </w:rPr>
        <w:t>《长江保护法》普法宣传。</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巩固平安建设。</w:t>
      </w:r>
      <w:r>
        <w:rPr>
          <w:rFonts w:ascii="宋体" w:hAnsi="宋体" w:hint="eastAsia"/>
          <w:kern w:val="2"/>
          <w:sz w:val="32"/>
          <w:szCs w:val="32"/>
        </w:rPr>
        <w:t>推动扫黑除恶常态化，</w:t>
      </w:r>
      <w:r>
        <w:rPr>
          <w:rFonts w:ascii="宋体" w:hAnsi="宋体" w:hint="eastAsia"/>
          <w:kern w:val="2"/>
          <w:sz w:val="32"/>
          <w:szCs w:val="32"/>
        </w:rPr>
        <w:t>今年以来全市两级法院审结涉黑涉恶案件</w:t>
      </w:r>
      <w:r>
        <w:rPr>
          <w:rFonts w:ascii="宋体" w:hAnsi="宋体" w:hint="eastAsia"/>
          <w:kern w:val="2"/>
          <w:sz w:val="32"/>
          <w:szCs w:val="32"/>
        </w:rPr>
        <w:t>16</w:t>
      </w:r>
      <w:r>
        <w:rPr>
          <w:rFonts w:ascii="宋体" w:hAnsi="宋体" w:hint="eastAsia"/>
          <w:kern w:val="2"/>
          <w:sz w:val="32"/>
          <w:szCs w:val="32"/>
        </w:rPr>
        <w:t>件</w:t>
      </w:r>
      <w:r>
        <w:rPr>
          <w:rFonts w:ascii="宋体" w:hAnsi="宋体" w:hint="eastAsia"/>
          <w:kern w:val="2"/>
          <w:sz w:val="32"/>
          <w:szCs w:val="32"/>
        </w:rPr>
        <w:t>39</w:t>
      </w:r>
      <w:r>
        <w:rPr>
          <w:rFonts w:ascii="宋体" w:hAnsi="宋体" w:hint="eastAsia"/>
          <w:kern w:val="2"/>
          <w:sz w:val="32"/>
          <w:szCs w:val="32"/>
        </w:rPr>
        <w:t>人，判处五年以上有期徒刑</w:t>
      </w:r>
      <w:r>
        <w:rPr>
          <w:rFonts w:ascii="宋体" w:hAnsi="宋体" w:hint="eastAsia"/>
          <w:kern w:val="2"/>
          <w:sz w:val="32"/>
          <w:szCs w:val="32"/>
        </w:rPr>
        <w:t>12</w:t>
      </w:r>
      <w:r>
        <w:rPr>
          <w:rFonts w:ascii="宋体" w:hAnsi="宋体" w:hint="eastAsia"/>
          <w:kern w:val="2"/>
          <w:sz w:val="32"/>
          <w:szCs w:val="32"/>
        </w:rPr>
        <w:t>人。审结毒品犯罪案件</w:t>
      </w:r>
      <w:r>
        <w:rPr>
          <w:rFonts w:ascii="宋体" w:hAnsi="宋体" w:hint="eastAsia"/>
          <w:kern w:val="2"/>
          <w:sz w:val="32"/>
          <w:szCs w:val="32"/>
        </w:rPr>
        <w:t>411</w:t>
      </w:r>
      <w:r>
        <w:rPr>
          <w:rFonts w:ascii="宋体" w:hAnsi="宋体" w:hint="eastAsia"/>
          <w:kern w:val="2"/>
          <w:sz w:val="32"/>
          <w:szCs w:val="32"/>
        </w:rPr>
        <w:t>件</w:t>
      </w:r>
      <w:r>
        <w:rPr>
          <w:rFonts w:ascii="宋体" w:hAnsi="宋体" w:hint="eastAsia"/>
          <w:kern w:val="2"/>
          <w:sz w:val="32"/>
          <w:szCs w:val="32"/>
        </w:rPr>
        <w:t>619</w:t>
      </w:r>
      <w:r>
        <w:rPr>
          <w:rFonts w:ascii="宋体" w:hAnsi="宋体" w:hint="eastAsia"/>
          <w:kern w:val="2"/>
          <w:sz w:val="32"/>
          <w:szCs w:val="32"/>
        </w:rPr>
        <w:t>人，促进禁毒综合治理。</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护航民生安全。从严打击电信网络诈骗，审结相关一审案件</w:t>
      </w:r>
      <w:r>
        <w:rPr>
          <w:rFonts w:ascii="宋体" w:hAnsi="宋体" w:hint="eastAsia"/>
          <w:kern w:val="2"/>
          <w:sz w:val="32"/>
          <w:szCs w:val="32"/>
        </w:rPr>
        <w:t>278</w:t>
      </w:r>
      <w:r>
        <w:rPr>
          <w:rFonts w:ascii="宋体" w:hAnsi="宋体" w:hint="eastAsia"/>
          <w:kern w:val="2"/>
          <w:sz w:val="32"/>
          <w:szCs w:val="32"/>
        </w:rPr>
        <w:t>件</w:t>
      </w:r>
      <w:r>
        <w:rPr>
          <w:rFonts w:ascii="宋体" w:hAnsi="宋体" w:hint="eastAsia"/>
          <w:kern w:val="2"/>
          <w:sz w:val="32"/>
          <w:szCs w:val="32"/>
        </w:rPr>
        <w:t>532</w:t>
      </w:r>
      <w:r>
        <w:rPr>
          <w:rFonts w:ascii="宋体" w:hAnsi="宋体" w:hint="eastAsia"/>
          <w:kern w:val="2"/>
          <w:sz w:val="32"/>
          <w:szCs w:val="32"/>
        </w:rPr>
        <w:t>人。呵护未成年人成长，全市两级法院全部设立少年法庭，举办百场开学法治公开课，营造青少年健康成长环境。</w:t>
      </w:r>
    </w:p>
    <w:p w:rsidR="00065B80" w:rsidRDefault="009A7EE1" w:rsidP="00F02B7A">
      <w:pPr>
        <w:spacing w:line="600" w:lineRule="exact"/>
        <w:ind w:firstLineChars="300" w:firstLine="964"/>
        <w:rPr>
          <w:rFonts w:ascii="宋体" w:eastAsia="宋体" w:hAnsi="宋体" w:cs="Times New Roman"/>
          <w:b/>
          <w:bCs/>
          <w:sz w:val="32"/>
          <w:szCs w:val="32"/>
        </w:rPr>
      </w:pPr>
      <w:r>
        <w:rPr>
          <w:rFonts w:ascii="宋体" w:eastAsia="宋体" w:hAnsi="宋体" w:cs="Times New Roman" w:hint="eastAsia"/>
          <w:b/>
          <w:bCs/>
          <w:sz w:val="32"/>
          <w:szCs w:val="32"/>
        </w:rPr>
        <w:t>4</w:t>
      </w:r>
      <w:r>
        <w:rPr>
          <w:rFonts w:ascii="宋体" w:eastAsia="宋体" w:hAnsi="宋体" w:cs="Times New Roman" w:hint="eastAsia"/>
          <w:b/>
          <w:bCs/>
          <w:sz w:val="32"/>
          <w:szCs w:val="32"/>
        </w:rPr>
        <w:t>、坚持依法履职尽责，全力维护社会公平正义</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依法打击刑事犯罪。全市两级法院受理刑事犯罪案件</w:t>
      </w:r>
      <w:r>
        <w:rPr>
          <w:rFonts w:ascii="宋体" w:hAnsi="宋体" w:hint="eastAsia"/>
          <w:kern w:val="2"/>
          <w:sz w:val="32"/>
          <w:szCs w:val="32"/>
        </w:rPr>
        <w:t>3622</w:t>
      </w:r>
      <w:r>
        <w:rPr>
          <w:rFonts w:ascii="宋体" w:hAnsi="宋体" w:hint="eastAsia"/>
          <w:kern w:val="2"/>
          <w:sz w:val="32"/>
          <w:szCs w:val="32"/>
        </w:rPr>
        <w:t>件</w:t>
      </w:r>
      <w:r>
        <w:rPr>
          <w:rFonts w:ascii="宋体" w:hAnsi="宋体" w:hint="eastAsia"/>
          <w:kern w:val="2"/>
          <w:sz w:val="32"/>
          <w:szCs w:val="32"/>
        </w:rPr>
        <w:t>5342</w:t>
      </w:r>
      <w:r>
        <w:rPr>
          <w:rFonts w:ascii="宋体" w:hAnsi="宋体" w:hint="eastAsia"/>
          <w:kern w:val="2"/>
          <w:sz w:val="32"/>
          <w:szCs w:val="32"/>
        </w:rPr>
        <w:t>人，审结</w:t>
      </w:r>
      <w:r>
        <w:rPr>
          <w:rFonts w:ascii="宋体" w:hAnsi="宋体" w:hint="eastAsia"/>
          <w:kern w:val="2"/>
          <w:sz w:val="32"/>
          <w:szCs w:val="32"/>
        </w:rPr>
        <w:t>3001</w:t>
      </w:r>
      <w:r>
        <w:rPr>
          <w:rFonts w:ascii="宋体" w:hAnsi="宋体" w:hint="eastAsia"/>
          <w:kern w:val="2"/>
          <w:sz w:val="32"/>
          <w:szCs w:val="32"/>
        </w:rPr>
        <w:t>件</w:t>
      </w:r>
      <w:r>
        <w:rPr>
          <w:rFonts w:ascii="宋体" w:hAnsi="宋体" w:hint="eastAsia"/>
          <w:kern w:val="2"/>
          <w:sz w:val="32"/>
          <w:szCs w:val="32"/>
        </w:rPr>
        <w:t>4595</w:t>
      </w:r>
      <w:r>
        <w:rPr>
          <w:rFonts w:ascii="宋体" w:hAnsi="宋体" w:hint="eastAsia"/>
          <w:kern w:val="2"/>
          <w:sz w:val="32"/>
          <w:szCs w:val="32"/>
        </w:rPr>
        <w:t>人。市中院克服疫情</w:t>
      </w:r>
      <w:r>
        <w:rPr>
          <w:rFonts w:ascii="宋体" w:hAnsi="宋体" w:hint="eastAsia"/>
          <w:kern w:val="2"/>
          <w:sz w:val="32"/>
          <w:szCs w:val="32"/>
        </w:rPr>
        <w:t>、舆情等多重压力影响，仅用四天时间圆满完成“九龙”非法集资专案的开庭审理，受到市委文辉书记批示肯定。审结危害公共安全、故意伤害、两抢一盗等严重暴力犯罪案件</w:t>
      </w:r>
      <w:r>
        <w:rPr>
          <w:rFonts w:ascii="宋体" w:hAnsi="宋体" w:hint="eastAsia"/>
          <w:kern w:val="2"/>
          <w:sz w:val="32"/>
          <w:szCs w:val="32"/>
        </w:rPr>
        <w:t>870</w:t>
      </w:r>
      <w:r>
        <w:rPr>
          <w:rFonts w:ascii="宋体" w:hAnsi="宋体" w:hint="eastAsia"/>
          <w:kern w:val="2"/>
          <w:sz w:val="32"/>
          <w:szCs w:val="32"/>
        </w:rPr>
        <w:t>件</w:t>
      </w:r>
      <w:r>
        <w:rPr>
          <w:rFonts w:ascii="宋体" w:hAnsi="宋体" w:hint="eastAsia"/>
          <w:kern w:val="2"/>
          <w:sz w:val="32"/>
          <w:szCs w:val="32"/>
        </w:rPr>
        <w:t>1016</w:t>
      </w:r>
      <w:r>
        <w:rPr>
          <w:rFonts w:ascii="宋体" w:hAnsi="宋体" w:hint="eastAsia"/>
          <w:kern w:val="2"/>
          <w:sz w:val="32"/>
          <w:szCs w:val="32"/>
        </w:rPr>
        <w:t>人。审结交通肇事、危险驾驶案件</w:t>
      </w:r>
      <w:r>
        <w:rPr>
          <w:rFonts w:ascii="宋体" w:hAnsi="宋体" w:hint="eastAsia"/>
          <w:kern w:val="2"/>
          <w:sz w:val="32"/>
          <w:szCs w:val="32"/>
        </w:rPr>
        <w:t>372</w:t>
      </w:r>
      <w:r>
        <w:rPr>
          <w:rFonts w:ascii="宋体" w:hAnsi="宋体" w:hint="eastAsia"/>
          <w:kern w:val="2"/>
          <w:sz w:val="32"/>
          <w:szCs w:val="32"/>
        </w:rPr>
        <w:t>件</w:t>
      </w:r>
      <w:r>
        <w:rPr>
          <w:rFonts w:ascii="宋体" w:hAnsi="宋体" w:hint="eastAsia"/>
          <w:kern w:val="2"/>
          <w:sz w:val="32"/>
          <w:szCs w:val="32"/>
        </w:rPr>
        <w:t>379</w:t>
      </w:r>
      <w:r>
        <w:rPr>
          <w:rFonts w:ascii="宋体" w:hAnsi="宋体" w:hint="eastAsia"/>
          <w:kern w:val="2"/>
          <w:sz w:val="32"/>
          <w:szCs w:val="32"/>
        </w:rPr>
        <w:t>人。审结贪污、贿赂、渎职等职务犯罪一审案件</w:t>
      </w:r>
      <w:r>
        <w:rPr>
          <w:rFonts w:ascii="宋体" w:hAnsi="宋体" w:hint="eastAsia"/>
          <w:kern w:val="2"/>
          <w:sz w:val="32"/>
          <w:szCs w:val="32"/>
        </w:rPr>
        <w:t>13</w:t>
      </w:r>
      <w:r>
        <w:rPr>
          <w:rFonts w:ascii="宋体" w:hAnsi="宋体" w:hint="eastAsia"/>
          <w:kern w:val="2"/>
          <w:sz w:val="32"/>
          <w:szCs w:val="32"/>
        </w:rPr>
        <w:t>件</w:t>
      </w:r>
      <w:r>
        <w:rPr>
          <w:rFonts w:ascii="宋体" w:hAnsi="宋体" w:hint="eastAsia"/>
          <w:kern w:val="2"/>
          <w:sz w:val="32"/>
          <w:szCs w:val="32"/>
        </w:rPr>
        <w:t>25</w:t>
      </w:r>
      <w:r>
        <w:rPr>
          <w:rFonts w:ascii="宋体" w:hAnsi="宋体" w:hint="eastAsia"/>
          <w:kern w:val="2"/>
          <w:sz w:val="32"/>
          <w:szCs w:val="32"/>
        </w:rPr>
        <w:t>人。</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妥善审理民商纠纷。全市两级法院受理民商事案件</w:t>
      </w:r>
      <w:r>
        <w:rPr>
          <w:rFonts w:ascii="宋体" w:hAnsi="宋体" w:hint="eastAsia"/>
          <w:kern w:val="2"/>
          <w:sz w:val="32"/>
          <w:szCs w:val="32"/>
        </w:rPr>
        <w:t>28116</w:t>
      </w:r>
      <w:r>
        <w:rPr>
          <w:rFonts w:ascii="宋体" w:hAnsi="宋体" w:hint="eastAsia"/>
          <w:kern w:val="2"/>
          <w:sz w:val="32"/>
          <w:szCs w:val="32"/>
        </w:rPr>
        <w:t>件，审结</w:t>
      </w:r>
      <w:r>
        <w:rPr>
          <w:rFonts w:ascii="宋体" w:hAnsi="宋体" w:hint="eastAsia"/>
          <w:kern w:val="2"/>
          <w:sz w:val="32"/>
          <w:szCs w:val="32"/>
        </w:rPr>
        <w:t>24858</w:t>
      </w:r>
      <w:r>
        <w:rPr>
          <w:rFonts w:ascii="宋体" w:hAnsi="宋体" w:hint="eastAsia"/>
          <w:kern w:val="2"/>
          <w:sz w:val="32"/>
          <w:szCs w:val="32"/>
        </w:rPr>
        <w:t>件。依法审结货物买卖、租赁、担保等合同案件</w:t>
      </w:r>
      <w:r>
        <w:rPr>
          <w:rFonts w:ascii="宋体" w:hAnsi="宋体" w:hint="eastAsia"/>
          <w:kern w:val="2"/>
          <w:sz w:val="32"/>
          <w:szCs w:val="32"/>
        </w:rPr>
        <w:t>7816</w:t>
      </w:r>
      <w:r>
        <w:rPr>
          <w:rFonts w:ascii="宋体" w:hAnsi="宋体" w:hint="eastAsia"/>
          <w:kern w:val="2"/>
          <w:sz w:val="32"/>
          <w:szCs w:val="32"/>
        </w:rPr>
        <w:t>件。审结劳动争议案件</w:t>
      </w:r>
      <w:r>
        <w:rPr>
          <w:rFonts w:ascii="宋体" w:hAnsi="宋体" w:hint="eastAsia"/>
          <w:kern w:val="2"/>
          <w:sz w:val="32"/>
          <w:szCs w:val="32"/>
        </w:rPr>
        <w:t>581</w:t>
      </w:r>
      <w:r>
        <w:rPr>
          <w:rFonts w:ascii="宋体" w:hAnsi="宋体" w:hint="eastAsia"/>
          <w:kern w:val="2"/>
          <w:sz w:val="32"/>
          <w:szCs w:val="32"/>
        </w:rPr>
        <w:t>件。审结家事案件</w:t>
      </w:r>
      <w:r>
        <w:rPr>
          <w:rFonts w:ascii="宋体" w:hAnsi="宋体" w:hint="eastAsia"/>
          <w:kern w:val="2"/>
          <w:sz w:val="32"/>
          <w:szCs w:val="32"/>
        </w:rPr>
        <w:t>3241</w:t>
      </w:r>
      <w:r>
        <w:rPr>
          <w:rFonts w:ascii="宋体" w:hAnsi="宋体" w:hint="eastAsia"/>
          <w:kern w:val="2"/>
          <w:sz w:val="32"/>
          <w:szCs w:val="32"/>
        </w:rPr>
        <w:t>件。</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lastRenderedPageBreak/>
        <w:t>推进法治政府建设。全市两级法院受理行政案件</w:t>
      </w:r>
      <w:r>
        <w:rPr>
          <w:rFonts w:ascii="宋体" w:hAnsi="宋体" w:hint="eastAsia"/>
          <w:kern w:val="2"/>
          <w:sz w:val="32"/>
          <w:szCs w:val="32"/>
        </w:rPr>
        <w:t>884</w:t>
      </w:r>
      <w:r>
        <w:rPr>
          <w:rFonts w:ascii="宋体" w:hAnsi="宋体" w:hint="eastAsia"/>
          <w:kern w:val="2"/>
          <w:sz w:val="32"/>
          <w:szCs w:val="32"/>
        </w:rPr>
        <w:t>件，审结</w:t>
      </w:r>
      <w:r>
        <w:rPr>
          <w:rFonts w:ascii="宋体" w:hAnsi="宋体" w:hint="eastAsia"/>
          <w:kern w:val="2"/>
          <w:sz w:val="32"/>
          <w:szCs w:val="32"/>
        </w:rPr>
        <w:t>771</w:t>
      </w:r>
      <w:r>
        <w:rPr>
          <w:rFonts w:ascii="宋体" w:hAnsi="宋体" w:hint="eastAsia"/>
          <w:kern w:val="2"/>
          <w:sz w:val="32"/>
          <w:szCs w:val="32"/>
        </w:rPr>
        <w:t>件。受理非诉执行案件</w:t>
      </w:r>
      <w:r>
        <w:rPr>
          <w:rFonts w:ascii="宋体" w:hAnsi="宋体" w:hint="eastAsia"/>
          <w:kern w:val="2"/>
          <w:sz w:val="32"/>
          <w:szCs w:val="32"/>
        </w:rPr>
        <w:t>227</w:t>
      </w:r>
      <w:r>
        <w:rPr>
          <w:rFonts w:ascii="宋体" w:hAnsi="宋体" w:hint="eastAsia"/>
          <w:kern w:val="2"/>
          <w:sz w:val="32"/>
          <w:szCs w:val="32"/>
        </w:rPr>
        <w:t>件，审结</w:t>
      </w:r>
      <w:r>
        <w:rPr>
          <w:rFonts w:ascii="宋体" w:hAnsi="宋体" w:hint="eastAsia"/>
          <w:kern w:val="2"/>
          <w:sz w:val="32"/>
          <w:szCs w:val="32"/>
        </w:rPr>
        <w:t>220</w:t>
      </w:r>
      <w:r>
        <w:rPr>
          <w:rFonts w:ascii="宋体" w:hAnsi="宋体" w:hint="eastAsia"/>
          <w:kern w:val="2"/>
          <w:sz w:val="32"/>
          <w:szCs w:val="32"/>
        </w:rPr>
        <w:t>件。积极推进一审行政诉讼案件集中管辖、属地化解、行政负责人出庭应诉“三项机制”，促进行政争议源头预防和实质化解。</w:t>
      </w:r>
    </w:p>
    <w:p w:rsidR="00065B80" w:rsidRDefault="009A7EE1">
      <w:pPr>
        <w:jc w:val="left"/>
        <w:rPr>
          <w:rStyle w:val="ab"/>
          <w:rFonts w:ascii="楷体" w:eastAsia="楷体" w:hAnsi="楷体" w:cs="楷体"/>
          <w:b w:val="0"/>
          <w:sz w:val="32"/>
          <w:szCs w:val="32"/>
        </w:rPr>
      </w:pPr>
      <w:r>
        <w:rPr>
          <w:rStyle w:val="ab"/>
          <w:rFonts w:ascii="楷体" w:eastAsia="楷体" w:hAnsi="楷体" w:cs="楷体" w:hint="eastAsia"/>
          <w:b w:val="0"/>
          <w:sz w:val="32"/>
          <w:szCs w:val="32"/>
        </w:rPr>
        <w:t xml:space="preserve"> </w:t>
      </w:r>
      <w:r>
        <w:rPr>
          <w:rStyle w:val="ab"/>
          <w:rFonts w:ascii="楷体" w:eastAsia="楷体" w:hAnsi="楷体" w:cs="楷体" w:hint="eastAsia"/>
          <w:b w:val="0"/>
          <w:sz w:val="32"/>
          <w:szCs w:val="32"/>
        </w:rPr>
        <w:t>（四）</w:t>
      </w:r>
      <w:r>
        <w:rPr>
          <w:rStyle w:val="ab"/>
          <w:rFonts w:ascii="楷体" w:eastAsia="楷体" w:hAnsi="楷体" w:cs="楷体" w:hint="eastAsia"/>
          <w:b w:val="0"/>
          <w:sz w:val="32"/>
          <w:szCs w:val="32"/>
        </w:rPr>
        <w:t>社会效应及可持续发展能力</w:t>
      </w:r>
    </w:p>
    <w:p w:rsidR="00065B80" w:rsidRDefault="009A7EE1" w:rsidP="00F02B7A">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深化司法体制改革，促进公正高效权威司法。</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一是</w:t>
      </w:r>
      <w:r>
        <w:rPr>
          <w:rFonts w:ascii="宋体" w:hAnsi="宋体" w:hint="eastAsia"/>
          <w:kern w:val="2"/>
          <w:sz w:val="32"/>
          <w:szCs w:val="32"/>
        </w:rPr>
        <w:t>严格落实司法责任制。细化法官及辅助人员权责清单，推动院庭长带头审理重大疑难复杂案件，全市法院入额院庭长平均办案超</w:t>
      </w:r>
      <w:r>
        <w:rPr>
          <w:rFonts w:ascii="宋体" w:hAnsi="宋体" w:hint="eastAsia"/>
          <w:kern w:val="2"/>
          <w:sz w:val="32"/>
          <w:szCs w:val="32"/>
        </w:rPr>
        <w:t>115</w:t>
      </w:r>
      <w:r>
        <w:rPr>
          <w:rFonts w:ascii="宋体" w:hAnsi="宋体" w:hint="eastAsia"/>
          <w:kern w:val="2"/>
          <w:sz w:val="32"/>
          <w:szCs w:val="32"/>
        </w:rPr>
        <w:t>件。优化设置</w:t>
      </w:r>
      <w:r>
        <w:rPr>
          <w:rFonts w:ascii="宋体" w:hAnsi="宋体" w:hint="eastAsia"/>
          <w:kern w:val="2"/>
          <w:sz w:val="32"/>
          <w:szCs w:val="32"/>
        </w:rPr>
        <w:t>17</w:t>
      </w:r>
      <w:r>
        <w:rPr>
          <w:rFonts w:ascii="宋体" w:hAnsi="宋体" w:hint="eastAsia"/>
          <w:kern w:val="2"/>
          <w:sz w:val="32"/>
          <w:szCs w:val="32"/>
        </w:rPr>
        <w:t>个审判业务团队。深入推进案件质量评查审判监督，确保审判权正当行使。</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二是</w:t>
      </w:r>
      <w:r>
        <w:rPr>
          <w:rFonts w:ascii="宋体" w:hAnsi="宋体" w:hint="eastAsia"/>
          <w:kern w:val="2"/>
          <w:sz w:val="32"/>
          <w:szCs w:val="32"/>
        </w:rPr>
        <w:t>全面深化综合配套改革。法官单独职务序列改革稳步推进。深入实施案件繁简分流，简化庭审程序，缩短庭审时间，办结速裁案件</w:t>
      </w:r>
      <w:r>
        <w:rPr>
          <w:rFonts w:ascii="宋体" w:hAnsi="宋体" w:hint="eastAsia"/>
          <w:kern w:val="2"/>
          <w:sz w:val="32"/>
          <w:szCs w:val="32"/>
        </w:rPr>
        <w:t>13077</w:t>
      </w:r>
      <w:r>
        <w:rPr>
          <w:rFonts w:ascii="宋体" w:hAnsi="宋体" w:hint="eastAsia"/>
          <w:kern w:val="2"/>
          <w:sz w:val="32"/>
          <w:szCs w:val="32"/>
        </w:rPr>
        <w:t>件，平均审理周期</w:t>
      </w:r>
      <w:r>
        <w:rPr>
          <w:rFonts w:ascii="宋体" w:hAnsi="宋体" w:hint="eastAsia"/>
          <w:kern w:val="2"/>
          <w:sz w:val="32"/>
          <w:szCs w:val="32"/>
        </w:rPr>
        <w:t>27.7</w:t>
      </w:r>
      <w:r>
        <w:rPr>
          <w:rFonts w:ascii="宋体" w:hAnsi="宋体" w:hint="eastAsia"/>
          <w:kern w:val="2"/>
          <w:sz w:val="32"/>
          <w:szCs w:val="32"/>
        </w:rPr>
        <w:t>天。</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三是</w:t>
      </w:r>
      <w:r>
        <w:rPr>
          <w:rFonts w:ascii="宋体" w:hAnsi="宋体" w:hint="eastAsia"/>
          <w:kern w:val="2"/>
          <w:sz w:val="32"/>
          <w:szCs w:val="32"/>
        </w:rPr>
        <w:t>夯实基层基础。持续深化省以下法院人财物统管配套改革，协调推动员额、经费等向基层倾斜。开展中院院领导驻人民法庭调研。改善法庭物质装备，健全履职保障设施，维护法官人格尊严和人身安全。</w:t>
      </w:r>
    </w:p>
    <w:p w:rsidR="00065B80" w:rsidRDefault="009A7EE1">
      <w:pPr>
        <w:ind w:left="420"/>
        <w:jc w:val="left"/>
        <w:rPr>
          <w:rStyle w:val="ab"/>
          <w:rFonts w:ascii="楷体" w:eastAsia="楷体" w:hAnsi="楷体" w:cs="楷体"/>
          <w:b w:val="0"/>
          <w:sz w:val="32"/>
          <w:szCs w:val="32"/>
        </w:rPr>
      </w:pPr>
      <w:r>
        <w:rPr>
          <w:rStyle w:val="ab"/>
          <w:rFonts w:ascii="楷体" w:eastAsia="楷体" w:hAnsi="楷体" w:cs="楷体" w:hint="eastAsia"/>
          <w:b w:val="0"/>
          <w:sz w:val="32"/>
          <w:szCs w:val="32"/>
        </w:rPr>
        <w:t>（</w:t>
      </w:r>
      <w:r>
        <w:rPr>
          <w:rStyle w:val="ab"/>
          <w:rFonts w:ascii="楷体" w:eastAsia="楷体" w:hAnsi="楷体" w:cs="楷体" w:hint="eastAsia"/>
          <w:b w:val="0"/>
          <w:sz w:val="32"/>
          <w:szCs w:val="32"/>
        </w:rPr>
        <w:t>五</w:t>
      </w:r>
      <w:r>
        <w:rPr>
          <w:rStyle w:val="ab"/>
          <w:rFonts w:ascii="楷体" w:eastAsia="楷体" w:hAnsi="楷体" w:cs="楷体" w:hint="eastAsia"/>
          <w:b w:val="0"/>
          <w:sz w:val="32"/>
          <w:szCs w:val="32"/>
        </w:rPr>
        <w:t>）</w:t>
      </w:r>
      <w:r>
        <w:rPr>
          <w:rStyle w:val="ab"/>
          <w:rFonts w:ascii="楷体" w:eastAsia="楷体" w:hAnsi="楷体" w:cs="楷体" w:hint="eastAsia"/>
          <w:b w:val="0"/>
          <w:sz w:val="32"/>
          <w:szCs w:val="32"/>
        </w:rPr>
        <w:t>服务对象满意度</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始终践行司法为民宗旨，贯彻以人民为中心的发展理念。</w:t>
      </w:r>
    </w:p>
    <w:p w:rsidR="00065B80" w:rsidRDefault="009A7EE1">
      <w:pPr>
        <w:pStyle w:val="aa"/>
        <w:widowControl/>
        <w:shd w:val="clear" w:color="auto" w:fill="FFFFFF"/>
        <w:spacing w:beforeAutospacing="0" w:afterAutospacing="0"/>
        <w:ind w:firstLineChars="300" w:firstLine="960"/>
        <w:rPr>
          <w:rFonts w:ascii="宋体" w:hAnsi="宋体"/>
          <w:kern w:val="2"/>
          <w:sz w:val="32"/>
          <w:szCs w:val="32"/>
        </w:rPr>
      </w:pPr>
      <w:r>
        <w:rPr>
          <w:rFonts w:ascii="宋体" w:hAnsi="宋体" w:hint="eastAsia"/>
          <w:kern w:val="2"/>
          <w:sz w:val="32"/>
          <w:szCs w:val="32"/>
        </w:rPr>
        <w:lastRenderedPageBreak/>
        <w:t>强化民生司法保障。依法审结教育、就业等民生案件</w:t>
      </w:r>
      <w:r>
        <w:rPr>
          <w:rFonts w:ascii="宋体" w:hAnsi="宋体" w:hint="eastAsia"/>
          <w:kern w:val="2"/>
          <w:sz w:val="32"/>
          <w:szCs w:val="32"/>
        </w:rPr>
        <w:t>4802</w:t>
      </w:r>
      <w:r>
        <w:rPr>
          <w:rFonts w:ascii="宋体" w:hAnsi="宋体" w:hint="eastAsia"/>
          <w:kern w:val="2"/>
          <w:sz w:val="32"/>
          <w:szCs w:val="32"/>
        </w:rPr>
        <w:t>件。开展为农民工讨薪行动，追回工资</w:t>
      </w:r>
      <w:r>
        <w:rPr>
          <w:rFonts w:ascii="宋体" w:hAnsi="宋体" w:hint="eastAsia"/>
          <w:kern w:val="2"/>
          <w:sz w:val="32"/>
          <w:szCs w:val="32"/>
        </w:rPr>
        <w:t>899.26</w:t>
      </w:r>
      <w:r>
        <w:rPr>
          <w:rFonts w:ascii="宋体" w:hAnsi="宋体" w:hint="eastAsia"/>
          <w:kern w:val="2"/>
          <w:sz w:val="32"/>
          <w:szCs w:val="32"/>
        </w:rPr>
        <w:t>万元。助力集中化解房地产“无籍房”办证难题，高效推进“鸿都苑”等涉破产企业楼盘办证工作。</w:t>
      </w:r>
    </w:p>
    <w:p w:rsidR="00065B80" w:rsidRDefault="009A7EE1">
      <w:pPr>
        <w:pStyle w:val="aa"/>
        <w:widowControl/>
        <w:shd w:val="clear" w:color="auto" w:fill="FFFFFF"/>
        <w:spacing w:beforeAutospacing="0" w:afterAutospacing="0"/>
        <w:ind w:firstLineChars="250" w:firstLine="800"/>
        <w:rPr>
          <w:rFonts w:ascii="宋体" w:hAnsi="宋体"/>
          <w:kern w:val="2"/>
          <w:sz w:val="32"/>
          <w:szCs w:val="32"/>
        </w:rPr>
      </w:pPr>
      <w:r>
        <w:rPr>
          <w:rFonts w:ascii="宋体" w:hAnsi="宋体" w:hint="eastAsia"/>
          <w:kern w:val="2"/>
          <w:sz w:val="32"/>
          <w:szCs w:val="32"/>
        </w:rPr>
        <w:t>全力攻坚执行难。持续推进切实解决执行难，执结案件</w:t>
      </w:r>
      <w:r>
        <w:rPr>
          <w:rFonts w:ascii="宋体" w:hAnsi="宋体" w:hint="eastAsia"/>
          <w:kern w:val="2"/>
          <w:sz w:val="32"/>
          <w:szCs w:val="32"/>
        </w:rPr>
        <w:t>16821</w:t>
      </w:r>
      <w:r>
        <w:rPr>
          <w:rFonts w:ascii="宋体" w:hAnsi="宋体" w:hint="eastAsia"/>
          <w:kern w:val="2"/>
          <w:sz w:val="32"/>
          <w:szCs w:val="32"/>
        </w:rPr>
        <w:t>件，到位金额</w:t>
      </w:r>
      <w:r>
        <w:rPr>
          <w:rFonts w:ascii="宋体" w:hAnsi="宋体" w:hint="eastAsia"/>
          <w:kern w:val="2"/>
          <w:sz w:val="32"/>
          <w:szCs w:val="32"/>
        </w:rPr>
        <w:t>17.27</w:t>
      </w:r>
      <w:r>
        <w:rPr>
          <w:rFonts w:ascii="宋体" w:hAnsi="宋体" w:hint="eastAsia"/>
          <w:kern w:val="2"/>
          <w:sz w:val="32"/>
          <w:szCs w:val="32"/>
        </w:rPr>
        <w:t>亿元。开展服务保障“三高四新”战略专项执行行动，被《人民法院报》《湖南日报》等媒体推介。</w:t>
      </w:r>
    </w:p>
    <w:p w:rsidR="00065B80" w:rsidRDefault="009A7EE1">
      <w:pPr>
        <w:pStyle w:val="aa"/>
        <w:widowControl/>
        <w:shd w:val="clear" w:color="auto" w:fill="FFFFFF"/>
        <w:spacing w:beforeAutospacing="0" w:afterAutospacing="0"/>
        <w:ind w:firstLineChars="250" w:firstLine="800"/>
      </w:pPr>
      <w:r>
        <w:rPr>
          <w:rFonts w:ascii="宋体" w:hAnsi="宋体" w:hint="eastAsia"/>
          <w:kern w:val="2"/>
          <w:sz w:val="32"/>
          <w:szCs w:val="32"/>
        </w:rPr>
        <w:t>升级一站式便民服务。推动诉讼服务窗口一站式办理，加快“智慧法院</w:t>
      </w:r>
      <w:r>
        <w:rPr>
          <w:rFonts w:ascii="宋体" w:hAnsi="宋体" w:hint="eastAsia"/>
          <w:kern w:val="2"/>
          <w:sz w:val="32"/>
          <w:szCs w:val="32"/>
        </w:rPr>
        <w:t>2.0</w:t>
      </w:r>
      <w:r>
        <w:rPr>
          <w:rFonts w:ascii="宋体" w:hAnsi="宋体" w:hint="eastAsia"/>
          <w:kern w:val="2"/>
          <w:sz w:val="32"/>
          <w:szCs w:val="32"/>
        </w:rPr>
        <w:t>”建设，网上立案</w:t>
      </w:r>
      <w:r>
        <w:rPr>
          <w:rFonts w:ascii="宋体" w:hAnsi="宋体" w:hint="eastAsia"/>
          <w:kern w:val="2"/>
          <w:sz w:val="32"/>
          <w:szCs w:val="32"/>
        </w:rPr>
        <w:t>6019</w:t>
      </w:r>
      <w:r>
        <w:rPr>
          <w:rFonts w:ascii="宋体" w:hAnsi="宋体" w:hint="eastAsia"/>
          <w:kern w:val="2"/>
          <w:sz w:val="32"/>
          <w:szCs w:val="32"/>
        </w:rPr>
        <w:t>件，跨域立案</w:t>
      </w:r>
      <w:r>
        <w:rPr>
          <w:rFonts w:ascii="宋体" w:hAnsi="宋体" w:hint="eastAsia"/>
          <w:kern w:val="2"/>
          <w:sz w:val="32"/>
          <w:szCs w:val="32"/>
        </w:rPr>
        <w:t>337</w:t>
      </w:r>
      <w:r>
        <w:rPr>
          <w:rFonts w:ascii="宋体" w:hAnsi="宋体" w:hint="eastAsia"/>
          <w:kern w:val="2"/>
          <w:sz w:val="32"/>
          <w:szCs w:val="32"/>
        </w:rPr>
        <w:t>件，电子送达文书</w:t>
      </w:r>
      <w:r>
        <w:rPr>
          <w:rFonts w:ascii="宋体" w:hAnsi="宋体" w:hint="eastAsia"/>
          <w:kern w:val="2"/>
          <w:sz w:val="32"/>
          <w:szCs w:val="32"/>
        </w:rPr>
        <w:t>123052</w:t>
      </w:r>
      <w:r>
        <w:rPr>
          <w:rFonts w:ascii="宋体" w:hAnsi="宋体" w:hint="eastAsia"/>
          <w:kern w:val="2"/>
          <w:sz w:val="32"/>
          <w:szCs w:val="32"/>
        </w:rPr>
        <w:t>次，在线音视频调解</w:t>
      </w:r>
      <w:r>
        <w:rPr>
          <w:rFonts w:ascii="宋体" w:hAnsi="宋体" w:hint="eastAsia"/>
          <w:kern w:val="2"/>
          <w:sz w:val="32"/>
          <w:szCs w:val="32"/>
        </w:rPr>
        <w:t>4694</w:t>
      </w:r>
      <w:r>
        <w:rPr>
          <w:rFonts w:ascii="宋体" w:hAnsi="宋体" w:hint="eastAsia"/>
          <w:kern w:val="2"/>
          <w:sz w:val="32"/>
          <w:szCs w:val="32"/>
        </w:rPr>
        <w:t>次，网上开庭</w:t>
      </w:r>
      <w:r>
        <w:rPr>
          <w:rFonts w:ascii="宋体" w:hAnsi="宋体" w:hint="eastAsia"/>
          <w:kern w:val="2"/>
          <w:sz w:val="32"/>
          <w:szCs w:val="32"/>
        </w:rPr>
        <w:t>1080</w:t>
      </w:r>
      <w:r>
        <w:rPr>
          <w:rFonts w:ascii="宋体" w:hAnsi="宋体" w:hint="eastAsia"/>
          <w:kern w:val="2"/>
          <w:sz w:val="32"/>
          <w:szCs w:val="32"/>
        </w:rPr>
        <w:t>场。诉前成功调解纠纷</w:t>
      </w:r>
      <w:r>
        <w:rPr>
          <w:rFonts w:ascii="宋体" w:hAnsi="宋体" w:hint="eastAsia"/>
          <w:kern w:val="2"/>
          <w:sz w:val="32"/>
          <w:szCs w:val="32"/>
        </w:rPr>
        <w:t>11385</w:t>
      </w:r>
      <w:r>
        <w:rPr>
          <w:rFonts w:ascii="宋体" w:hAnsi="宋体" w:hint="eastAsia"/>
          <w:kern w:val="2"/>
          <w:sz w:val="32"/>
          <w:szCs w:val="32"/>
        </w:rPr>
        <w:t>件，将矛盾化解在基层，工作经验被最高法</w:t>
      </w:r>
      <w:r>
        <w:rPr>
          <w:rFonts w:ascii="宋体" w:hAnsi="宋体" w:hint="eastAsia"/>
          <w:kern w:val="2"/>
          <w:sz w:val="32"/>
          <w:szCs w:val="32"/>
        </w:rPr>
        <w:t>院《司法改革动态》推介。</w:t>
      </w:r>
    </w:p>
    <w:p w:rsidR="00065B80" w:rsidRDefault="009A7EE1" w:rsidP="00F02B7A">
      <w:pPr>
        <w:widowControl/>
        <w:numPr>
          <w:ilvl w:val="0"/>
          <w:numId w:val="6"/>
        </w:numPr>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存在的主要问题及原因分析</w:t>
      </w:r>
    </w:p>
    <w:p w:rsidR="00065B80" w:rsidRDefault="009A7EE1">
      <w:pPr>
        <w:pStyle w:val="a0"/>
        <w:ind w:firstLineChars="0" w:firstLine="0"/>
      </w:pPr>
      <w:r>
        <w:rPr>
          <w:rFonts w:ascii="宋体" w:eastAsia="宋体" w:hAnsi="宋体" w:cs="Times New Roman" w:hint="eastAsia"/>
          <w:sz w:val="32"/>
          <w:szCs w:val="32"/>
        </w:rPr>
        <w:t>2021</w:t>
      </w:r>
      <w:r>
        <w:rPr>
          <w:rFonts w:ascii="宋体" w:eastAsia="宋体" w:hAnsi="宋体" w:cs="Times New Roman" w:hint="eastAsia"/>
          <w:sz w:val="32"/>
          <w:szCs w:val="32"/>
        </w:rPr>
        <w:t>年项目支出因项目立项、财评以及指标下达时间等各方面的原因，支出缓慢，造成项目结转结余资金较多，下阶段，我们将加快项目资金使用进度，提高项目支出进度。</w:t>
      </w:r>
    </w:p>
    <w:p w:rsidR="00065B80" w:rsidRDefault="009A7EE1" w:rsidP="00F02B7A">
      <w:pPr>
        <w:widowControl/>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八、下一步改进措施</w:t>
      </w:r>
    </w:p>
    <w:p w:rsidR="00065B80" w:rsidRDefault="009A7EE1">
      <w:pPr>
        <w:pStyle w:val="aa"/>
        <w:widowControl/>
        <w:shd w:val="clear" w:color="auto" w:fill="FFFFFF"/>
        <w:spacing w:beforeAutospacing="0" w:afterAutospacing="0"/>
        <w:ind w:firstLineChars="200" w:firstLine="640"/>
        <w:rPr>
          <w:rFonts w:ascii="宋体" w:cs="微软雅黑"/>
          <w:sz w:val="32"/>
          <w:szCs w:val="32"/>
        </w:rPr>
      </w:pPr>
      <w:r>
        <w:rPr>
          <w:rFonts w:ascii="宋体" w:hAnsi="宋体" w:hint="eastAsia"/>
          <w:sz w:val="32"/>
          <w:szCs w:val="32"/>
          <w:shd w:val="clear" w:color="auto" w:fill="FFFFFF"/>
        </w:rPr>
        <w:t>为了保障审判执行及日常工作正常运转，我院将厉行勤俭节约，加强财务管理和审核，严格压缩一般</w:t>
      </w:r>
      <w:r>
        <w:rPr>
          <w:rFonts w:ascii="宋体" w:hAnsi="宋体" w:hint="eastAsia"/>
          <w:sz w:val="32"/>
          <w:szCs w:val="32"/>
          <w:shd w:val="clear" w:color="auto" w:fill="FFFFFF"/>
        </w:rPr>
        <w:t>行政</w:t>
      </w:r>
      <w:r>
        <w:rPr>
          <w:rFonts w:ascii="宋体" w:hAnsi="宋体" w:hint="eastAsia"/>
          <w:sz w:val="32"/>
          <w:szCs w:val="32"/>
          <w:shd w:val="clear" w:color="auto" w:fill="FFFFFF"/>
        </w:rPr>
        <w:t>性支出。</w:t>
      </w:r>
      <w:r>
        <w:rPr>
          <w:rFonts w:ascii="宋体"/>
          <w:sz w:val="32"/>
          <w:szCs w:val="32"/>
          <w:shd w:val="clear" w:color="auto" w:fill="FFFFFF"/>
        </w:rPr>
        <w:t> </w:t>
      </w:r>
    </w:p>
    <w:p w:rsidR="00065B80" w:rsidRDefault="009A7EE1" w:rsidP="00F02B7A">
      <w:pPr>
        <w:widowControl/>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九、绩效自评结果拟应用和公开情况</w:t>
      </w:r>
    </w:p>
    <w:p w:rsidR="00065B80" w:rsidRDefault="009A7EE1">
      <w:pPr>
        <w:pStyle w:val="aa"/>
        <w:widowControl/>
        <w:shd w:val="clear" w:color="auto" w:fill="FFFFFF"/>
        <w:spacing w:beforeAutospacing="0" w:afterAutospacing="0"/>
        <w:ind w:firstLineChars="200" w:firstLine="640"/>
        <w:rPr>
          <w:rFonts w:ascii="宋体" w:cs="微软雅黑"/>
          <w:sz w:val="32"/>
          <w:szCs w:val="32"/>
        </w:rPr>
      </w:pPr>
      <w:r>
        <w:rPr>
          <w:rFonts w:ascii="宋体" w:hAnsi="宋体" w:cs="仿宋" w:hint="eastAsia"/>
          <w:sz w:val="32"/>
          <w:szCs w:val="32"/>
          <w:shd w:val="clear" w:color="auto" w:fill="FFFFFF"/>
        </w:rPr>
        <w:t>我院将按要求将部门整体支出绩效自评报告在本单位的门户网站公开，接受社会监督。</w:t>
      </w:r>
    </w:p>
    <w:p w:rsidR="00065B80" w:rsidRDefault="009A7EE1" w:rsidP="00F02B7A">
      <w:pPr>
        <w:widowControl/>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lastRenderedPageBreak/>
        <w:t>十、其他需要说明的情况</w:t>
      </w:r>
    </w:p>
    <w:p w:rsidR="00065B80" w:rsidRDefault="009A7EE1">
      <w:pPr>
        <w:pStyle w:val="aa"/>
        <w:widowControl/>
        <w:shd w:val="clear" w:color="auto" w:fill="FFFFFF"/>
        <w:spacing w:beforeAutospacing="0" w:afterAutospacing="0"/>
        <w:ind w:firstLineChars="200" w:firstLine="640"/>
        <w:rPr>
          <w:rFonts w:ascii="宋体" w:cs="微软雅黑"/>
          <w:sz w:val="32"/>
          <w:szCs w:val="32"/>
        </w:rPr>
      </w:pPr>
      <w:r>
        <w:rPr>
          <w:rFonts w:ascii="宋体" w:hAnsi="宋体" w:cs="仿宋" w:hint="eastAsia"/>
          <w:sz w:val="32"/>
          <w:szCs w:val="32"/>
          <w:shd w:val="clear" w:color="auto" w:fill="FFFFFF"/>
        </w:rPr>
        <w:t>无。</w:t>
      </w:r>
    </w:p>
    <w:p w:rsidR="00065B80" w:rsidRDefault="009A7EE1">
      <w:pPr>
        <w:ind w:right="160"/>
        <w:jc w:val="right"/>
        <w:rPr>
          <w:rFonts w:ascii="宋体"/>
          <w:sz w:val="32"/>
          <w:szCs w:val="32"/>
        </w:rPr>
      </w:pPr>
      <w:r>
        <w:rPr>
          <w:rFonts w:ascii="宋体" w:hAnsi="宋体" w:hint="eastAsia"/>
          <w:sz w:val="32"/>
          <w:szCs w:val="32"/>
        </w:rPr>
        <w:t>湖南省娄底市中级人民法院</w:t>
      </w:r>
    </w:p>
    <w:p w:rsidR="00065B80" w:rsidRDefault="009A7EE1">
      <w:pPr>
        <w:wordWrap w:val="0"/>
        <w:jc w:val="right"/>
        <w:rPr>
          <w:rFonts w:ascii="宋体"/>
          <w:sz w:val="32"/>
          <w:szCs w:val="32"/>
        </w:rPr>
      </w:pPr>
      <w:r>
        <w:rPr>
          <w:rFonts w:ascii="宋体" w:hAnsi="宋体"/>
          <w:sz w:val="32"/>
          <w:szCs w:val="32"/>
        </w:rPr>
        <w:t>202</w:t>
      </w:r>
      <w:r>
        <w:rPr>
          <w:rFonts w:ascii="宋体" w:hAnsi="宋体" w:hint="eastAsia"/>
          <w:sz w:val="32"/>
          <w:szCs w:val="32"/>
        </w:rPr>
        <w:t>2</w:t>
      </w:r>
      <w:r>
        <w:rPr>
          <w:rFonts w:ascii="宋体" w:hAnsi="宋体" w:hint="eastAsia"/>
          <w:sz w:val="32"/>
          <w:szCs w:val="32"/>
        </w:rPr>
        <w:t>年</w:t>
      </w:r>
      <w:r>
        <w:rPr>
          <w:rFonts w:ascii="宋体" w:hAnsi="宋体" w:hint="eastAsia"/>
          <w:sz w:val="32"/>
          <w:szCs w:val="32"/>
        </w:rPr>
        <w:t>9</w:t>
      </w:r>
      <w:r>
        <w:rPr>
          <w:rFonts w:ascii="宋体" w:hAnsi="宋体" w:hint="eastAsia"/>
          <w:sz w:val="32"/>
          <w:szCs w:val="32"/>
        </w:rPr>
        <w:t>月</w:t>
      </w:r>
      <w:r>
        <w:rPr>
          <w:rFonts w:ascii="宋体" w:hAnsi="宋体" w:hint="eastAsia"/>
          <w:sz w:val="32"/>
          <w:szCs w:val="32"/>
        </w:rPr>
        <w:t>16</w:t>
      </w:r>
      <w:r>
        <w:rPr>
          <w:rFonts w:ascii="宋体" w:hAnsi="宋体" w:hint="eastAsia"/>
          <w:sz w:val="32"/>
          <w:szCs w:val="32"/>
        </w:rPr>
        <w:t>日</w:t>
      </w:r>
      <w:r>
        <w:rPr>
          <w:rFonts w:ascii="宋体" w:hAnsi="宋体" w:hint="eastAsia"/>
          <w:sz w:val="32"/>
          <w:szCs w:val="32"/>
        </w:rPr>
        <w:t xml:space="preserve">   </w:t>
      </w:r>
    </w:p>
    <w:sectPr w:rsidR="00065B80" w:rsidSect="00065B80">
      <w:footerReference w:type="default" r:id="rId8"/>
      <w:pgSz w:w="16838" w:h="11906" w:orient="landscape"/>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EE1" w:rsidRDefault="009A7EE1" w:rsidP="00065B80">
      <w:r>
        <w:separator/>
      </w:r>
    </w:p>
  </w:endnote>
  <w:endnote w:type="continuationSeparator" w:id="1">
    <w:p w:rsidR="009A7EE1" w:rsidRDefault="009A7EE1" w:rsidP="00065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339686"/>
    </w:sdtPr>
    <w:sdtContent>
      <w:p w:rsidR="00065B80" w:rsidRDefault="00065B80">
        <w:pPr>
          <w:pStyle w:val="a9"/>
          <w:jc w:val="right"/>
        </w:pPr>
        <w:r>
          <w:fldChar w:fldCharType="begin"/>
        </w:r>
        <w:r w:rsidR="009A7EE1">
          <w:instrText>PAGE   \* MERGEFORMAT</w:instrText>
        </w:r>
        <w:r>
          <w:fldChar w:fldCharType="separate"/>
        </w:r>
        <w:r w:rsidR="00F02B7A" w:rsidRPr="00F02B7A">
          <w:rPr>
            <w:noProof/>
            <w:lang w:val="zh-CN"/>
          </w:rPr>
          <w:t>30</w:t>
        </w:r>
        <w:r>
          <w:fldChar w:fldCharType="end"/>
        </w:r>
      </w:p>
    </w:sdtContent>
  </w:sdt>
  <w:p w:rsidR="00065B80" w:rsidRDefault="00065B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EE1" w:rsidRDefault="009A7EE1" w:rsidP="00065B80">
      <w:r>
        <w:separator/>
      </w:r>
    </w:p>
  </w:footnote>
  <w:footnote w:type="continuationSeparator" w:id="1">
    <w:p w:rsidR="009A7EE1" w:rsidRDefault="009A7EE1" w:rsidP="00065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56484F"/>
    <w:multiLevelType w:val="singleLevel"/>
    <w:tmpl w:val="C156484F"/>
    <w:lvl w:ilvl="0">
      <w:start w:val="3"/>
      <w:numFmt w:val="chineseCounting"/>
      <w:suff w:val="nothing"/>
      <w:lvlText w:val="（%1）"/>
      <w:lvlJc w:val="left"/>
      <w:pPr>
        <w:ind w:left="-220"/>
      </w:pPr>
      <w:rPr>
        <w:rFonts w:cs="Times New Roman" w:hint="eastAsia"/>
      </w:rPr>
    </w:lvl>
  </w:abstractNum>
  <w:abstractNum w:abstractNumId="1">
    <w:nsid w:val="C626FB1E"/>
    <w:multiLevelType w:val="singleLevel"/>
    <w:tmpl w:val="C626FB1E"/>
    <w:lvl w:ilvl="0">
      <w:start w:val="10"/>
      <w:numFmt w:val="decimal"/>
      <w:suff w:val="nothing"/>
      <w:lvlText w:val="%1、"/>
      <w:lvlJc w:val="left"/>
    </w:lvl>
  </w:abstractNum>
  <w:abstractNum w:abstractNumId="2">
    <w:nsid w:val="DF7486A2"/>
    <w:multiLevelType w:val="singleLevel"/>
    <w:tmpl w:val="DF7486A2"/>
    <w:lvl w:ilvl="0">
      <w:start w:val="7"/>
      <w:numFmt w:val="chineseCounting"/>
      <w:suff w:val="nothing"/>
      <w:lvlText w:val="%1、"/>
      <w:lvlJc w:val="left"/>
      <w:rPr>
        <w:rFonts w:hint="eastAsia"/>
      </w:rPr>
    </w:lvl>
  </w:abstractNum>
  <w:abstractNum w:abstractNumId="3">
    <w:nsid w:val="F20D7949"/>
    <w:multiLevelType w:val="singleLevel"/>
    <w:tmpl w:val="F20D7949"/>
    <w:lvl w:ilvl="0">
      <w:start w:val="3"/>
      <w:numFmt w:val="decimal"/>
      <w:suff w:val="nothing"/>
      <w:lvlText w:val="%1、"/>
      <w:lvlJc w:val="left"/>
    </w:lvl>
  </w:abstractNum>
  <w:abstractNum w:abstractNumId="4">
    <w:nsid w:val="5E2C8078"/>
    <w:multiLevelType w:val="singleLevel"/>
    <w:tmpl w:val="5E2C8078"/>
    <w:lvl w:ilvl="0">
      <w:start w:val="1"/>
      <w:numFmt w:val="decimal"/>
      <w:suff w:val="nothing"/>
      <w:lvlText w:val="%1、"/>
      <w:lvlJc w:val="left"/>
    </w:lvl>
  </w:abstractNum>
  <w:abstractNum w:abstractNumId="5">
    <w:nsid w:val="7F09627A"/>
    <w:multiLevelType w:val="multilevel"/>
    <w:tmpl w:val="7F09627A"/>
    <w:lvl w:ilvl="0">
      <w:start w:val="2"/>
      <w:numFmt w:val="japaneseCounting"/>
      <w:lvlText w:val="（%1）"/>
      <w:lvlJc w:val="left"/>
      <w:pPr>
        <w:ind w:left="1931" w:hanging="1080"/>
      </w:pPr>
      <w:rPr>
        <w:rFonts w:hAnsi="宋体"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VmODA3Njg4ZmUzNzhjYjhiODQwODVjMTM0ZDM2ZDgifQ=="/>
  </w:docVars>
  <w:rsids>
    <w:rsidRoot w:val="004506F9"/>
    <w:rsid w:val="0002229B"/>
    <w:rsid w:val="000273BD"/>
    <w:rsid w:val="00035549"/>
    <w:rsid w:val="000415B7"/>
    <w:rsid w:val="00041E3F"/>
    <w:rsid w:val="00052013"/>
    <w:rsid w:val="00055DAA"/>
    <w:rsid w:val="00061F7B"/>
    <w:rsid w:val="000658A3"/>
    <w:rsid w:val="00065B80"/>
    <w:rsid w:val="00074155"/>
    <w:rsid w:val="00080CBF"/>
    <w:rsid w:val="000A3F69"/>
    <w:rsid w:val="000B7E5D"/>
    <w:rsid w:val="000C4202"/>
    <w:rsid w:val="00103957"/>
    <w:rsid w:val="001120BA"/>
    <w:rsid w:val="001526C0"/>
    <w:rsid w:val="00152C6D"/>
    <w:rsid w:val="0016042B"/>
    <w:rsid w:val="00162D39"/>
    <w:rsid w:val="001678BD"/>
    <w:rsid w:val="001A67DB"/>
    <w:rsid w:val="001C3C29"/>
    <w:rsid w:val="001C458D"/>
    <w:rsid w:val="001C7121"/>
    <w:rsid w:val="001D51E5"/>
    <w:rsid w:val="001D6D2C"/>
    <w:rsid w:val="001E080D"/>
    <w:rsid w:val="001E53D0"/>
    <w:rsid w:val="001F0C3B"/>
    <w:rsid w:val="00202C82"/>
    <w:rsid w:val="00214427"/>
    <w:rsid w:val="00226CB7"/>
    <w:rsid w:val="002276AE"/>
    <w:rsid w:val="0024265F"/>
    <w:rsid w:val="00264552"/>
    <w:rsid w:val="00264EF9"/>
    <w:rsid w:val="00265724"/>
    <w:rsid w:val="00272512"/>
    <w:rsid w:val="0027426B"/>
    <w:rsid w:val="002862CD"/>
    <w:rsid w:val="002B6481"/>
    <w:rsid w:val="002E0A30"/>
    <w:rsid w:val="003130C4"/>
    <w:rsid w:val="00316C4B"/>
    <w:rsid w:val="0032192B"/>
    <w:rsid w:val="003227A0"/>
    <w:rsid w:val="00341BDA"/>
    <w:rsid w:val="00342BC4"/>
    <w:rsid w:val="003479BD"/>
    <w:rsid w:val="0037197D"/>
    <w:rsid w:val="003768D5"/>
    <w:rsid w:val="00391F51"/>
    <w:rsid w:val="003B4F82"/>
    <w:rsid w:val="003C47E6"/>
    <w:rsid w:val="003C4FC2"/>
    <w:rsid w:val="003E7090"/>
    <w:rsid w:val="00406098"/>
    <w:rsid w:val="00416E61"/>
    <w:rsid w:val="0042790C"/>
    <w:rsid w:val="004506F9"/>
    <w:rsid w:val="0046585D"/>
    <w:rsid w:val="004717A2"/>
    <w:rsid w:val="00473DF3"/>
    <w:rsid w:val="0047667C"/>
    <w:rsid w:val="00487911"/>
    <w:rsid w:val="00491741"/>
    <w:rsid w:val="004B0985"/>
    <w:rsid w:val="004D1487"/>
    <w:rsid w:val="005006C9"/>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E6855"/>
    <w:rsid w:val="005F3D1C"/>
    <w:rsid w:val="0062378F"/>
    <w:rsid w:val="00640F0F"/>
    <w:rsid w:val="00641842"/>
    <w:rsid w:val="00651EEC"/>
    <w:rsid w:val="0065412A"/>
    <w:rsid w:val="006712E7"/>
    <w:rsid w:val="00691E8C"/>
    <w:rsid w:val="006A22C4"/>
    <w:rsid w:val="006A351B"/>
    <w:rsid w:val="006B0422"/>
    <w:rsid w:val="006B7199"/>
    <w:rsid w:val="006C1B53"/>
    <w:rsid w:val="006D359F"/>
    <w:rsid w:val="006D5EAD"/>
    <w:rsid w:val="006D7730"/>
    <w:rsid w:val="006E5284"/>
    <w:rsid w:val="006F3EB5"/>
    <w:rsid w:val="006F49E7"/>
    <w:rsid w:val="00702E34"/>
    <w:rsid w:val="00704395"/>
    <w:rsid w:val="007123BB"/>
    <w:rsid w:val="00717621"/>
    <w:rsid w:val="00720FF1"/>
    <w:rsid w:val="00727A53"/>
    <w:rsid w:val="00745B9E"/>
    <w:rsid w:val="00781729"/>
    <w:rsid w:val="00787B42"/>
    <w:rsid w:val="007A7E8E"/>
    <w:rsid w:val="007C4539"/>
    <w:rsid w:val="007C4A4D"/>
    <w:rsid w:val="007D100A"/>
    <w:rsid w:val="007F3657"/>
    <w:rsid w:val="00812ED5"/>
    <w:rsid w:val="00815158"/>
    <w:rsid w:val="008277D9"/>
    <w:rsid w:val="0084478C"/>
    <w:rsid w:val="00851375"/>
    <w:rsid w:val="00853E6B"/>
    <w:rsid w:val="0086638C"/>
    <w:rsid w:val="00880FD8"/>
    <w:rsid w:val="008921CF"/>
    <w:rsid w:val="00892785"/>
    <w:rsid w:val="008A23A2"/>
    <w:rsid w:val="008A3E8D"/>
    <w:rsid w:val="008A6947"/>
    <w:rsid w:val="008C2F56"/>
    <w:rsid w:val="008D2CAE"/>
    <w:rsid w:val="008E0296"/>
    <w:rsid w:val="0091691A"/>
    <w:rsid w:val="0092067B"/>
    <w:rsid w:val="00921134"/>
    <w:rsid w:val="009237C4"/>
    <w:rsid w:val="009335F1"/>
    <w:rsid w:val="00944C48"/>
    <w:rsid w:val="00950252"/>
    <w:rsid w:val="0095487B"/>
    <w:rsid w:val="00967F5D"/>
    <w:rsid w:val="00974FC2"/>
    <w:rsid w:val="00981901"/>
    <w:rsid w:val="00987CBA"/>
    <w:rsid w:val="0099125D"/>
    <w:rsid w:val="009A0F95"/>
    <w:rsid w:val="009A7EE1"/>
    <w:rsid w:val="009B3ADF"/>
    <w:rsid w:val="009B623F"/>
    <w:rsid w:val="009B7BF2"/>
    <w:rsid w:val="009C3B52"/>
    <w:rsid w:val="009C3D08"/>
    <w:rsid w:val="009E6817"/>
    <w:rsid w:val="009E6E9A"/>
    <w:rsid w:val="00A01D2B"/>
    <w:rsid w:val="00A32FF3"/>
    <w:rsid w:val="00A42218"/>
    <w:rsid w:val="00A6489A"/>
    <w:rsid w:val="00A70249"/>
    <w:rsid w:val="00A70B02"/>
    <w:rsid w:val="00A71D9F"/>
    <w:rsid w:val="00A92CAF"/>
    <w:rsid w:val="00A92E9F"/>
    <w:rsid w:val="00A95ACC"/>
    <w:rsid w:val="00A95D5C"/>
    <w:rsid w:val="00A97680"/>
    <w:rsid w:val="00AD6F73"/>
    <w:rsid w:val="00AF1DBF"/>
    <w:rsid w:val="00B16548"/>
    <w:rsid w:val="00B33BEA"/>
    <w:rsid w:val="00B57C9F"/>
    <w:rsid w:val="00B63572"/>
    <w:rsid w:val="00B818E0"/>
    <w:rsid w:val="00B845B3"/>
    <w:rsid w:val="00B84A83"/>
    <w:rsid w:val="00B8531B"/>
    <w:rsid w:val="00B85D8B"/>
    <w:rsid w:val="00BB4A40"/>
    <w:rsid w:val="00BD6C3E"/>
    <w:rsid w:val="00BE1C04"/>
    <w:rsid w:val="00BE3674"/>
    <w:rsid w:val="00C10681"/>
    <w:rsid w:val="00C107B0"/>
    <w:rsid w:val="00C126AD"/>
    <w:rsid w:val="00C17F5A"/>
    <w:rsid w:val="00C23641"/>
    <w:rsid w:val="00C3049A"/>
    <w:rsid w:val="00C31B1E"/>
    <w:rsid w:val="00C356A1"/>
    <w:rsid w:val="00C53680"/>
    <w:rsid w:val="00C57D7B"/>
    <w:rsid w:val="00C65BC2"/>
    <w:rsid w:val="00C77645"/>
    <w:rsid w:val="00C85C77"/>
    <w:rsid w:val="00C96B67"/>
    <w:rsid w:val="00CA5257"/>
    <w:rsid w:val="00CA545A"/>
    <w:rsid w:val="00CE04C3"/>
    <w:rsid w:val="00CE07A3"/>
    <w:rsid w:val="00CE3A6F"/>
    <w:rsid w:val="00CE76A0"/>
    <w:rsid w:val="00D033B8"/>
    <w:rsid w:val="00D148C6"/>
    <w:rsid w:val="00D17A8A"/>
    <w:rsid w:val="00D20106"/>
    <w:rsid w:val="00D31B1D"/>
    <w:rsid w:val="00D415BA"/>
    <w:rsid w:val="00D56A91"/>
    <w:rsid w:val="00D640B3"/>
    <w:rsid w:val="00D644EE"/>
    <w:rsid w:val="00D839E3"/>
    <w:rsid w:val="00DD06FF"/>
    <w:rsid w:val="00DD5FE9"/>
    <w:rsid w:val="00DF0254"/>
    <w:rsid w:val="00E00C7A"/>
    <w:rsid w:val="00E20E45"/>
    <w:rsid w:val="00E324E9"/>
    <w:rsid w:val="00E37D6C"/>
    <w:rsid w:val="00E55B68"/>
    <w:rsid w:val="00E67BE6"/>
    <w:rsid w:val="00E71821"/>
    <w:rsid w:val="00E8683C"/>
    <w:rsid w:val="00E91272"/>
    <w:rsid w:val="00EA168D"/>
    <w:rsid w:val="00EA2B72"/>
    <w:rsid w:val="00EF2094"/>
    <w:rsid w:val="00F02B7A"/>
    <w:rsid w:val="00F32F70"/>
    <w:rsid w:val="00F6482D"/>
    <w:rsid w:val="00F74360"/>
    <w:rsid w:val="00F81398"/>
    <w:rsid w:val="00F911C5"/>
    <w:rsid w:val="00F957F9"/>
    <w:rsid w:val="00FB462F"/>
    <w:rsid w:val="00FC06B0"/>
    <w:rsid w:val="00FE16FA"/>
    <w:rsid w:val="00FE328A"/>
    <w:rsid w:val="00FE6269"/>
    <w:rsid w:val="027C3B3D"/>
    <w:rsid w:val="040649D2"/>
    <w:rsid w:val="05C22981"/>
    <w:rsid w:val="096E5414"/>
    <w:rsid w:val="0B3D3900"/>
    <w:rsid w:val="0D1C7D1F"/>
    <w:rsid w:val="0EB50CF6"/>
    <w:rsid w:val="0FB83603"/>
    <w:rsid w:val="15A44D56"/>
    <w:rsid w:val="16800E8A"/>
    <w:rsid w:val="1A69031C"/>
    <w:rsid w:val="1BBA19E9"/>
    <w:rsid w:val="1C997DE3"/>
    <w:rsid w:val="1E935868"/>
    <w:rsid w:val="1F5D5716"/>
    <w:rsid w:val="1F7E2335"/>
    <w:rsid w:val="23122559"/>
    <w:rsid w:val="235A2A4C"/>
    <w:rsid w:val="2515445A"/>
    <w:rsid w:val="25257535"/>
    <w:rsid w:val="2A0F0515"/>
    <w:rsid w:val="2CE15F63"/>
    <w:rsid w:val="2ED57E2E"/>
    <w:rsid w:val="2F126434"/>
    <w:rsid w:val="332709DF"/>
    <w:rsid w:val="34A71D15"/>
    <w:rsid w:val="3C1A28F8"/>
    <w:rsid w:val="3E0728CE"/>
    <w:rsid w:val="3F6A177A"/>
    <w:rsid w:val="43BC0209"/>
    <w:rsid w:val="4886732B"/>
    <w:rsid w:val="49434EF7"/>
    <w:rsid w:val="4B124978"/>
    <w:rsid w:val="4D2159AC"/>
    <w:rsid w:val="4DF9095E"/>
    <w:rsid w:val="4E7B16D4"/>
    <w:rsid w:val="4F8265E1"/>
    <w:rsid w:val="51D55281"/>
    <w:rsid w:val="533A5DBF"/>
    <w:rsid w:val="54A0435F"/>
    <w:rsid w:val="55DF765F"/>
    <w:rsid w:val="57EF4265"/>
    <w:rsid w:val="59BD22FD"/>
    <w:rsid w:val="5A3E4DF7"/>
    <w:rsid w:val="5A6B5906"/>
    <w:rsid w:val="5D2C7D50"/>
    <w:rsid w:val="60F65C31"/>
    <w:rsid w:val="61085B0D"/>
    <w:rsid w:val="62893447"/>
    <w:rsid w:val="64C8236F"/>
    <w:rsid w:val="66092AD9"/>
    <w:rsid w:val="6759039D"/>
    <w:rsid w:val="67650AF0"/>
    <w:rsid w:val="69011B75"/>
    <w:rsid w:val="699B7AC3"/>
    <w:rsid w:val="6B0A032C"/>
    <w:rsid w:val="6BB169FA"/>
    <w:rsid w:val="6DDC442F"/>
    <w:rsid w:val="728B5C53"/>
    <w:rsid w:val="74273CFD"/>
    <w:rsid w:val="77817729"/>
    <w:rsid w:val="78652CBF"/>
    <w:rsid w:val="7C5B1D9E"/>
    <w:rsid w:val="7E1F1C69"/>
    <w:rsid w:val="7F974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endnote text"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65B80"/>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65B80"/>
    <w:pPr>
      <w:ind w:firstLineChars="100" w:firstLine="420"/>
    </w:pPr>
  </w:style>
  <w:style w:type="paragraph" w:styleId="a4">
    <w:name w:val="Body Text"/>
    <w:basedOn w:val="a"/>
    <w:next w:val="a5"/>
    <w:qFormat/>
    <w:rsid w:val="00065B80"/>
  </w:style>
  <w:style w:type="paragraph" w:styleId="a5">
    <w:name w:val="header"/>
    <w:basedOn w:val="a"/>
    <w:next w:val="a6"/>
    <w:link w:val="Char"/>
    <w:uiPriority w:val="99"/>
    <w:unhideWhenUsed/>
    <w:qFormat/>
    <w:rsid w:val="00065B80"/>
    <w:pPr>
      <w:pBdr>
        <w:bottom w:val="single" w:sz="6" w:space="1" w:color="auto"/>
      </w:pBdr>
      <w:tabs>
        <w:tab w:val="center" w:pos="4153"/>
        <w:tab w:val="right" w:pos="8306"/>
      </w:tabs>
      <w:snapToGrid w:val="0"/>
      <w:jc w:val="center"/>
    </w:pPr>
    <w:rPr>
      <w:sz w:val="18"/>
      <w:szCs w:val="18"/>
    </w:rPr>
  </w:style>
  <w:style w:type="paragraph" w:styleId="a6">
    <w:name w:val="endnote text"/>
    <w:basedOn w:val="a"/>
    <w:uiPriority w:val="99"/>
    <w:qFormat/>
    <w:rsid w:val="00065B80"/>
    <w:pPr>
      <w:snapToGrid w:val="0"/>
      <w:jc w:val="left"/>
    </w:pPr>
  </w:style>
  <w:style w:type="paragraph" w:styleId="a7">
    <w:name w:val="Normal Indent"/>
    <w:basedOn w:val="a"/>
    <w:qFormat/>
    <w:rsid w:val="00065B80"/>
    <w:pPr>
      <w:ind w:firstLine="680"/>
    </w:pPr>
    <w:rPr>
      <w:rFonts w:ascii="Calibri" w:eastAsia="宋体" w:hAnsi="Calibri" w:cs="宋体"/>
      <w:szCs w:val="24"/>
    </w:rPr>
  </w:style>
  <w:style w:type="paragraph" w:styleId="a8">
    <w:name w:val="Balloon Text"/>
    <w:basedOn w:val="a"/>
    <w:link w:val="Char0"/>
    <w:uiPriority w:val="99"/>
    <w:semiHidden/>
    <w:unhideWhenUsed/>
    <w:rsid w:val="00065B80"/>
    <w:rPr>
      <w:sz w:val="18"/>
      <w:szCs w:val="18"/>
    </w:rPr>
  </w:style>
  <w:style w:type="paragraph" w:styleId="a9">
    <w:name w:val="footer"/>
    <w:basedOn w:val="a"/>
    <w:link w:val="Char1"/>
    <w:uiPriority w:val="99"/>
    <w:unhideWhenUsed/>
    <w:qFormat/>
    <w:rsid w:val="00065B80"/>
    <w:pPr>
      <w:tabs>
        <w:tab w:val="center" w:pos="4153"/>
        <w:tab w:val="right" w:pos="8306"/>
      </w:tabs>
      <w:snapToGrid w:val="0"/>
      <w:jc w:val="left"/>
    </w:pPr>
    <w:rPr>
      <w:sz w:val="18"/>
      <w:szCs w:val="18"/>
    </w:rPr>
  </w:style>
  <w:style w:type="paragraph" w:styleId="aa">
    <w:name w:val="Normal (Web)"/>
    <w:basedOn w:val="a"/>
    <w:qFormat/>
    <w:rsid w:val="00065B80"/>
    <w:pPr>
      <w:spacing w:beforeAutospacing="1" w:afterAutospacing="1"/>
      <w:jc w:val="left"/>
    </w:pPr>
    <w:rPr>
      <w:rFonts w:ascii="Times New Roman" w:eastAsia="宋体" w:hAnsi="Times New Roman" w:cs="Times New Roman"/>
      <w:kern w:val="0"/>
      <w:sz w:val="24"/>
      <w:szCs w:val="20"/>
    </w:rPr>
  </w:style>
  <w:style w:type="character" w:styleId="ab">
    <w:name w:val="Strong"/>
    <w:basedOn w:val="a1"/>
    <w:uiPriority w:val="99"/>
    <w:qFormat/>
    <w:rsid w:val="00065B80"/>
    <w:rPr>
      <w:rFonts w:cs="Times New Roman"/>
      <w:b/>
    </w:rPr>
  </w:style>
  <w:style w:type="character" w:customStyle="1" w:styleId="Char">
    <w:name w:val="页眉 Char"/>
    <w:basedOn w:val="a1"/>
    <w:link w:val="a5"/>
    <w:uiPriority w:val="99"/>
    <w:qFormat/>
    <w:rsid w:val="00065B80"/>
    <w:rPr>
      <w:sz w:val="18"/>
      <w:szCs w:val="18"/>
    </w:rPr>
  </w:style>
  <w:style w:type="character" w:customStyle="1" w:styleId="Char1">
    <w:name w:val="页脚 Char"/>
    <w:basedOn w:val="a1"/>
    <w:link w:val="a9"/>
    <w:uiPriority w:val="99"/>
    <w:qFormat/>
    <w:rsid w:val="00065B80"/>
    <w:rPr>
      <w:sz w:val="18"/>
      <w:szCs w:val="18"/>
    </w:rPr>
  </w:style>
  <w:style w:type="paragraph" w:customStyle="1" w:styleId="Default">
    <w:name w:val="Default"/>
    <w:uiPriority w:val="99"/>
    <w:qFormat/>
    <w:rsid w:val="00065B80"/>
    <w:pPr>
      <w:widowControl w:val="0"/>
      <w:autoSpaceDE w:val="0"/>
      <w:autoSpaceDN w:val="0"/>
      <w:adjustRightInd w:val="0"/>
    </w:pPr>
    <w:rPr>
      <w:rFonts w:ascii="黑体" w:eastAsia="黑体" w:hAnsiTheme="minorHAnsi" w:cs="黑体"/>
      <w:color w:val="000000"/>
      <w:sz w:val="24"/>
      <w:szCs w:val="24"/>
    </w:rPr>
  </w:style>
  <w:style w:type="paragraph" w:styleId="ac">
    <w:name w:val="List Paragraph"/>
    <w:basedOn w:val="a"/>
    <w:uiPriority w:val="34"/>
    <w:qFormat/>
    <w:rsid w:val="00065B80"/>
    <w:pPr>
      <w:ind w:firstLineChars="200" w:firstLine="420"/>
    </w:pPr>
  </w:style>
  <w:style w:type="character" w:customStyle="1" w:styleId="Char0">
    <w:name w:val="批注框文本 Char"/>
    <w:basedOn w:val="a1"/>
    <w:link w:val="a8"/>
    <w:uiPriority w:val="99"/>
    <w:semiHidden/>
    <w:qFormat/>
    <w:rsid w:val="00065B80"/>
    <w:rPr>
      <w:sz w:val="18"/>
      <w:szCs w:val="18"/>
    </w:rPr>
  </w:style>
  <w:style w:type="paragraph" w:customStyle="1" w:styleId="msonormalcxspmiddle">
    <w:name w:val="msonormalcxspmiddle"/>
    <w:basedOn w:val="a"/>
    <w:qFormat/>
    <w:rsid w:val="00065B80"/>
    <w:pPr>
      <w:widowControl/>
      <w:spacing w:before="100" w:beforeAutospacing="1" w:after="100" w:afterAutospacing="1"/>
      <w:jc w:val="left"/>
    </w:pPr>
    <w:rPr>
      <w:rFonts w:ascii="宋体" w:eastAsia="宋体" w:hAnsi="宋体" w:cs="宋体"/>
      <w:kern w:val="0"/>
      <w:sz w:val="24"/>
      <w:szCs w:val="24"/>
    </w:rPr>
  </w:style>
  <w:style w:type="paragraph" w:customStyle="1" w:styleId="paragraph">
    <w:name w:val="paragraph"/>
    <w:basedOn w:val="a"/>
    <w:qFormat/>
    <w:rsid w:val="00065B80"/>
    <w:pPr>
      <w:widowControl/>
      <w:spacing w:before="100" w:beforeAutospacing="1" w:after="100" w:afterAutospacing="1"/>
      <w:jc w:val="left"/>
    </w:pPr>
    <w:rPr>
      <w:rFonts w:ascii="宋体" w:eastAsia="宋体" w:hAnsi="宋体"/>
      <w:kern w:val="0"/>
      <w:sz w:val="24"/>
      <w:szCs w:val="24"/>
    </w:rPr>
  </w:style>
  <w:style w:type="character" w:customStyle="1" w:styleId="font11">
    <w:name w:val="font11"/>
    <w:basedOn w:val="a1"/>
    <w:qFormat/>
    <w:rsid w:val="00065B80"/>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D7A1-530E-4897-B836-C92542E5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2767</Words>
  <Characters>15775</Characters>
  <Application>Microsoft Office Word</Application>
  <DocSecurity>0</DocSecurity>
  <Lines>131</Lines>
  <Paragraphs>37</Paragraphs>
  <ScaleCrop>false</ScaleCrop>
  <Company>Microsoft</Company>
  <LinksUpToDate>false</LinksUpToDate>
  <CharactersWithSpaces>18505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127</cp:revision>
  <cp:lastPrinted>2021-08-25T02:32:00Z</cp:lastPrinted>
  <dcterms:created xsi:type="dcterms:W3CDTF">2020-07-02T02:32:00Z</dcterms:created>
  <dcterms:modified xsi:type="dcterms:W3CDTF">2023-09-25T08:17:00Z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B6C980A6F74549879039B49E42B2D7FF</vt:lpwstr>
  </property>
</Properties>
</file>