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sz w:val="84"/>
          <w:szCs w:val="8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600"/>
        <w:jc w:val="center"/>
        <w:rPr>
          <w:rFonts w:hint="eastAsia" w:ascii="方正小标宋简体" w:hAnsi="方正小标宋简体" w:eastAsia="方正小标宋简体" w:cs="方正小标宋简体"/>
          <w:b w:val="0"/>
          <w:bCs w:val="0"/>
          <w:kern w:val="0"/>
          <w:sz w:val="84"/>
          <w:szCs w:val="84"/>
          <w:lang w:val="en-US" w:eastAsia="zh-CN" w:bidi="ar"/>
        </w:rPr>
      </w:pPr>
      <w:r>
        <w:rPr>
          <w:rFonts w:hint="eastAsia" w:ascii="方正小标宋简体" w:hAnsi="方正小标宋简体" w:eastAsia="方正小标宋简体" w:cs="方正小标宋简体"/>
          <w:b w:val="0"/>
          <w:bCs w:val="0"/>
          <w:kern w:val="0"/>
          <w:sz w:val="84"/>
          <w:szCs w:val="84"/>
          <w:lang w:val="en-US" w:eastAsia="zh-CN" w:bidi="ar"/>
        </w:rPr>
        <w:t>2021年度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600"/>
        <w:jc w:val="center"/>
        <w:rPr>
          <w:rFonts w:hint="eastAsia" w:ascii="方正小标宋简体" w:hAnsi="方正小标宋简体" w:eastAsia="方正小标宋简体" w:cs="方正小标宋简体"/>
          <w:b w:val="0"/>
          <w:bCs w:val="0"/>
          <w:kern w:val="0"/>
          <w:sz w:val="84"/>
          <w:szCs w:val="84"/>
          <w:lang w:val="en-US" w:eastAsia="zh-CN" w:bidi="ar"/>
        </w:rPr>
      </w:pPr>
      <w:r>
        <w:rPr>
          <w:rFonts w:hint="eastAsia" w:ascii="方正小标宋简体" w:hAnsi="方正小标宋简体" w:eastAsia="方正小标宋简体" w:cs="方正小标宋简体"/>
          <w:b w:val="0"/>
          <w:bCs w:val="0"/>
          <w:kern w:val="0"/>
          <w:sz w:val="84"/>
          <w:szCs w:val="84"/>
          <w:lang w:val="en-US" w:eastAsia="zh-CN" w:bidi="ar"/>
        </w:rPr>
        <w:t>衡阳市中级人民法院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600"/>
        <w:jc w:val="center"/>
        <w:rPr>
          <w:rFonts w:hint="eastAsia" w:ascii="黑体" w:hAnsi="黑体" w:eastAsia="黑体" w:cs="黑体"/>
          <w:b/>
          <w:bCs/>
          <w:sz w:val="112"/>
          <w:szCs w:val="112"/>
        </w:rPr>
      </w:pPr>
      <w:r>
        <w:rPr>
          <w:rFonts w:hint="eastAsia" w:ascii="方正小标宋简体" w:hAnsi="方正小标宋简体" w:eastAsia="方正小标宋简体" w:cs="方正小标宋简体"/>
          <w:b w:val="0"/>
          <w:bCs w:val="0"/>
          <w:kern w:val="0"/>
          <w:sz w:val="84"/>
          <w:szCs w:val="84"/>
          <w:lang w:val="en-US" w:eastAsia="zh-CN" w:bidi="ar"/>
        </w:rPr>
        <w:t>单位决算</w:t>
      </w: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rFonts w:hint="eastAsia"/>
          <w:sz w:val="32"/>
          <w:szCs w:val="32"/>
        </w:rPr>
      </w:pPr>
    </w:p>
    <w:p>
      <w:pPr>
        <w:pStyle w:val="15"/>
        <w:jc w:val="center"/>
        <w:rPr>
          <w:rFonts w:hint="eastAsia"/>
          <w:sz w:val="32"/>
          <w:szCs w:val="32"/>
        </w:rPr>
      </w:pPr>
    </w:p>
    <w:p>
      <w:pPr>
        <w:pStyle w:val="15"/>
        <w:jc w:val="center"/>
        <w:rPr>
          <w:sz w:val="32"/>
          <w:szCs w:val="32"/>
        </w:rPr>
      </w:pPr>
    </w:p>
    <w:p>
      <w:pPr>
        <w:pStyle w:val="15"/>
        <w:jc w:val="center"/>
        <w:rPr>
          <w:sz w:val="32"/>
          <w:szCs w:val="32"/>
        </w:rPr>
      </w:pPr>
    </w:p>
    <w:p>
      <w:pPr>
        <w:pStyle w:val="15"/>
        <w:spacing w:line="500" w:lineRule="exact"/>
        <w:jc w:val="center"/>
        <w:rPr>
          <w:rFonts w:hint="eastAsia"/>
          <w:b/>
          <w:sz w:val="56"/>
          <w:szCs w:val="56"/>
        </w:rPr>
      </w:pPr>
    </w:p>
    <w:p>
      <w:pPr>
        <w:pStyle w:val="15"/>
        <w:spacing w:line="520" w:lineRule="exact"/>
        <w:jc w:val="center"/>
        <w:rPr>
          <w:color w:val="auto"/>
          <w:sz w:val="56"/>
          <w:szCs w:val="56"/>
        </w:rPr>
      </w:pPr>
      <w:r>
        <w:rPr>
          <w:rFonts w:hint="eastAsia"/>
          <w:color w:val="auto"/>
          <w:sz w:val="36"/>
          <w:szCs w:val="36"/>
        </w:rPr>
        <w:t>目</w:t>
      </w:r>
      <w:r>
        <w:rPr>
          <w:rFonts w:hint="eastAsia"/>
          <w:color w:val="auto"/>
          <w:sz w:val="36"/>
          <w:szCs w:val="36"/>
          <w:lang w:val="en-US" w:eastAsia="zh-CN"/>
        </w:rPr>
        <w:t xml:space="preserve">  </w:t>
      </w:r>
      <w:r>
        <w:rPr>
          <w:rFonts w:hint="eastAsia"/>
          <w:color w:val="auto"/>
          <w:sz w:val="36"/>
          <w:szCs w:val="36"/>
        </w:rPr>
        <w:t>录</w:t>
      </w:r>
    </w:p>
    <w:p>
      <w:pPr>
        <w:pStyle w:val="15"/>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衡阳市中级人民法院</w:t>
      </w:r>
      <w:r>
        <w:rPr>
          <w:rFonts w:hint="eastAsia"/>
          <w:b/>
          <w:sz w:val="28"/>
          <w:szCs w:val="28"/>
        </w:rPr>
        <w:t>单位概况</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单位</w:t>
      </w:r>
      <w:r>
        <w:rPr>
          <w:rFonts w:cs="仿宋_GB2312" w:asciiTheme="minorEastAsia" w:hAnsiTheme="minorEastAsia" w:eastAsiaTheme="minorEastAsia"/>
          <w:sz w:val="28"/>
          <w:szCs w:val="28"/>
        </w:rPr>
        <w:t>职责</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5"/>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w:t>
      </w:r>
      <w:r>
        <w:rPr>
          <w:rFonts w:hint="eastAsia" w:hAnsi="仿宋_GB2312"/>
          <w:b/>
          <w:sz w:val="28"/>
          <w:szCs w:val="28"/>
          <w:lang w:eastAsia="zh-CN"/>
        </w:rPr>
        <w:t>单位</w:t>
      </w:r>
      <w:r>
        <w:rPr>
          <w:rFonts w:hint="eastAsia" w:hAnsi="仿宋_GB2312"/>
          <w:b/>
          <w:sz w:val="28"/>
          <w:szCs w:val="28"/>
        </w:rPr>
        <w:t>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5"/>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5"/>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w:t>
      </w:r>
      <w:r>
        <w:rPr>
          <w:rFonts w:hint="eastAsia" w:hAnsi="仿宋_GB2312"/>
          <w:b/>
          <w:sz w:val="28"/>
          <w:szCs w:val="28"/>
          <w:lang w:eastAsia="zh-CN"/>
        </w:rPr>
        <w:t>单位</w:t>
      </w:r>
      <w:r>
        <w:rPr>
          <w:rFonts w:hint="eastAsia" w:hAnsi="仿宋_GB2312"/>
          <w:b/>
          <w:sz w:val="28"/>
          <w:szCs w:val="28"/>
        </w:rPr>
        <w:t>决算情况说明</w:t>
      </w:r>
    </w:p>
    <w:p>
      <w:pPr>
        <w:pStyle w:val="15"/>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5"/>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5"/>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5"/>
        <w:jc w:val="center"/>
        <w:rPr>
          <w:rFonts w:hint="eastAsia"/>
          <w:sz w:val="72"/>
          <w:szCs w:val="72"/>
        </w:rPr>
      </w:pPr>
      <w:r>
        <w:rPr>
          <w:rFonts w:hint="eastAsia"/>
          <w:sz w:val="72"/>
          <w:szCs w:val="72"/>
        </w:rPr>
        <w:t xml:space="preserve">第一部分 </w:t>
      </w:r>
    </w:p>
    <w:p>
      <w:pPr>
        <w:pStyle w:val="15"/>
        <w:jc w:val="center"/>
        <w:rPr>
          <w:rFonts w:hint="eastAsia"/>
          <w:sz w:val="72"/>
          <w:szCs w:val="72"/>
        </w:rPr>
      </w:pPr>
    </w:p>
    <w:p>
      <w:pPr>
        <w:pStyle w:val="15"/>
        <w:jc w:val="center"/>
        <w:rPr>
          <w:rFonts w:hint="eastAsia"/>
          <w:sz w:val="72"/>
          <w:szCs w:val="72"/>
          <w:lang w:eastAsia="zh-CN"/>
        </w:rPr>
      </w:pPr>
      <w:r>
        <w:rPr>
          <w:rFonts w:hint="eastAsia"/>
          <w:sz w:val="72"/>
          <w:szCs w:val="72"/>
          <w:lang w:eastAsia="zh-CN"/>
        </w:rPr>
        <w:t>衡阳市中级人民法院</w:t>
      </w:r>
    </w:p>
    <w:p>
      <w:pPr>
        <w:pStyle w:val="15"/>
        <w:jc w:val="center"/>
        <w:rPr>
          <w:rFonts w:hint="eastAsia"/>
          <w:sz w:val="72"/>
          <w:szCs w:val="72"/>
        </w:rPr>
      </w:pPr>
      <w:r>
        <w:rPr>
          <w:rFonts w:hint="eastAsia"/>
          <w:sz w:val="72"/>
          <w:szCs w:val="72"/>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6"/>
        <w:ind w:left="0" w:leftChars="0" w:firstLine="0" w:firstLineChars="0"/>
        <w:jc w:val="left"/>
        <w:rPr>
          <w:rFonts w:ascii="黑体" w:hAnsi="黑体" w:eastAsia="黑体"/>
          <w:sz w:val="32"/>
          <w:szCs w:val="32"/>
        </w:rPr>
      </w:pPr>
    </w:p>
    <w:p>
      <w:pPr>
        <w:pStyle w:val="16"/>
        <w:ind w:left="0" w:leftChars="0" w:firstLine="0" w:firstLineChars="0"/>
        <w:jc w:val="left"/>
        <w:rPr>
          <w:rFonts w:ascii="黑体" w:hAnsi="黑体" w:eastAsia="黑体"/>
          <w:sz w:val="32"/>
          <w:szCs w:val="32"/>
        </w:rPr>
      </w:pPr>
    </w:p>
    <w:p>
      <w:pPr>
        <w:pStyle w:val="16"/>
        <w:numPr>
          <w:ilvl w:val="0"/>
          <w:numId w:val="1"/>
        </w:numPr>
        <w:ind w:firstLineChars="0"/>
        <w:jc w:val="left"/>
        <w:rPr>
          <w:rFonts w:ascii="黑体" w:hAnsi="黑体" w:eastAsia="黑体"/>
          <w:sz w:val="32"/>
          <w:szCs w:val="32"/>
        </w:rPr>
      </w:pPr>
      <w:r>
        <w:rPr>
          <w:rFonts w:hint="eastAsia" w:ascii="黑体" w:hAnsi="黑体" w:eastAsia="黑体"/>
          <w:sz w:val="32"/>
          <w:szCs w:val="32"/>
          <w:lang w:eastAsia="zh-CN"/>
        </w:rPr>
        <w:t>单位</w:t>
      </w:r>
      <w:r>
        <w:rPr>
          <w:rFonts w:ascii="黑体" w:hAnsi="黑体" w:eastAsia="黑体"/>
          <w:sz w:val="32"/>
          <w:szCs w:val="32"/>
        </w:rPr>
        <w:t>职责</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（一）依法审判法律规定由中级人民法院管辖和其认为应当由自己审判的刑事、民事、行政等第一审案件； </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二</w:t>
      </w:r>
      <w:r>
        <w:rPr>
          <w:rFonts w:hint="eastAsia" w:ascii="仿宋" w:hAnsi="仿宋" w:eastAsia="仿宋" w:cs="仿宋"/>
          <w:bCs/>
          <w:kern w:val="0"/>
          <w:sz w:val="32"/>
          <w:szCs w:val="32"/>
        </w:rPr>
        <w:t>）依法审理法律规定由中级人民法院审理的刑事、民事、行政第二审案件；</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三</w:t>
      </w:r>
      <w:r>
        <w:rPr>
          <w:rFonts w:hint="eastAsia" w:ascii="仿宋" w:hAnsi="仿宋" w:eastAsia="仿宋" w:cs="仿宋"/>
          <w:bCs/>
          <w:kern w:val="0"/>
          <w:sz w:val="32"/>
          <w:szCs w:val="32"/>
        </w:rPr>
        <w:t>）依法审查法律规定由中级人民法院审查的刑事、民事、行政申诉、申请再审案件；对其中确有错误的，进行提审或再审；依法审理减刑、假释案件；</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四</w:t>
      </w:r>
      <w:r>
        <w:rPr>
          <w:rFonts w:hint="eastAsia" w:ascii="仿宋" w:hAnsi="仿宋" w:eastAsia="仿宋" w:cs="仿宋"/>
          <w:bCs/>
          <w:kern w:val="0"/>
          <w:sz w:val="32"/>
          <w:szCs w:val="32"/>
        </w:rPr>
        <w:t>）审理由市人民检察院按照审判监督程序提出的抗诉案件；</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五</w:t>
      </w:r>
      <w:r>
        <w:rPr>
          <w:rFonts w:hint="eastAsia" w:ascii="仿宋" w:hAnsi="仿宋" w:eastAsia="仿宋" w:cs="仿宋"/>
          <w:bCs/>
          <w:kern w:val="0"/>
          <w:sz w:val="32"/>
          <w:szCs w:val="32"/>
        </w:rPr>
        <w:t>）依法对下级人民法院行使指定管辖权；</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六</w:t>
      </w:r>
      <w:r>
        <w:rPr>
          <w:rFonts w:hint="eastAsia" w:ascii="仿宋" w:hAnsi="仿宋" w:eastAsia="仿宋" w:cs="仿宋"/>
          <w:bCs/>
          <w:kern w:val="0"/>
          <w:sz w:val="32"/>
          <w:szCs w:val="32"/>
        </w:rPr>
        <w:t>）监督指导全市基层人民法院的审判工作；</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七</w:t>
      </w:r>
      <w:r>
        <w:rPr>
          <w:rFonts w:hint="eastAsia" w:ascii="仿宋" w:hAnsi="仿宋" w:eastAsia="仿宋" w:cs="仿宋"/>
          <w:bCs/>
          <w:kern w:val="0"/>
          <w:sz w:val="32"/>
          <w:szCs w:val="32"/>
        </w:rPr>
        <w:t>）依法行使司法执法权和司法决定权；</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八</w:t>
      </w:r>
      <w:r>
        <w:rPr>
          <w:rFonts w:hint="eastAsia" w:ascii="仿宋" w:hAnsi="仿宋" w:eastAsia="仿宋" w:cs="仿宋"/>
          <w:bCs/>
          <w:kern w:val="0"/>
          <w:sz w:val="32"/>
          <w:szCs w:val="32"/>
        </w:rPr>
        <w:t>）依法决定国家赔偿；</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九</w:t>
      </w:r>
      <w:r>
        <w:rPr>
          <w:rFonts w:hint="eastAsia" w:ascii="仿宋" w:hAnsi="仿宋" w:eastAsia="仿宋" w:cs="仿宋"/>
          <w:bCs/>
          <w:kern w:val="0"/>
          <w:sz w:val="32"/>
          <w:szCs w:val="32"/>
        </w:rPr>
        <w:t>）承办对有关法律草案征求意见的工作，针对案件审理中发现的问题提出司法建议；</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十</w:t>
      </w:r>
      <w:r>
        <w:rPr>
          <w:rFonts w:hint="eastAsia" w:ascii="仿宋" w:hAnsi="仿宋" w:eastAsia="仿宋" w:cs="仿宋"/>
          <w:bCs/>
          <w:kern w:val="0"/>
          <w:sz w:val="32"/>
          <w:szCs w:val="32"/>
        </w:rPr>
        <w:t>）领导全市法院系统的督察工作； </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十</w:t>
      </w:r>
      <w:r>
        <w:rPr>
          <w:rFonts w:hint="eastAsia" w:ascii="仿宋" w:hAnsi="仿宋" w:eastAsia="仿宋" w:cs="仿宋"/>
          <w:bCs/>
          <w:kern w:val="0"/>
          <w:sz w:val="32"/>
          <w:szCs w:val="32"/>
        </w:rPr>
        <w:t>一）在审判工作中宣传法制，教育公民自觉遵守宪法、法律；</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十二</w:t>
      </w:r>
      <w:r>
        <w:rPr>
          <w:rFonts w:hint="eastAsia" w:ascii="仿宋" w:hAnsi="仿宋" w:eastAsia="仿宋" w:cs="仿宋"/>
          <w:bCs/>
          <w:kern w:val="0"/>
          <w:sz w:val="32"/>
          <w:szCs w:val="32"/>
        </w:rPr>
        <w:t>）承办其他应由本院负责的工作。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w:t>
      </w:r>
    </w:p>
    <w:p>
      <w:pPr>
        <w:snapToGrid w:val="0"/>
        <w:spacing w:line="52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一</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内设机构设置。</w:t>
      </w:r>
      <w:r>
        <w:rPr>
          <w:rFonts w:hint="eastAsia" w:ascii="仿宋" w:hAnsi="仿宋" w:eastAsia="仿宋" w:cs="仿宋"/>
          <w:bCs/>
          <w:kern w:val="0"/>
          <w:sz w:val="32"/>
          <w:szCs w:val="32"/>
          <w:lang w:eastAsia="zh-CN"/>
        </w:rPr>
        <w:t>衡阳市中级人民法院</w:t>
      </w:r>
      <w:r>
        <w:rPr>
          <w:rFonts w:hint="eastAsia" w:ascii="仿宋" w:hAnsi="仿宋" w:eastAsia="仿宋" w:cs="仿宋"/>
          <w:bCs/>
          <w:kern w:val="0"/>
          <w:sz w:val="32"/>
          <w:szCs w:val="32"/>
        </w:rPr>
        <w:t>单位内设机构包括：立案信访局、刑事审判第一庭、刑事审判第二庭、民事审判第一庭、民事审判第二庭、民事审判第三庭、民事审判第四庭（加挂环境资源庭）、行政审判庭、审判监督第一庭、审判监督第二庭、执行局、研究室、审判管理办公室、执行裁判庭、未成年人案件综合审判庭、非诉行政案件执行局、国家赔偿委员会、清算与破产审判庭、知识产权保护审判庭、司法警察支队、办公室、政治部、行政装备处、督察处、信息网络管理处、司法技术管理处、新闻信息科。</w:t>
      </w:r>
    </w:p>
    <w:p>
      <w:pPr>
        <w:snapToGrid w:val="0"/>
        <w:spacing w:line="52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二</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决算单位构成。衡阳市中级人民法院2021年部门决算汇总公开单位构成包括：衡阳市中级人民法院本级，本单位无下级预算单位。</w:t>
      </w:r>
    </w:p>
    <w:p>
      <w:pPr>
        <w:jc w:val="center"/>
        <w:rPr>
          <w:rFonts w:hint="eastAsia"/>
          <w:sz w:val="72"/>
          <w:szCs w:val="72"/>
        </w:rPr>
      </w:pPr>
    </w:p>
    <w:p>
      <w:pPr>
        <w:jc w:val="center"/>
        <w:rPr>
          <w:rFonts w:hint="eastAsia"/>
          <w:sz w:val="72"/>
          <w:szCs w:val="72"/>
        </w:rPr>
      </w:pPr>
    </w:p>
    <w:p>
      <w:pPr>
        <w:jc w:val="both"/>
        <w:rPr>
          <w:rFonts w:hint="eastAsia"/>
          <w:sz w:val="72"/>
          <w:szCs w:val="72"/>
        </w:rPr>
      </w:pPr>
    </w:p>
    <w:p>
      <w:pPr>
        <w:jc w:val="both"/>
        <w:rPr>
          <w:rFonts w:hint="eastAsia"/>
          <w:sz w:val="72"/>
          <w:szCs w:val="72"/>
        </w:rPr>
      </w:pPr>
    </w:p>
    <w:p>
      <w:pPr>
        <w:jc w:val="both"/>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r>
        <w:rPr>
          <w:rFonts w:hint="eastAsia"/>
          <w:sz w:val="72"/>
          <w:szCs w:val="72"/>
        </w:rPr>
        <w:t>第二部分</w:t>
      </w:r>
    </w:p>
    <w:p>
      <w:pPr>
        <w:pStyle w:val="15"/>
        <w:jc w:val="center"/>
        <w:rPr>
          <w:rFonts w:hint="eastAsia"/>
          <w:sz w:val="72"/>
          <w:szCs w:val="72"/>
        </w:rPr>
      </w:pPr>
    </w:p>
    <w:p>
      <w:pPr>
        <w:pStyle w:val="15"/>
        <w:jc w:val="center"/>
        <w:rPr>
          <w:rFonts w:hint="eastAsia"/>
          <w:sz w:val="72"/>
          <w:szCs w:val="72"/>
        </w:rPr>
      </w:pPr>
      <w:r>
        <w:rPr>
          <w:rFonts w:hint="eastAsia"/>
          <w:sz w:val="72"/>
          <w:szCs w:val="72"/>
          <w:lang w:eastAsia="zh-CN"/>
        </w:rPr>
        <w:t>单位</w:t>
      </w:r>
      <w:r>
        <w:rPr>
          <w:rFonts w:hint="eastAsia"/>
          <w:sz w:val="72"/>
          <w:szCs w:val="72"/>
        </w:rPr>
        <w:t>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444" w:type="dxa"/>
        <w:tblInd w:w="0" w:type="dxa"/>
        <w:shd w:val="clear" w:color="auto" w:fill="auto"/>
        <w:tblLayout w:type="fixed"/>
        <w:tblCellMar>
          <w:top w:w="0" w:type="dxa"/>
          <w:left w:w="0" w:type="dxa"/>
          <w:bottom w:w="0" w:type="dxa"/>
          <w:right w:w="0" w:type="dxa"/>
        </w:tblCellMar>
      </w:tblPr>
      <w:tblGrid>
        <w:gridCol w:w="4069"/>
        <w:gridCol w:w="843"/>
        <w:gridCol w:w="2685"/>
        <w:gridCol w:w="3952"/>
        <w:gridCol w:w="585"/>
        <w:gridCol w:w="2310"/>
      </w:tblGrid>
      <w:tr>
        <w:tblPrEx>
          <w:shd w:val="clear" w:color="auto" w:fill="auto"/>
          <w:tblCellMar>
            <w:top w:w="0" w:type="dxa"/>
            <w:left w:w="0" w:type="dxa"/>
            <w:bottom w:w="0" w:type="dxa"/>
            <w:right w:w="0" w:type="dxa"/>
          </w:tblCellMar>
        </w:tblPrEx>
        <w:trPr>
          <w:trHeight w:val="375" w:hRule="atLeast"/>
        </w:trPr>
        <w:tc>
          <w:tcPr>
            <w:tcW w:w="406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4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85"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c>
          <w:tcPr>
            <w:tcW w:w="395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406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4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95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406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4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95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nil"/>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CellMar>
            <w:top w:w="0" w:type="dxa"/>
            <w:left w:w="0" w:type="dxa"/>
            <w:bottom w:w="0" w:type="dxa"/>
            <w:right w:w="0" w:type="dxa"/>
          </w:tblCellMar>
        </w:tblPrEx>
        <w:trPr>
          <w:trHeight w:val="300" w:hRule="atLeast"/>
        </w:trPr>
        <w:tc>
          <w:tcPr>
            <w:tcW w:w="4069"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部门：衡阳市中级人民法院</w:t>
            </w:r>
          </w:p>
        </w:tc>
        <w:tc>
          <w:tcPr>
            <w:tcW w:w="843"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685"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3952"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85"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single" w:color="808080" w:sz="4" w:space="0"/>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7597"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847" w:type="dxa"/>
            <w:gridSpan w:val="3"/>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6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73,928,523.34</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1,131,156.00</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69,236,401.68</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12,500,010.13</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2,808,600.00</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3,660,800.00</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86,428,533.47</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80,947,697.08</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13,017,292.14</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18,498,128.53</w:t>
            </w: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6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84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6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99,445,825.61</w:t>
            </w:r>
          </w:p>
        </w:tc>
        <w:tc>
          <w:tcPr>
            <w:tcW w:w="39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99,445,825.61</w:t>
            </w:r>
          </w:p>
        </w:tc>
      </w:tr>
      <w:tr>
        <w:tblPrEx>
          <w:tblCellMar>
            <w:top w:w="0" w:type="dxa"/>
            <w:left w:w="0" w:type="dxa"/>
            <w:bottom w:w="0" w:type="dxa"/>
            <w:right w:w="0" w:type="dxa"/>
          </w:tblCellMar>
        </w:tblPrEx>
        <w:trPr>
          <w:trHeight w:val="300" w:hRule="atLeast"/>
        </w:trPr>
        <w:tc>
          <w:tcPr>
            <w:tcW w:w="14444" w:type="dxa"/>
            <w:gridSpan w:val="6"/>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注：1.本表反映部门本年度的总收支和年末结转结余情况。</w:t>
            </w:r>
          </w:p>
        </w:tc>
      </w:tr>
      <w:tr>
        <w:tblPrEx>
          <w:tblCellMar>
            <w:top w:w="0" w:type="dxa"/>
            <w:left w:w="0" w:type="dxa"/>
            <w:bottom w:w="0" w:type="dxa"/>
            <w:right w:w="0" w:type="dxa"/>
          </w:tblCellMar>
        </w:tblPrEx>
        <w:trPr>
          <w:trHeight w:val="300" w:hRule="atLeast"/>
        </w:trPr>
        <w:tc>
          <w:tcPr>
            <w:tcW w:w="14444" w:type="dxa"/>
            <w:gridSpan w:val="6"/>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2.本套报表金额单位转换时可能存在尾数误差。</w:t>
            </w:r>
          </w:p>
        </w:tc>
      </w:tr>
      <w:tr>
        <w:tblPrEx>
          <w:tblCellMar>
            <w:top w:w="0" w:type="dxa"/>
            <w:left w:w="0" w:type="dxa"/>
            <w:bottom w:w="0" w:type="dxa"/>
            <w:right w:w="0" w:type="dxa"/>
          </w:tblCellMar>
        </w:tblPrEx>
        <w:trPr>
          <w:trHeight w:val="300" w:hRule="atLeast"/>
        </w:trPr>
        <w:tc>
          <w:tcPr>
            <w:tcW w:w="14444" w:type="dxa"/>
            <w:gridSpan w:val="6"/>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4870" w:type="dxa"/>
        <w:tblInd w:w="0" w:type="dxa"/>
        <w:shd w:val="clear" w:color="auto" w:fill="auto"/>
        <w:tblLayout w:type="fixed"/>
        <w:tblCellMar>
          <w:top w:w="0" w:type="dxa"/>
          <w:left w:w="0" w:type="dxa"/>
          <w:bottom w:w="0" w:type="dxa"/>
          <w:right w:w="0" w:type="dxa"/>
        </w:tblCellMar>
      </w:tblPr>
      <w:tblGrid>
        <w:gridCol w:w="2023"/>
        <w:gridCol w:w="182"/>
        <w:gridCol w:w="240"/>
        <w:gridCol w:w="1649"/>
        <w:gridCol w:w="1428"/>
        <w:gridCol w:w="1656"/>
        <w:gridCol w:w="1332"/>
        <w:gridCol w:w="1380"/>
        <w:gridCol w:w="1416"/>
        <w:gridCol w:w="1740"/>
        <w:gridCol w:w="1824"/>
      </w:tblGrid>
      <w:tr>
        <w:tblPrEx>
          <w:shd w:val="clear" w:color="auto" w:fill="auto"/>
          <w:tblCellMar>
            <w:top w:w="0" w:type="dxa"/>
            <w:left w:w="0" w:type="dxa"/>
            <w:bottom w:w="0" w:type="dxa"/>
            <w:right w:w="0" w:type="dxa"/>
          </w:tblCellMar>
        </w:tblPrEx>
        <w:trPr>
          <w:trHeight w:val="375" w:hRule="atLeast"/>
        </w:trPr>
        <w:tc>
          <w:tcPr>
            <w:tcW w:w="202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8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4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56"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c>
          <w:tcPr>
            <w:tcW w:w="133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1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4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824"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02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8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4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5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3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1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4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824" w:type="dxa"/>
            <w:tcBorders>
              <w:top w:val="nil"/>
              <w:left w:val="nil"/>
              <w:bottom w:val="nil"/>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CellMar>
            <w:top w:w="0" w:type="dxa"/>
            <w:left w:w="0" w:type="dxa"/>
            <w:bottom w:w="0" w:type="dxa"/>
            <w:right w:w="0" w:type="dxa"/>
          </w:tblCellMar>
        </w:tblPrEx>
        <w:trPr>
          <w:trHeight w:val="300" w:hRule="atLeast"/>
        </w:trPr>
        <w:tc>
          <w:tcPr>
            <w:tcW w:w="2023"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部门：衡阳市中级人民法院</w:t>
            </w:r>
          </w:p>
        </w:tc>
        <w:tc>
          <w:tcPr>
            <w:tcW w:w="182"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4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28"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56"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332"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16"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4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824" w:type="dxa"/>
            <w:tcBorders>
              <w:top w:val="nil"/>
              <w:left w:val="nil"/>
              <w:bottom w:val="single" w:color="808080" w:sz="4" w:space="0"/>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4094"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2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65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332"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38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41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74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82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2445"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649"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2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5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24"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6" w:hRule="atLeast"/>
        </w:trPr>
        <w:tc>
          <w:tcPr>
            <w:tcW w:w="2445"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49"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2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5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24"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445"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49"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2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5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32"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1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24"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094"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2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32"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4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24"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4094"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86,428,533.47</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73,928,523.34</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12,500,010.13</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1,131,156.00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979,100.00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20111</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纪检监察事务</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979,100.00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979,100.00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2011105</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派驻派出机构</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979,100.00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979,100.00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2019901</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74,707,977.47</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63,217,867.34</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11,490,110.13</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20405</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法院</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74,707,977.47</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63,217,867.34</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11,490,110.13</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2040501</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58,575,991.20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48,741,700.00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9,834,291.20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2040502</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13,244,600.00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12,094,600.00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1,150,000.00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2040504</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2040506</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1,381,567.34</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1,381,567.34</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2040599</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505,818.93</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505,818.93</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2,808,600.00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2,808,600.00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328,600.00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328,600.00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2089999</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3,660,800.00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3,630,000.00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30,800.00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3,660,800.00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3,630,000.00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30,800.00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30,800.00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64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4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6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33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445"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64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165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133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70" w:type="dxa"/>
            <w:gridSpan w:val="11"/>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7"/>
        <w:tblW w:w="15422" w:type="dxa"/>
        <w:tblInd w:w="0" w:type="dxa"/>
        <w:shd w:val="clear" w:color="auto" w:fill="auto"/>
        <w:tblLayout w:type="fixed"/>
        <w:tblCellMar>
          <w:top w:w="0" w:type="dxa"/>
          <w:left w:w="0" w:type="dxa"/>
          <w:bottom w:w="0" w:type="dxa"/>
          <w:right w:w="0" w:type="dxa"/>
        </w:tblCellMar>
      </w:tblPr>
      <w:tblGrid>
        <w:gridCol w:w="2225"/>
        <w:gridCol w:w="283"/>
        <w:gridCol w:w="283"/>
        <w:gridCol w:w="2839"/>
        <w:gridCol w:w="2100"/>
        <w:gridCol w:w="1752"/>
        <w:gridCol w:w="1728"/>
        <w:gridCol w:w="1488"/>
        <w:gridCol w:w="1180"/>
        <w:gridCol w:w="1544"/>
      </w:tblGrid>
      <w:tr>
        <w:tblPrEx>
          <w:shd w:val="clear" w:color="auto" w:fill="auto"/>
          <w:tblCellMar>
            <w:top w:w="0" w:type="dxa"/>
            <w:left w:w="0" w:type="dxa"/>
            <w:bottom w:w="0" w:type="dxa"/>
            <w:right w:w="0" w:type="dxa"/>
          </w:tblCellMar>
        </w:tblPrEx>
        <w:trPr>
          <w:trHeight w:val="375" w:hRule="atLeast"/>
        </w:trPr>
        <w:tc>
          <w:tcPr>
            <w:tcW w:w="222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00"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c>
          <w:tcPr>
            <w:tcW w:w="175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8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44"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22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0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52"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8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44" w:type="dxa"/>
            <w:tcBorders>
              <w:top w:val="nil"/>
              <w:left w:val="nil"/>
              <w:bottom w:val="nil"/>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CellMar>
            <w:top w:w="0" w:type="dxa"/>
            <w:left w:w="0" w:type="dxa"/>
            <w:bottom w:w="0" w:type="dxa"/>
            <w:right w:w="0" w:type="dxa"/>
          </w:tblCellMar>
        </w:tblPrEx>
        <w:trPr>
          <w:trHeight w:val="300" w:hRule="atLeast"/>
        </w:trPr>
        <w:tc>
          <w:tcPr>
            <w:tcW w:w="2225"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部门：衡阳市中级人民法院</w:t>
            </w:r>
          </w:p>
        </w:tc>
        <w:tc>
          <w:tcPr>
            <w:tcW w:w="283"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83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00"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752"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28"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488"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8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44" w:type="dxa"/>
            <w:tcBorders>
              <w:top w:val="nil"/>
              <w:left w:val="nil"/>
              <w:bottom w:val="single" w:color="808080" w:sz="4" w:space="0"/>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5630"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10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752"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2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48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18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54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2791"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839"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0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52"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2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8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4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1"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839"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52"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2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8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4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1"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839"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52"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72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8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4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630"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0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52"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2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8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44"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5630"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80,947,697.08</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70,370,407.51</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10,577,289.57</w:t>
            </w: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1,131,156.00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979,100.00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20111</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纪检监察事务</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979,100.00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979,100.00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2011105</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派驻派出机构</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979,100.00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979,100.00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2019901</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69,236,401.68</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58,811,168.11</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10,425,233.57</w:t>
            </w: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20405</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法院</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69,236,401.68</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58,811,168.11</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10,425,233.57</w:t>
            </w: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2040501</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58,523,130.38</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57,953,242.38</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569,888.00</w:t>
            </w: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2040502</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8,184,142.36</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8,184,142.36</w:t>
            </w: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2040504</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2040506</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671,203.21</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671,203.21</w:t>
            </w: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2040599</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857,925.73</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857,925.73</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2,808,600.00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2,808,600.00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2,480,000.00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328,600.00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328,600.00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2089999</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328,600.00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3,660,800.00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3,660,800.00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3,660,800.00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3,660,800.00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30,800.00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21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7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17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91"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839"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10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175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17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48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8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4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5422" w:type="dxa"/>
            <w:gridSpan w:val="10"/>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7"/>
        <w:tblW w:w="15422" w:type="dxa"/>
        <w:tblInd w:w="0" w:type="dxa"/>
        <w:shd w:val="clear" w:color="auto" w:fill="auto"/>
        <w:tblLayout w:type="fixed"/>
        <w:tblCellMar>
          <w:top w:w="0" w:type="dxa"/>
          <w:left w:w="0" w:type="dxa"/>
          <w:bottom w:w="0" w:type="dxa"/>
          <w:right w:w="0" w:type="dxa"/>
        </w:tblCellMar>
      </w:tblPr>
      <w:tblGrid>
        <w:gridCol w:w="2973"/>
        <w:gridCol w:w="518"/>
        <w:gridCol w:w="1528"/>
        <w:gridCol w:w="3329"/>
        <w:gridCol w:w="850"/>
        <w:gridCol w:w="1529"/>
        <w:gridCol w:w="1528"/>
        <w:gridCol w:w="1529"/>
        <w:gridCol w:w="1638"/>
      </w:tblGrid>
      <w:tr>
        <w:tblPrEx>
          <w:shd w:val="clear" w:color="auto" w:fill="auto"/>
          <w:tblCellMar>
            <w:top w:w="0" w:type="dxa"/>
            <w:left w:w="0" w:type="dxa"/>
            <w:bottom w:w="0" w:type="dxa"/>
            <w:right w:w="0" w:type="dxa"/>
          </w:tblCellMar>
        </w:tblPrEx>
        <w:trPr>
          <w:trHeight w:val="375" w:hRule="atLeast"/>
        </w:trPr>
        <w:tc>
          <w:tcPr>
            <w:tcW w:w="297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bookmarkStart w:id="0" w:name="RANGE!A1:I22"/>
            <w:bookmarkEnd w:id="0"/>
            <w:bookmarkStart w:id="1" w:name="RANGE!A1:F16"/>
          </w:p>
        </w:tc>
        <w:tc>
          <w:tcPr>
            <w:tcW w:w="51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708" w:type="dxa"/>
            <w:gridSpan w:val="3"/>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财政拨款收入支出决算总表</w:t>
            </w:r>
          </w:p>
        </w:tc>
        <w:tc>
          <w:tcPr>
            <w:tcW w:w="15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38"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973"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1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32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5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38" w:type="dxa"/>
            <w:tcBorders>
              <w:top w:val="nil"/>
              <w:left w:val="nil"/>
              <w:bottom w:val="nil"/>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CellMar>
            <w:top w:w="0" w:type="dxa"/>
            <w:left w:w="0" w:type="dxa"/>
            <w:bottom w:w="0" w:type="dxa"/>
            <w:right w:w="0" w:type="dxa"/>
          </w:tblCellMar>
        </w:tblPrEx>
        <w:trPr>
          <w:trHeight w:val="300" w:hRule="atLeast"/>
        </w:trPr>
        <w:tc>
          <w:tcPr>
            <w:tcW w:w="2973"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部门：衡阳市中级人民法院</w:t>
            </w:r>
          </w:p>
        </w:tc>
        <w:tc>
          <w:tcPr>
            <w:tcW w:w="518"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8"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32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79" w:type="dxa"/>
            <w:gridSpan w:val="2"/>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2021年度</w:t>
            </w:r>
          </w:p>
        </w:tc>
        <w:tc>
          <w:tcPr>
            <w:tcW w:w="1528"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52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38" w:type="dxa"/>
            <w:tcBorders>
              <w:top w:val="nil"/>
              <w:left w:val="nil"/>
              <w:bottom w:val="single" w:color="808080" w:sz="4" w:space="0"/>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5019"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10403" w:type="dxa"/>
            <w:gridSpan w:val="6"/>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973"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1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2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32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5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29"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2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52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63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CellMar>
            <w:top w:w="0" w:type="dxa"/>
            <w:left w:w="0" w:type="dxa"/>
            <w:bottom w:w="0" w:type="dxa"/>
            <w:right w:w="0" w:type="dxa"/>
          </w:tblCellMar>
        </w:tblPrEx>
        <w:trPr>
          <w:trHeight w:val="600" w:hRule="atLeast"/>
        </w:trPr>
        <w:tc>
          <w:tcPr>
            <w:tcW w:w="2973"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both"/>
              <w:rPr>
                <w:rFonts w:hint="eastAsia" w:ascii="宋体" w:hAnsi="宋体" w:eastAsia="宋体" w:cs="宋体"/>
                <w:i w:val="0"/>
                <w:color w:val="000000"/>
                <w:sz w:val="20"/>
                <w:szCs w:val="20"/>
                <w:u w:val="none"/>
              </w:rPr>
            </w:pPr>
          </w:p>
        </w:tc>
        <w:tc>
          <w:tcPr>
            <w:tcW w:w="51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2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2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bottom"/>
          </w:tcPr>
          <w:p>
            <w:pPr>
              <w:jc w:val="both"/>
              <w:rPr>
                <w:rFonts w:hint="eastAsia" w:ascii="宋体" w:hAnsi="宋体" w:eastAsia="宋体" w:cs="宋体"/>
                <w:i w:val="0"/>
                <w:color w:val="000000"/>
                <w:sz w:val="20"/>
                <w:szCs w:val="20"/>
                <w:u w:val="none"/>
              </w:rPr>
            </w:pPr>
          </w:p>
        </w:tc>
        <w:tc>
          <w:tcPr>
            <w:tcW w:w="85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29"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2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2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63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2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3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73,928,523.34</w:t>
            </w: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57,138,984.44</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57,138,984.44</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2,808,600.00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2,808,600.00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3,630,000.00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3,630,000.00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73,928,523.34</w:t>
            </w: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67,840,379.84</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67,840,379.84</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5,196,901.00</w:t>
            </w: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11,285,044.50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11,285,044.50</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5,196,901.00</w:t>
            </w: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7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79,125,424.34</w:t>
            </w:r>
          </w:p>
        </w:tc>
        <w:tc>
          <w:tcPr>
            <w:tcW w:w="332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85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79,125,424.34</w:t>
            </w:r>
          </w:p>
        </w:tc>
        <w:tc>
          <w:tcPr>
            <w:tcW w:w="152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79,125,424.34</w:t>
            </w:r>
          </w:p>
        </w:tc>
        <w:tc>
          <w:tcPr>
            <w:tcW w:w="152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163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784" w:type="dxa"/>
            <w:gridSpan w:val="8"/>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63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7"/>
        <w:tblW w:w="14306" w:type="dxa"/>
        <w:tblInd w:w="0" w:type="dxa"/>
        <w:shd w:val="clear" w:color="auto" w:fill="auto"/>
        <w:tblLayout w:type="fixed"/>
        <w:tblCellMar>
          <w:top w:w="0" w:type="dxa"/>
          <w:left w:w="0" w:type="dxa"/>
          <w:bottom w:w="0" w:type="dxa"/>
          <w:right w:w="0" w:type="dxa"/>
        </w:tblCellMar>
      </w:tblPr>
      <w:tblGrid>
        <w:gridCol w:w="2664"/>
        <w:gridCol w:w="339"/>
        <w:gridCol w:w="339"/>
        <w:gridCol w:w="4034"/>
        <w:gridCol w:w="2310"/>
        <w:gridCol w:w="2310"/>
        <w:gridCol w:w="2310"/>
      </w:tblGrid>
      <w:tr>
        <w:tblPrEx>
          <w:shd w:val="clear" w:color="auto" w:fill="auto"/>
          <w:tblCellMar>
            <w:top w:w="0" w:type="dxa"/>
            <w:left w:w="0" w:type="dxa"/>
            <w:bottom w:w="0" w:type="dxa"/>
            <w:right w:w="0" w:type="dxa"/>
          </w:tblCellMar>
        </w:tblPrEx>
        <w:trPr>
          <w:trHeight w:val="375" w:hRule="atLeast"/>
        </w:trPr>
        <w:tc>
          <w:tcPr>
            <w:tcW w:w="2664"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3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3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344" w:type="dxa"/>
            <w:gridSpan w:val="2"/>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c>
          <w:tcPr>
            <w:tcW w:w="231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664"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3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3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34"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nil"/>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CellMar>
            <w:top w:w="0" w:type="dxa"/>
            <w:left w:w="0" w:type="dxa"/>
            <w:bottom w:w="0" w:type="dxa"/>
            <w:right w:w="0" w:type="dxa"/>
          </w:tblCellMar>
        </w:tblPrEx>
        <w:trPr>
          <w:trHeight w:val="300" w:hRule="atLeast"/>
        </w:trPr>
        <w:tc>
          <w:tcPr>
            <w:tcW w:w="2664"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部门：衡阳市中级人民法院</w:t>
            </w:r>
          </w:p>
        </w:tc>
        <w:tc>
          <w:tcPr>
            <w:tcW w:w="33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3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034" w:type="dxa"/>
            <w:tcBorders>
              <w:top w:val="nil"/>
              <w:left w:val="nil"/>
              <w:bottom w:val="single" w:color="808080" w:sz="4" w:space="0"/>
              <w:right w:val="nil"/>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231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310" w:type="dxa"/>
            <w:tcBorders>
              <w:top w:val="nil"/>
              <w:left w:val="nil"/>
              <w:bottom w:val="single" w:color="808080" w:sz="4" w:space="0"/>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7376"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930" w:type="dxa"/>
            <w:gridSpan w:val="3"/>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3342"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034"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31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31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31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3342"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034"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034"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31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376"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7376"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67,840,379.84</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58,676,389.63</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9,163,990.21</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20199</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其他一般公共服务支出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152,056.00</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2019901</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152,056.00</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57,138,984.44</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48,127,050.23</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9,011,934.21</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20405</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法院</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57,138,984.44</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48,127,050.23</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9,011,934.21</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2040501</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48,696,938.23</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48,127,050.23</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569,888.00</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2040502</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6,770,843.00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6,770,843.00</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2040504</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1,000,000.00</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2040506</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671,203.21</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671,203.21</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390,739.40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2,808,600.00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2,808,600.00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328,600.00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328,600.00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2089999</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403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3,720,000.00</w:t>
            </w:r>
          </w:p>
        </w:tc>
        <w:tc>
          <w:tcPr>
            <w:tcW w:w="231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03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23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306" w:type="dxa"/>
            <w:gridSpan w:val="7"/>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7"/>
        <w:tblW w:w="15422" w:type="dxa"/>
        <w:tblInd w:w="0" w:type="dxa"/>
        <w:shd w:val="clear" w:color="auto" w:fill="auto"/>
        <w:tblLayout w:type="fixed"/>
        <w:tblCellMar>
          <w:top w:w="0" w:type="dxa"/>
          <w:left w:w="0" w:type="dxa"/>
          <w:bottom w:w="0" w:type="dxa"/>
          <w:right w:w="0" w:type="dxa"/>
        </w:tblCellMar>
      </w:tblPr>
      <w:tblGrid>
        <w:gridCol w:w="1816"/>
        <w:gridCol w:w="2711"/>
        <w:gridCol w:w="1385"/>
        <w:gridCol w:w="566"/>
        <w:gridCol w:w="2135"/>
        <w:gridCol w:w="1385"/>
        <w:gridCol w:w="565"/>
        <w:gridCol w:w="3474"/>
        <w:gridCol w:w="1385"/>
      </w:tblGrid>
      <w:tr>
        <w:tblPrEx>
          <w:shd w:val="clear" w:color="auto" w:fill="auto"/>
          <w:tblCellMar>
            <w:top w:w="0" w:type="dxa"/>
            <w:left w:w="0" w:type="dxa"/>
            <w:bottom w:w="0" w:type="dxa"/>
            <w:right w:w="0" w:type="dxa"/>
          </w:tblCellMar>
        </w:tblPrEx>
        <w:trPr>
          <w:trHeight w:val="375" w:hRule="atLeast"/>
        </w:trPr>
        <w:tc>
          <w:tcPr>
            <w:tcW w:w="181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747" w:type="dxa"/>
            <w:gridSpan w:val="6"/>
            <w:tcBorders>
              <w:top w:val="nil"/>
              <w:left w:val="nil"/>
              <w:bottom w:val="nil"/>
              <w:right w:val="nil"/>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一般公共预算财政拨款基本支出决算明细表</w:t>
            </w:r>
          </w:p>
        </w:tc>
        <w:tc>
          <w:tcPr>
            <w:tcW w:w="3474"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181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711"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6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3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6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474"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181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711"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66"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3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6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474"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nil"/>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CellMar>
            <w:top w:w="0" w:type="dxa"/>
            <w:left w:w="0" w:type="dxa"/>
            <w:bottom w:w="0" w:type="dxa"/>
            <w:right w:w="0" w:type="dxa"/>
          </w:tblCellMar>
        </w:tblPrEx>
        <w:trPr>
          <w:trHeight w:val="300" w:hRule="atLeast"/>
        </w:trPr>
        <w:tc>
          <w:tcPr>
            <w:tcW w:w="4527" w:type="dxa"/>
            <w:gridSpan w:val="2"/>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部门：衡阳市中级人民法院</w:t>
            </w:r>
          </w:p>
        </w:tc>
        <w:tc>
          <w:tcPr>
            <w:tcW w:w="1385"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66"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135"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85"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65"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474"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385" w:type="dxa"/>
            <w:tcBorders>
              <w:top w:val="nil"/>
              <w:left w:val="nil"/>
              <w:bottom w:val="single" w:color="808080" w:sz="4" w:space="0"/>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5912"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510" w:type="dxa"/>
            <w:gridSpan w:val="6"/>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1816"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11"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6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3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6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47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1816"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3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47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8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39,324,086.31</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18,689,755.25</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9,105,359.64</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1,302,915.64</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6,342,929.68</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1,388,583.06</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6,682,138.10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22,552.00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57,611.74</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16,966.00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2,519,418.08</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1,113,172.34</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1,149,700.00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3,214,049.04</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483,342.39</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1,556,321.60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199,774.36</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1,406,836.13</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3,720,000.00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1,145,089.32</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7,057,075.02</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396,511.00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639,996.07</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390,739.40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66,481.00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43,868.50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5,586.00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345,641.21</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130,320.00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173,659.00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1,187,287.85</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1,663,900.00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465,807.57</w:t>
            </w: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8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c>
          <w:tcPr>
            <w:tcW w:w="56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13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4,541,305.96</w:t>
            </w:r>
          </w:p>
        </w:tc>
        <w:tc>
          <w:tcPr>
            <w:tcW w:w="5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3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527"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39,964,082.38</w:t>
            </w:r>
          </w:p>
        </w:tc>
        <w:tc>
          <w:tcPr>
            <w:tcW w:w="8125" w:type="dxa"/>
            <w:gridSpan w:val="5"/>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18,712,307.25</w:t>
            </w:r>
          </w:p>
        </w:tc>
      </w:tr>
      <w:tr>
        <w:tblPrEx>
          <w:tblCellMar>
            <w:top w:w="0" w:type="dxa"/>
            <w:left w:w="0" w:type="dxa"/>
            <w:bottom w:w="0" w:type="dxa"/>
            <w:right w:w="0" w:type="dxa"/>
          </w:tblCellMar>
        </w:tblPrEx>
        <w:trPr>
          <w:trHeight w:val="300" w:hRule="atLeast"/>
        </w:trPr>
        <w:tc>
          <w:tcPr>
            <w:tcW w:w="15422" w:type="dxa"/>
            <w:gridSpan w:val="9"/>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tbl>
      <w:tblPr>
        <w:tblStyle w:val="7"/>
        <w:tblW w:w="15422" w:type="dxa"/>
        <w:tblInd w:w="0" w:type="dxa"/>
        <w:shd w:val="clear" w:color="auto" w:fill="auto"/>
        <w:tblLayout w:type="fixed"/>
        <w:tblCellMar>
          <w:top w:w="0" w:type="dxa"/>
          <w:left w:w="0" w:type="dxa"/>
          <w:bottom w:w="0" w:type="dxa"/>
          <w:right w:w="0" w:type="dxa"/>
        </w:tblCellMar>
      </w:tblPr>
      <w:tblGrid>
        <w:gridCol w:w="2038"/>
        <w:gridCol w:w="1108"/>
        <w:gridCol w:w="1220"/>
        <w:gridCol w:w="1107"/>
        <w:gridCol w:w="1220"/>
        <w:gridCol w:w="1745"/>
        <w:gridCol w:w="1220"/>
        <w:gridCol w:w="1109"/>
        <w:gridCol w:w="1220"/>
        <w:gridCol w:w="1109"/>
        <w:gridCol w:w="1220"/>
        <w:gridCol w:w="1106"/>
      </w:tblGrid>
      <w:tr>
        <w:tblPrEx>
          <w:shd w:val="clear" w:color="auto" w:fill="auto"/>
          <w:tblCellMar>
            <w:top w:w="0" w:type="dxa"/>
            <w:left w:w="0" w:type="dxa"/>
            <w:bottom w:w="0" w:type="dxa"/>
            <w:right w:w="0" w:type="dxa"/>
          </w:tblCellMar>
        </w:tblPrEx>
        <w:trPr>
          <w:trHeight w:val="375" w:hRule="atLeast"/>
        </w:trPr>
        <w:tc>
          <w:tcPr>
            <w:tcW w:w="203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512" w:type="dxa"/>
            <w:gridSpan w:val="5"/>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一般公共预算财政拨款“三公”经费支出决算表</w:t>
            </w:r>
          </w:p>
        </w:tc>
        <w:tc>
          <w:tcPr>
            <w:tcW w:w="110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6" w:type="dxa"/>
            <w:tcBorders>
              <w:top w:val="nil"/>
              <w:left w:val="nil"/>
              <w:bottom w:val="nil"/>
              <w:right w:val="single" w:color="808080" w:sz="4" w:space="0"/>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038" w:type="dxa"/>
            <w:tcBorders>
              <w:top w:val="nil"/>
              <w:left w:val="nil"/>
              <w:bottom w:val="nil"/>
              <w:right w:val="nil"/>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108"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7"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745"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9"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6" w:type="dxa"/>
            <w:tcBorders>
              <w:top w:val="nil"/>
              <w:left w:val="nil"/>
              <w:bottom w:val="nil"/>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CellMar>
            <w:top w:w="0" w:type="dxa"/>
            <w:left w:w="0" w:type="dxa"/>
            <w:bottom w:w="0" w:type="dxa"/>
            <w:right w:w="0" w:type="dxa"/>
          </w:tblCellMar>
        </w:tblPrEx>
        <w:trPr>
          <w:trHeight w:val="300" w:hRule="atLeast"/>
        </w:trPr>
        <w:tc>
          <w:tcPr>
            <w:tcW w:w="3146" w:type="dxa"/>
            <w:gridSpan w:val="2"/>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部门：衡阳市中级人民法院</w:t>
            </w:r>
          </w:p>
        </w:tc>
        <w:tc>
          <w:tcPr>
            <w:tcW w:w="122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7"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2965" w:type="dxa"/>
            <w:gridSpan w:val="2"/>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9"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220" w:type="dxa"/>
            <w:tcBorders>
              <w:top w:val="nil"/>
              <w:left w:val="nil"/>
              <w:bottom w:val="single" w:color="808080" w:sz="4" w:space="0"/>
              <w:right w:val="nil"/>
            </w:tcBorders>
            <w:shd w:val="clear" w:color="auto" w:fill="FFFFFF"/>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6" w:type="dxa"/>
            <w:tcBorders>
              <w:top w:val="nil"/>
              <w:left w:val="nil"/>
              <w:bottom w:val="single" w:color="808080" w:sz="4" w:space="0"/>
              <w:right w:val="single" w:color="80808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8438" w:type="dxa"/>
            <w:gridSpan w:val="6"/>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84" w:type="dxa"/>
            <w:gridSpan w:val="6"/>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2038"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0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547" w:type="dxa"/>
            <w:gridSpan w:val="3"/>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74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22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0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549" w:type="dxa"/>
            <w:gridSpan w:val="3"/>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0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2038"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07"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74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2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0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0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0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038" w:type="dxa"/>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0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07"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4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0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0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0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300" w:hRule="atLeast"/>
        </w:trPr>
        <w:tc>
          <w:tcPr>
            <w:tcW w:w="2038" w:type="dxa"/>
            <w:tcBorders>
              <w:top w:val="nil"/>
              <w:left w:val="single" w:color="000000" w:sz="4" w:space="0"/>
              <w:bottom w:val="single" w:color="000000" w:sz="4" w:space="0"/>
              <w:right w:val="single" w:color="000000" w:sz="4" w:space="0"/>
            </w:tcBorders>
            <w:shd w:val="clear" w:color="auto" w:fill="00FF0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1,780,000.00</w:t>
            </w:r>
          </w:p>
        </w:tc>
        <w:tc>
          <w:tcPr>
            <w:tcW w:w="110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1,680,000.00</w:t>
            </w:r>
          </w:p>
        </w:tc>
        <w:tc>
          <w:tcPr>
            <w:tcW w:w="1107"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480,000.00</w:t>
            </w:r>
          </w:p>
        </w:tc>
        <w:tc>
          <w:tcPr>
            <w:tcW w:w="12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1,200,000.00</w:t>
            </w:r>
          </w:p>
        </w:tc>
        <w:tc>
          <w:tcPr>
            <w:tcW w:w="174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2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1,753,368.85</w:t>
            </w:r>
          </w:p>
        </w:tc>
        <w:tc>
          <w:tcPr>
            <w:tcW w:w="110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1,686,887.85</w:t>
            </w:r>
          </w:p>
        </w:tc>
        <w:tc>
          <w:tcPr>
            <w:tcW w:w="110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499,600.00</w:t>
            </w:r>
          </w:p>
        </w:tc>
        <w:tc>
          <w:tcPr>
            <w:tcW w:w="12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1,187,287.85</w:t>
            </w:r>
          </w:p>
        </w:tc>
        <w:tc>
          <w:tcPr>
            <w:tcW w:w="110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66,481.00</w:t>
            </w:r>
          </w:p>
        </w:tc>
      </w:tr>
      <w:tr>
        <w:tblPrEx>
          <w:tblCellMar>
            <w:top w:w="0" w:type="dxa"/>
            <w:left w:w="0" w:type="dxa"/>
            <w:bottom w:w="0" w:type="dxa"/>
            <w:right w:w="0" w:type="dxa"/>
          </w:tblCellMar>
        </w:tblPrEx>
        <w:trPr>
          <w:trHeight w:val="600" w:hRule="atLeast"/>
        </w:trPr>
        <w:tc>
          <w:tcPr>
            <w:tcW w:w="15422" w:type="dxa"/>
            <w:gridSpan w:val="1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jc w:val="center"/>
        <w:rPr>
          <w:rFonts w:hint="eastAsia" w:ascii="华文中宋" w:hAnsi="华文中宋" w:eastAsia="华文中宋" w:cs="宋体"/>
          <w:color w:val="000000"/>
          <w:kern w:val="0"/>
          <w:sz w:val="32"/>
          <w:szCs w:val="32"/>
          <w:lang w:val="en-US" w:eastAsia="zh-CN" w:bidi="ar-SA"/>
        </w:rPr>
      </w:pPr>
      <w:r>
        <w:rPr>
          <w:rFonts w:hint="eastAsia" w:ascii="华文中宋" w:hAnsi="华文中宋" w:eastAsia="华文中宋" w:cs="宋体"/>
          <w:color w:val="000000"/>
          <w:kern w:val="0"/>
          <w:sz w:val="32"/>
          <w:szCs w:val="32"/>
          <w:lang w:val="en-US" w:eastAsia="zh-CN" w:bidi="ar-SA"/>
        </w:rPr>
        <w:t>政府性基金预算财政拨款收入支出决算表</w:t>
      </w:r>
    </w:p>
    <w:p>
      <w:pPr>
        <w:widowControl/>
        <w:wordWrap w:val="0"/>
        <w:ind w:firstLine="400" w:firstLineChars="200"/>
        <w:jc w:val="both"/>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lang w:val="en-US" w:eastAsia="zh-CN" w:bidi="ar-SA"/>
        </w:rPr>
        <w:t xml:space="preserve">单位：衡阳市中级人民法院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2021年度</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w:t>
      </w:r>
      <w:r>
        <w:rPr>
          <w:rFonts w:hint="eastAsia" w:ascii="Times New Roman" w:hAnsi="Times New Roman" w:eastAsia="仿宋_GB2312" w:cs="Times New Roman"/>
          <w:kern w:val="0"/>
          <w:szCs w:val="21"/>
          <w:lang w:eastAsia="zh-CN"/>
        </w:rPr>
        <w:t>本表反映单位本年度政府性基金预算财政拨款收入、支出及结转和结余情况</w:t>
      </w:r>
    </w:p>
    <w:p>
      <w:pPr>
        <w:widowControl/>
        <w:ind w:firstLine="840" w:firstLineChars="400"/>
        <w:jc w:val="left"/>
        <w:rPr>
          <w:rFonts w:hint="eastAsia" w:ascii="Times New Roman" w:hAnsi="Times New Roman" w:eastAsia="仿宋_GB2312"/>
          <w:kern w:val="0"/>
          <w:szCs w:val="21"/>
          <w:lang w:eastAsia="zh-CN"/>
        </w:rPr>
      </w:pPr>
      <w:r>
        <w:rPr>
          <w:rFonts w:hint="eastAsia" w:ascii="Times New Roman" w:hAnsi="Times New Roman" w:eastAsia="仿宋_GB2312"/>
          <w:kern w:val="0"/>
          <w:szCs w:val="21"/>
          <w:lang w:eastAsia="zh-CN"/>
        </w:rPr>
        <w:t>衡阳市中级</w:t>
      </w:r>
      <w:r>
        <w:rPr>
          <w:rFonts w:hint="eastAsia" w:ascii="Times New Roman" w:hAnsi="Times New Roman" w:eastAsia="仿宋_GB2312"/>
          <w:kern w:val="0"/>
          <w:szCs w:val="21"/>
        </w:rPr>
        <w:t>人民法院没有政府性基金收入，也没有使用政府性基金安排的支出，故本表无数据</w:t>
      </w:r>
      <w:r>
        <w:rPr>
          <w:rFonts w:hint="eastAsia" w:ascii="Times New Roman" w:hAnsi="Times New Roman" w:eastAsia="仿宋_GB2312"/>
          <w:kern w:val="0"/>
          <w:szCs w:val="21"/>
          <w:lang w:eastAsia="zh-CN"/>
        </w:rPr>
        <w:t>。</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color w:val="000000"/>
                <w:kern w:val="0"/>
                <w:sz w:val="32"/>
                <w:szCs w:val="32"/>
                <w:lang w:val="en-US" w:eastAsia="zh-CN" w:bidi="ar-SA"/>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lang w:val="en-US" w:eastAsia="zh-CN" w:bidi="ar-SA"/>
              </w:rPr>
              <w:t>单位：衡阳市中级人民法院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2021年度</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Times New Roman" w:hAnsi="Times New Roman" w:eastAsia="仿宋_GB2312"/>
                <w:kern w:val="0"/>
                <w:szCs w:val="21"/>
                <w:lang w:eastAsia="zh-CN"/>
              </w:rPr>
            </w:pPr>
            <w:r>
              <w:rPr>
                <w:rFonts w:ascii="Times New Roman" w:hAnsi="Times New Roman" w:eastAsia="仿宋_GB2312" w:cs="Times New Roman"/>
                <w:kern w:val="0"/>
                <w:szCs w:val="21"/>
              </w:rPr>
              <w:t>注：</w:t>
            </w:r>
            <w:r>
              <w:rPr>
                <w:rFonts w:hint="eastAsia" w:ascii="Times New Roman" w:hAnsi="Times New Roman" w:eastAsia="仿宋_GB2312"/>
                <w:kern w:val="0"/>
                <w:szCs w:val="21"/>
                <w:lang w:eastAsia="zh-CN"/>
              </w:rPr>
              <w:t>衡阳市中级</w:t>
            </w:r>
            <w:r>
              <w:rPr>
                <w:rFonts w:hint="eastAsia" w:ascii="Times New Roman" w:hAnsi="Times New Roman" w:eastAsia="仿宋_GB2312"/>
                <w:kern w:val="0"/>
                <w:szCs w:val="21"/>
              </w:rPr>
              <w:t>人民法院没</w:t>
            </w:r>
            <w:r>
              <w:rPr>
                <w:rFonts w:hint="eastAsia" w:ascii="Times New Roman" w:hAnsi="Times New Roman" w:eastAsia="仿宋_GB2312"/>
                <w:kern w:val="0"/>
                <w:szCs w:val="21"/>
                <w:lang w:eastAsia="zh-CN"/>
              </w:rPr>
              <w:t>有国有资本经营预算财政拨款安排的支出，故本表无数据。</w:t>
            </w:r>
          </w:p>
          <w:p>
            <w:pPr>
              <w:widowControl/>
              <w:jc w:val="left"/>
              <w:rPr>
                <w:rFonts w:ascii="宋体" w:hAnsi="宋体" w:eastAsia="宋体" w:cs="宋体"/>
                <w:kern w:val="0"/>
                <w:sz w:val="24"/>
                <w:szCs w:val="24"/>
              </w:rPr>
            </w:pPr>
          </w:p>
        </w:tc>
      </w:tr>
    </w:tbl>
    <w:p>
      <w:pPr>
        <w:pStyle w:val="15"/>
        <w:rPr>
          <w:sz w:val="72"/>
          <w:szCs w:val="72"/>
        </w:rPr>
        <w:sectPr>
          <w:pgSz w:w="16838" w:h="11906" w:orient="landscape"/>
          <w:pgMar w:top="720" w:right="720" w:bottom="720" w:left="720" w:header="851" w:footer="992" w:gutter="0"/>
          <w:cols w:space="425" w:num="1"/>
          <w:docGrid w:type="lines" w:linePitch="312" w:charSpace="0"/>
        </w:sectPr>
      </w:pP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both"/>
        <w:rPr>
          <w:sz w:val="72"/>
          <w:szCs w:val="72"/>
        </w:rPr>
      </w:pPr>
    </w:p>
    <w:p>
      <w:pPr>
        <w:pStyle w:val="15"/>
        <w:jc w:val="center"/>
        <w:rPr>
          <w:sz w:val="72"/>
          <w:szCs w:val="72"/>
        </w:rPr>
      </w:pPr>
      <w:r>
        <w:rPr>
          <w:rFonts w:hint="eastAsia"/>
          <w:sz w:val="72"/>
          <w:szCs w:val="72"/>
        </w:rPr>
        <w:t>第三部分</w:t>
      </w:r>
    </w:p>
    <w:p>
      <w:pPr>
        <w:pStyle w:val="15"/>
        <w:jc w:val="center"/>
        <w:rPr>
          <w:sz w:val="72"/>
          <w:szCs w:val="72"/>
        </w:rPr>
      </w:pPr>
    </w:p>
    <w:p>
      <w:pPr>
        <w:pStyle w:val="15"/>
        <w:jc w:val="center"/>
        <w:rPr>
          <w:sz w:val="72"/>
          <w:szCs w:val="72"/>
        </w:rPr>
      </w:pPr>
      <w:r>
        <w:rPr>
          <w:sz w:val="72"/>
          <w:szCs w:val="72"/>
        </w:rPr>
        <w:t>20</w:t>
      </w:r>
      <w:r>
        <w:rPr>
          <w:rFonts w:hint="eastAsia"/>
          <w:sz w:val="72"/>
          <w:szCs w:val="72"/>
        </w:rPr>
        <w:t>2</w:t>
      </w:r>
      <w:r>
        <w:rPr>
          <w:rFonts w:hint="eastAsia"/>
          <w:sz w:val="72"/>
          <w:szCs w:val="72"/>
          <w:lang w:val="en-US" w:eastAsia="zh-CN"/>
        </w:rPr>
        <w:t>1</w:t>
      </w:r>
      <w:r>
        <w:rPr>
          <w:rFonts w:hint="eastAsia"/>
          <w:sz w:val="72"/>
          <w:szCs w:val="72"/>
        </w:rPr>
        <w:t>年度</w:t>
      </w:r>
      <w:r>
        <w:rPr>
          <w:rFonts w:hint="eastAsia"/>
          <w:sz w:val="72"/>
          <w:szCs w:val="72"/>
          <w:lang w:eastAsia="zh-CN"/>
        </w:rPr>
        <w:t>单位</w:t>
      </w:r>
      <w:r>
        <w:rPr>
          <w:rFonts w:hint="eastAsia"/>
          <w:sz w:val="72"/>
          <w:szCs w:val="72"/>
        </w:rPr>
        <w:t>决算情况说明</w:t>
      </w:r>
    </w:p>
    <w:p>
      <w:pPr>
        <w:widowControl/>
        <w:jc w:val="left"/>
        <w:rPr>
          <w:rFonts w:ascii="黑体" w:eastAsia="黑体" w:cs="黑体"/>
          <w:color w:val="000000"/>
          <w:kern w:val="0"/>
          <w:sz w:val="70"/>
          <w:szCs w:val="70"/>
        </w:rPr>
      </w:pPr>
      <w:r>
        <w:rPr>
          <w:sz w:val="70"/>
          <w:szCs w:val="70"/>
        </w:rPr>
        <w:br w:type="page"/>
      </w:r>
    </w:p>
    <w:p>
      <w:pPr>
        <w:pStyle w:val="15"/>
        <w:rPr>
          <w:rFonts w:asciiTheme="minorEastAsia" w:hAnsiTheme="minorEastAsia" w:eastAsiaTheme="minorEastAsia"/>
          <w:sz w:val="32"/>
          <w:szCs w:val="32"/>
        </w:rPr>
      </w:pPr>
    </w:p>
    <w:p>
      <w:pPr>
        <w:pStyle w:val="15"/>
        <w:rPr>
          <w:rFonts w:hAnsi="黑体"/>
          <w:b/>
          <w:color w:val="auto"/>
          <w:sz w:val="32"/>
          <w:szCs w:val="32"/>
        </w:rPr>
      </w:pPr>
      <w:r>
        <w:rPr>
          <w:rFonts w:hint="eastAsia" w:hAnsi="黑体"/>
          <w:b/>
          <w:color w:val="auto"/>
          <w:sz w:val="32"/>
          <w:szCs w:val="32"/>
        </w:rPr>
        <w:t>一、收入支出决算总体情况说明</w:t>
      </w:r>
    </w:p>
    <w:p>
      <w:pPr>
        <w:pStyle w:val="15"/>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年度收</w:t>
      </w:r>
      <w:r>
        <w:rPr>
          <w:rFonts w:hint="eastAsia" w:ascii="仿宋" w:hAnsi="仿宋" w:eastAsia="仿宋" w:cs="仿宋"/>
          <w:color w:val="auto"/>
          <w:sz w:val="32"/>
          <w:szCs w:val="32"/>
          <w:lang w:eastAsia="zh-CN"/>
        </w:rPr>
        <w:t>、支总计</w:t>
      </w:r>
      <w:r>
        <w:rPr>
          <w:rFonts w:hint="eastAsia" w:ascii="仿宋" w:hAnsi="仿宋" w:eastAsia="仿宋" w:cs="仿宋"/>
          <w:color w:val="auto"/>
          <w:sz w:val="32"/>
          <w:szCs w:val="32"/>
          <w:lang w:val="en-US" w:eastAsia="zh-CN"/>
        </w:rPr>
        <w:t>9944.58</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与</w:t>
      </w:r>
      <w:r>
        <w:rPr>
          <w:rFonts w:hint="eastAsia" w:ascii="仿宋" w:hAnsi="仿宋" w:eastAsia="仿宋" w:cs="仿宋"/>
          <w:color w:val="auto"/>
          <w:sz w:val="32"/>
          <w:szCs w:val="32"/>
          <w:lang w:val="en-US" w:eastAsia="zh-CN"/>
        </w:rPr>
        <w:t>2020年度相比，收、支</w:t>
      </w:r>
      <w:r>
        <w:rPr>
          <w:rFonts w:hint="eastAsia" w:ascii="仿宋" w:hAnsi="仿宋" w:eastAsia="仿宋" w:cs="仿宋"/>
          <w:color w:val="auto"/>
          <w:sz w:val="32"/>
          <w:szCs w:val="32"/>
          <w:lang w:eastAsia="zh-CN"/>
        </w:rPr>
        <w:t>总计各</w:t>
      </w:r>
      <w:r>
        <w:rPr>
          <w:rFonts w:hint="eastAsia" w:ascii="仿宋" w:hAnsi="仿宋" w:eastAsia="仿宋" w:cs="仿宋"/>
          <w:color w:val="auto"/>
          <w:sz w:val="32"/>
          <w:szCs w:val="32"/>
          <w:lang w:val="en-US" w:eastAsia="zh-CN"/>
        </w:rPr>
        <w:t>减少671.95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减少6.33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收、支总计减少的</w:t>
      </w:r>
      <w:r>
        <w:rPr>
          <w:rFonts w:hint="eastAsia" w:ascii="仿宋" w:hAnsi="仿宋" w:eastAsia="仿宋" w:cs="仿宋"/>
          <w:color w:val="auto"/>
          <w:sz w:val="32"/>
          <w:szCs w:val="32"/>
        </w:rPr>
        <w:t>主要</w:t>
      </w:r>
      <w:r>
        <w:rPr>
          <w:rFonts w:hint="eastAsia" w:ascii="仿宋" w:hAnsi="仿宋" w:eastAsia="仿宋" w:cs="仿宋"/>
          <w:color w:val="auto"/>
          <w:sz w:val="32"/>
          <w:szCs w:val="32"/>
          <w:lang w:eastAsia="zh-CN"/>
        </w:rPr>
        <w:t>原因是</w:t>
      </w:r>
      <w:r>
        <w:rPr>
          <w:rFonts w:hint="eastAsia" w:ascii="仿宋" w:hAnsi="仿宋" w:eastAsia="仿宋" w:cs="仿宋"/>
          <w:color w:val="auto"/>
          <w:sz w:val="32"/>
          <w:szCs w:val="32"/>
          <w:lang w:val="en-US" w:eastAsia="zh-CN"/>
        </w:rPr>
        <w:t>按照上级要求，压缩“三公”经费、办公经费等行政开支，大力压减非刚性、非重点、和低效无效支出。弘扬艰苦奋斗精神，把过“紧日子”要求作为长期坚持的基本原则，勤俭办一切事业。</w:t>
      </w:r>
    </w:p>
    <w:p>
      <w:pPr>
        <w:pStyle w:val="15"/>
        <w:rPr>
          <w:rFonts w:hAnsi="黑体"/>
          <w:b/>
          <w:color w:val="auto"/>
          <w:sz w:val="32"/>
          <w:szCs w:val="32"/>
        </w:rPr>
      </w:pPr>
      <w:r>
        <w:rPr>
          <w:rFonts w:hint="eastAsia" w:hAnsi="黑体"/>
          <w:b/>
          <w:color w:val="auto"/>
          <w:sz w:val="32"/>
          <w:szCs w:val="32"/>
        </w:rPr>
        <w:t>二、收入决算情况说明</w:t>
      </w:r>
    </w:p>
    <w:p>
      <w:pPr>
        <w:pStyle w:val="15"/>
        <w:ind w:firstLine="640" w:firstLineChars="200"/>
        <w:rPr>
          <w:rFonts w:asciiTheme="minorEastAsia" w:hAnsiTheme="minorEastAsia" w:eastAsiaTheme="minorEastAsia"/>
          <w:color w:val="auto"/>
          <w:sz w:val="32"/>
          <w:szCs w:val="32"/>
        </w:rPr>
      </w:pPr>
      <w:r>
        <w:rPr>
          <w:rFonts w:hint="eastAsia" w:ascii="仿宋" w:hAnsi="仿宋" w:eastAsia="仿宋" w:cs="仿宋"/>
          <w:color w:val="auto"/>
          <w:sz w:val="32"/>
          <w:szCs w:val="32"/>
        </w:rPr>
        <w:t>本年收入合计</w:t>
      </w:r>
      <w:r>
        <w:rPr>
          <w:rFonts w:hint="eastAsia" w:ascii="仿宋" w:hAnsi="仿宋" w:eastAsia="仿宋" w:cs="仿宋"/>
          <w:color w:val="auto"/>
          <w:sz w:val="32"/>
          <w:szCs w:val="32"/>
          <w:lang w:val="en-US" w:eastAsia="zh-CN"/>
        </w:rPr>
        <w:t>8642.85</w:t>
      </w:r>
      <w:r>
        <w:rPr>
          <w:rFonts w:hint="eastAsia" w:ascii="仿宋" w:hAnsi="仿宋" w:eastAsia="仿宋" w:cs="仿宋"/>
          <w:color w:val="auto"/>
          <w:sz w:val="32"/>
          <w:szCs w:val="32"/>
        </w:rPr>
        <w:t>万元，其中：财政拨款收入</w:t>
      </w:r>
      <w:r>
        <w:rPr>
          <w:rFonts w:hint="eastAsia" w:ascii="仿宋" w:hAnsi="仿宋" w:eastAsia="仿宋" w:cs="仿宋"/>
          <w:color w:val="auto"/>
          <w:sz w:val="32"/>
          <w:szCs w:val="32"/>
          <w:lang w:val="en-US" w:eastAsia="zh-CN"/>
        </w:rPr>
        <w:t>7392.85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85.54</w:t>
      </w:r>
      <w:r>
        <w:rPr>
          <w:rFonts w:hint="eastAsia" w:ascii="仿宋" w:hAnsi="仿宋" w:eastAsia="仿宋" w:cs="仿宋"/>
          <w:color w:val="auto"/>
          <w:sz w:val="32"/>
          <w:szCs w:val="32"/>
        </w:rPr>
        <w:t>%；其他收入</w:t>
      </w:r>
      <w:r>
        <w:rPr>
          <w:rFonts w:hint="eastAsia" w:ascii="仿宋" w:hAnsi="仿宋" w:eastAsia="仿宋" w:cs="仿宋"/>
          <w:color w:val="auto"/>
          <w:sz w:val="32"/>
          <w:szCs w:val="32"/>
          <w:lang w:val="en-US" w:eastAsia="zh-CN"/>
        </w:rPr>
        <w:t>1250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14.46</w:t>
      </w:r>
      <w:r>
        <w:rPr>
          <w:rFonts w:hint="eastAsia" w:ascii="仿宋" w:hAnsi="仿宋" w:eastAsia="仿宋" w:cs="仿宋"/>
          <w:color w:val="auto"/>
          <w:sz w:val="32"/>
          <w:szCs w:val="32"/>
        </w:rPr>
        <w:t>%。</w:t>
      </w:r>
    </w:p>
    <w:p>
      <w:pPr>
        <w:pStyle w:val="15"/>
        <w:rPr>
          <w:rFonts w:hAnsi="黑体"/>
          <w:b/>
          <w:color w:val="auto"/>
          <w:sz w:val="32"/>
          <w:szCs w:val="32"/>
        </w:rPr>
      </w:pPr>
      <w:r>
        <w:rPr>
          <w:rFonts w:hint="eastAsia" w:hAnsi="黑体"/>
          <w:b/>
          <w:color w:val="auto"/>
          <w:sz w:val="32"/>
          <w:szCs w:val="32"/>
        </w:rPr>
        <w:t>三、支出决算情况说明</w:t>
      </w:r>
    </w:p>
    <w:p>
      <w:pPr>
        <w:pStyle w:val="15"/>
        <w:ind w:firstLine="640" w:firstLineChars="200"/>
        <w:rPr>
          <w:rFonts w:asciiTheme="minorEastAsia" w:hAnsiTheme="minorEastAsia" w:eastAsiaTheme="minorEastAsia"/>
          <w:color w:val="auto"/>
          <w:sz w:val="32"/>
          <w:szCs w:val="32"/>
        </w:rPr>
      </w:pPr>
      <w:r>
        <w:rPr>
          <w:rFonts w:hint="eastAsia" w:ascii="仿宋" w:hAnsi="仿宋" w:eastAsia="仿宋" w:cs="仿宋"/>
          <w:color w:val="auto"/>
          <w:sz w:val="32"/>
          <w:szCs w:val="32"/>
        </w:rPr>
        <w:t>本年支出合计</w:t>
      </w:r>
      <w:r>
        <w:rPr>
          <w:rFonts w:hint="eastAsia" w:ascii="仿宋" w:hAnsi="仿宋" w:eastAsia="仿宋" w:cs="仿宋"/>
          <w:color w:val="auto"/>
          <w:sz w:val="32"/>
          <w:szCs w:val="32"/>
          <w:lang w:val="en-US" w:eastAsia="zh-CN"/>
        </w:rPr>
        <w:t>8094.77</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7037.04</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86.93</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1057.73</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13.07</w:t>
      </w:r>
      <w:r>
        <w:rPr>
          <w:rFonts w:hint="eastAsia" w:ascii="仿宋" w:hAnsi="仿宋" w:eastAsia="仿宋" w:cs="仿宋"/>
          <w:color w:val="auto"/>
          <w:sz w:val="32"/>
          <w:szCs w:val="32"/>
        </w:rPr>
        <w:t>%。</w:t>
      </w:r>
    </w:p>
    <w:p>
      <w:pPr>
        <w:pStyle w:val="15"/>
        <w:rPr>
          <w:rFonts w:hAnsi="黑体"/>
          <w:b/>
          <w:color w:val="auto"/>
          <w:sz w:val="32"/>
          <w:szCs w:val="32"/>
        </w:rPr>
      </w:pPr>
      <w:r>
        <w:rPr>
          <w:rFonts w:hint="eastAsia" w:hAnsi="黑体"/>
          <w:b/>
          <w:color w:val="auto"/>
          <w:sz w:val="32"/>
          <w:szCs w:val="32"/>
        </w:rPr>
        <w:t>四、财政拨款收入支出决算总体情况说明</w:t>
      </w:r>
    </w:p>
    <w:p>
      <w:pPr>
        <w:pStyle w:val="15"/>
        <w:ind w:firstLine="640" w:firstLineChars="200"/>
        <w:rPr>
          <w:rFonts w:hint="eastAsia" w:ascii="仿宋" w:hAnsi="仿宋" w:eastAsia="仿宋" w:cs="仿宋"/>
          <w:color w:val="auto"/>
          <w:sz w:val="32"/>
          <w:szCs w:val="32"/>
        </w:rPr>
      </w:pPr>
      <w:r>
        <w:rPr>
          <w:rFonts w:hint="eastAsia" w:asciiTheme="minorEastAsia" w:hAnsiTheme="minorEastAsia" w:eastAsiaTheme="minorEastAsia"/>
          <w:color w:val="auto"/>
          <w:sz w:val="32"/>
          <w:szCs w:val="32"/>
        </w:rPr>
        <w:t>2</w:t>
      </w:r>
      <w:r>
        <w:rPr>
          <w:rFonts w:hint="eastAsia" w:ascii="仿宋" w:hAnsi="仿宋" w:eastAsia="仿宋" w:cs="仿宋"/>
          <w:color w:val="auto"/>
          <w:sz w:val="32"/>
          <w:szCs w:val="32"/>
        </w:rPr>
        <w:t>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rPr>
        <w:t>收</w:t>
      </w:r>
      <w:r>
        <w:rPr>
          <w:rFonts w:hint="eastAsia" w:ascii="仿宋" w:hAnsi="仿宋" w:eastAsia="仿宋" w:cs="仿宋"/>
          <w:color w:val="auto"/>
          <w:sz w:val="32"/>
          <w:szCs w:val="32"/>
          <w:lang w:eastAsia="zh-CN"/>
        </w:rPr>
        <w:t>、支总计</w:t>
      </w:r>
      <w:r>
        <w:rPr>
          <w:rFonts w:hint="eastAsia" w:ascii="仿宋" w:hAnsi="仿宋" w:eastAsia="仿宋" w:cs="仿宋"/>
          <w:color w:val="auto"/>
          <w:sz w:val="32"/>
          <w:szCs w:val="32"/>
          <w:lang w:val="en-US" w:eastAsia="zh-CN"/>
        </w:rPr>
        <w:t>7912.54</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与</w:t>
      </w:r>
      <w:r>
        <w:rPr>
          <w:rFonts w:hint="eastAsia" w:ascii="仿宋" w:hAnsi="仿宋" w:eastAsia="仿宋" w:cs="仿宋"/>
          <w:color w:val="auto"/>
          <w:sz w:val="32"/>
          <w:szCs w:val="32"/>
          <w:lang w:val="en-US" w:eastAsia="zh-CN"/>
        </w:rPr>
        <w:t>2020年度相比，财政拨款收、支</w:t>
      </w:r>
      <w:r>
        <w:rPr>
          <w:rFonts w:hint="eastAsia" w:ascii="仿宋" w:hAnsi="仿宋" w:eastAsia="仿宋" w:cs="仿宋"/>
          <w:color w:val="auto"/>
          <w:sz w:val="32"/>
          <w:szCs w:val="32"/>
          <w:lang w:eastAsia="zh-CN"/>
        </w:rPr>
        <w:t>总计各</w:t>
      </w:r>
      <w:r>
        <w:rPr>
          <w:rFonts w:hint="eastAsia" w:ascii="仿宋" w:hAnsi="仿宋" w:eastAsia="仿宋" w:cs="仿宋"/>
          <w:color w:val="auto"/>
          <w:sz w:val="32"/>
          <w:szCs w:val="32"/>
          <w:lang w:val="en-US" w:eastAsia="zh-CN"/>
        </w:rPr>
        <w:t>减少41.6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减少0.52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，财政拨款收、支总计</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lang w:eastAsia="zh-CN"/>
        </w:rPr>
        <w:t>的主要原因是</w:t>
      </w:r>
      <w:r>
        <w:rPr>
          <w:rFonts w:hint="eastAsia" w:ascii="仿宋" w:hAnsi="仿宋" w:eastAsia="仿宋" w:cs="仿宋"/>
          <w:color w:val="auto"/>
          <w:sz w:val="32"/>
          <w:szCs w:val="32"/>
          <w:lang w:val="en-US" w:eastAsia="zh-CN"/>
        </w:rPr>
        <w:t>压缩“三公”经费、办公经费等行政开支。</w:t>
      </w:r>
    </w:p>
    <w:p>
      <w:pPr>
        <w:pStyle w:val="15"/>
        <w:rPr>
          <w:rFonts w:hAnsi="黑体"/>
          <w:b/>
          <w:sz w:val="32"/>
          <w:szCs w:val="32"/>
        </w:rPr>
      </w:pPr>
      <w:r>
        <w:rPr>
          <w:rFonts w:hint="eastAsia" w:hAnsi="黑体"/>
          <w:b/>
          <w:sz w:val="32"/>
          <w:szCs w:val="32"/>
        </w:rPr>
        <w:t>五、一般公共预算财政拨款支出决算情况说明</w:t>
      </w:r>
    </w:p>
    <w:p>
      <w:pPr>
        <w:pStyle w:val="15"/>
        <w:ind w:firstLine="640" w:firstLineChars="200"/>
        <w:rPr>
          <w:rFonts w:asciiTheme="minorEastAsia" w:hAnsiTheme="minorEastAsia" w:eastAsiaTheme="minorEastAsia"/>
          <w:b/>
          <w:sz w:val="32"/>
          <w:szCs w:val="32"/>
        </w:rPr>
      </w:pPr>
      <w:r>
        <w:rPr>
          <w:rFonts w:hint="eastAsia" w:ascii="仿宋" w:hAnsi="仿宋" w:eastAsia="仿宋" w:cs="仿宋"/>
          <w:b/>
          <w:sz w:val="32"/>
          <w:szCs w:val="32"/>
        </w:rPr>
        <w:t>（一）财政拨款支出决算总体情况</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6784.04</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83.81</w:t>
      </w:r>
      <w:r>
        <w:rPr>
          <w:rFonts w:hint="eastAsia" w:ascii="仿宋" w:hAnsi="仿宋" w:eastAsia="仿宋" w:cs="仿宋"/>
          <w:sz w:val="32"/>
          <w:szCs w:val="32"/>
        </w:rPr>
        <w:t>%，与上年相比，财政拨款支出</w:t>
      </w:r>
      <w:r>
        <w:rPr>
          <w:rFonts w:hint="eastAsia" w:ascii="仿宋" w:hAnsi="仿宋" w:eastAsia="仿宋" w:cs="仿宋"/>
          <w:sz w:val="32"/>
          <w:szCs w:val="32"/>
          <w:lang w:val="en-US" w:eastAsia="zh-CN"/>
        </w:rPr>
        <w:t>减少504.09</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减少2.83</w:t>
      </w:r>
      <w:r>
        <w:rPr>
          <w:rFonts w:hint="eastAsia" w:ascii="仿宋" w:hAnsi="仿宋" w:eastAsia="仿宋" w:cs="仿宋"/>
          <w:sz w:val="32"/>
          <w:szCs w:val="32"/>
        </w:rPr>
        <w:t>%，主要</w:t>
      </w:r>
      <w:r>
        <w:rPr>
          <w:rFonts w:hint="eastAsia" w:ascii="仿宋" w:hAnsi="仿宋" w:eastAsia="仿宋" w:cs="仿宋"/>
          <w:sz w:val="32"/>
          <w:szCs w:val="32"/>
          <w:lang w:val="en-US" w:eastAsia="zh-CN"/>
        </w:rPr>
        <w:t>原因</w:t>
      </w:r>
      <w:r>
        <w:rPr>
          <w:rFonts w:hint="eastAsia" w:ascii="仿宋" w:hAnsi="仿宋" w:eastAsia="仿宋" w:cs="仿宋"/>
          <w:sz w:val="32"/>
          <w:szCs w:val="32"/>
        </w:rPr>
        <w:t>是</w:t>
      </w:r>
      <w:r>
        <w:rPr>
          <w:rFonts w:hint="eastAsia" w:ascii="仿宋" w:hAnsi="仿宋" w:eastAsia="仿宋" w:cs="仿宋"/>
          <w:color w:val="auto"/>
          <w:sz w:val="32"/>
          <w:szCs w:val="32"/>
          <w:lang w:val="en-US" w:eastAsia="zh-CN"/>
        </w:rPr>
        <w:t>按照上级要求，压缩“三公”经费、办公经费等行政开支，大力压减非刚性、非重点、和低效无效支出。</w:t>
      </w:r>
    </w:p>
    <w:p>
      <w:pPr>
        <w:pStyle w:val="15"/>
        <w:ind w:firstLine="640" w:firstLineChars="200"/>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6784.04</w:t>
      </w:r>
      <w:r>
        <w:rPr>
          <w:rFonts w:hint="eastAsia" w:ascii="仿宋" w:hAnsi="仿宋" w:eastAsia="仿宋" w:cs="仿宋"/>
          <w:sz w:val="32"/>
          <w:szCs w:val="32"/>
        </w:rPr>
        <w:t>万元，主要用于以下方面：</w:t>
      </w:r>
      <w:r>
        <w:rPr>
          <w:rFonts w:hint="eastAsia" w:ascii="仿宋" w:hAnsi="仿宋" w:eastAsia="仿宋" w:cs="仿宋"/>
          <w:sz w:val="32"/>
          <w:szCs w:val="32"/>
          <w:lang w:val="en-US" w:eastAsia="zh-CN"/>
        </w:rPr>
        <w:t>一般公共服务</w:t>
      </w:r>
      <w:r>
        <w:rPr>
          <w:rFonts w:hint="eastAsia" w:ascii="仿宋" w:hAnsi="仿宋" w:eastAsia="仿宋" w:cs="仿宋"/>
          <w:sz w:val="32"/>
          <w:szCs w:val="32"/>
        </w:rPr>
        <w:t>（类）</w:t>
      </w:r>
      <w:r>
        <w:rPr>
          <w:rFonts w:hint="eastAsia" w:ascii="仿宋" w:hAnsi="仿宋" w:eastAsia="仿宋" w:cs="仿宋"/>
          <w:sz w:val="32"/>
          <w:szCs w:val="32"/>
          <w:lang w:val="en-US" w:eastAsia="zh-CN"/>
        </w:rPr>
        <w:t>支出15.21万元，占0.22%；</w:t>
      </w:r>
      <w:r>
        <w:rPr>
          <w:rFonts w:hint="eastAsia" w:ascii="仿宋" w:hAnsi="仿宋" w:eastAsia="仿宋" w:cs="仿宋"/>
          <w:sz w:val="32"/>
          <w:szCs w:val="32"/>
        </w:rPr>
        <w:t>公共安全（类）支出</w:t>
      </w:r>
      <w:r>
        <w:rPr>
          <w:rFonts w:hint="eastAsia" w:ascii="仿宋" w:hAnsi="仿宋" w:eastAsia="仿宋" w:cs="仿宋"/>
          <w:sz w:val="32"/>
          <w:szCs w:val="32"/>
          <w:lang w:val="en-US" w:eastAsia="zh-CN"/>
        </w:rPr>
        <w:t>5713.9</w:t>
      </w:r>
      <w:r>
        <w:rPr>
          <w:rFonts w:hint="eastAsia" w:ascii="仿宋" w:hAnsi="仿宋" w:eastAsia="仿宋" w:cs="仿宋"/>
          <w:sz w:val="32"/>
          <w:szCs w:val="32"/>
        </w:rPr>
        <w:t>万元，占</w:t>
      </w:r>
      <w:r>
        <w:rPr>
          <w:rFonts w:hint="eastAsia" w:ascii="仿宋" w:hAnsi="仿宋" w:eastAsia="仿宋" w:cs="仿宋"/>
          <w:sz w:val="32"/>
          <w:szCs w:val="32"/>
          <w:lang w:val="en-US" w:eastAsia="zh-CN"/>
        </w:rPr>
        <w:t>84.23</w:t>
      </w:r>
      <w:r>
        <w:rPr>
          <w:rFonts w:hint="eastAsia" w:ascii="仿宋" w:hAnsi="仿宋" w:eastAsia="仿宋" w:cs="仿宋"/>
          <w:sz w:val="32"/>
          <w:szCs w:val="32"/>
        </w:rPr>
        <w:t>%；教育（类）支出</w:t>
      </w:r>
      <w:r>
        <w:rPr>
          <w:rFonts w:hint="eastAsia" w:ascii="仿宋" w:hAnsi="仿宋" w:eastAsia="仿宋" w:cs="仿宋"/>
          <w:sz w:val="32"/>
          <w:szCs w:val="32"/>
          <w:lang w:val="en-US" w:eastAsia="zh-CN"/>
        </w:rPr>
        <w:t>39.07</w:t>
      </w:r>
      <w:r>
        <w:rPr>
          <w:rFonts w:hint="eastAsia" w:ascii="仿宋" w:hAnsi="仿宋" w:eastAsia="仿宋" w:cs="仿宋"/>
          <w:sz w:val="32"/>
          <w:szCs w:val="32"/>
        </w:rPr>
        <w:t>万元，占</w:t>
      </w:r>
      <w:r>
        <w:rPr>
          <w:rFonts w:hint="eastAsia" w:ascii="仿宋" w:hAnsi="仿宋" w:eastAsia="仿宋" w:cs="仿宋"/>
          <w:sz w:val="32"/>
          <w:szCs w:val="32"/>
          <w:lang w:val="en-US" w:eastAsia="zh-CN"/>
        </w:rPr>
        <w:t>0.58</w:t>
      </w:r>
      <w:r>
        <w:rPr>
          <w:rFonts w:hint="eastAsia" w:ascii="仿宋" w:hAnsi="仿宋" w:eastAsia="仿宋" w:cs="仿宋"/>
          <w:sz w:val="32"/>
          <w:szCs w:val="32"/>
        </w:rPr>
        <w:t>%;社会保障和就业</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w:t>
      </w:r>
      <w:r>
        <w:rPr>
          <w:rFonts w:hint="eastAsia" w:ascii="仿宋" w:hAnsi="仿宋" w:eastAsia="仿宋" w:cs="仿宋"/>
          <w:sz w:val="32"/>
          <w:szCs w:val="32"/>
        </w:rPr>
        <w:t>支出</w:t>
      </w:r>
      <w:r>
        <w:rPr>
          <w:rFonts w:hint="eastAsia" w:ascii="仿宋" w:hAnsi="仿宋" w:eastAsia="仿宋" w:cs="仿宋"/>
          <w:sz w:val="32"/>
          <w:szCs w:val="32"/>
          <w:lang w:val="en-US" w:eastAsia="zh-CN"/>
        </w:rPr>
        <w:t>280.86</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4.14</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363</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5.35</w:t>
      </w:r>
      <w:r>
        <w:rPr>
          <w:rFonts w:hint="eastAsia"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372</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5.48</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15"/>
        <w:ind w:firstLine="800" w:firstLineChars="250"/>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6967.7</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6784.04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97.36</w:t>
      </w:r>
      <w:r>
        <w:rPr>
          <w:rFonts w:hint="eastAsia" w:ascii="仿宋" w:hAnsi="仿宋" w:eastAsia="仿宋" w:cs="仿宋"/>
          <w:sz w:val="32"/>
          <w:szCs w:val="32"/>
        </w:rPr>
        <w:t>%，其中：</w:t>
      </w:r>
    </w:p>
    <w:p>
      <w:pPr>
        <w:pStyle w:val="15"/>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一般公共服务支出（类）其他一般公共服务支出（款）国家赔偿费用支出（项）。</w:t>
      </w:r>
    </w:p>
    <w:p>
      <w:pPr>
        <w:pStyle w:val="15"/>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年初预算为0，支出决算为15.21万元，</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年中追加经费安排的</w:t>
      </w:r>
      <w:r>
        <w:rPr>
          <w:rFonts w:hint="eastAsia" w:ascii="仿宋" w:hAnsi="仿宋" w:eastAsia="仿宋" w:cs="仿宋"/>
          <w:sz w:val="32"/>
          <w:szCs w:val="32"/>
        </w:rPr>
        <w:t>支出</w:t>
      </w:r>
      <w:r>
        <w:rPr>
          <w:rFonts w:hint="eastAsia" w:ascii="仿宋" w:hAnsi="仿宋" w:eastAsia="仿宋" w:cs="仿宋"/>
          <w:sz w:val="32"/>
          <w:szCs w:val="32"/>
          <w:lang w:eastAsia="zh-CN"/>
        </w:rPr>
        <w:t>。</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rPr>
        <w:t>公共安全（类）法院（款）行政运行（项）</w:t>
      </w:r>
      <w:r>
        <w:rPr>
          <w:rFonts w:hint="eastAsia" w:ascii="仿宋" w:hAnsi="仿宋" w:eastAsia="仿宋" w:cs="仿宋"/>
          <w:sz w:val="32"/>
          <w:szCs w:val="32"/>
        </w:rPr>
        <w:t>。</w:t>
      </w:r>
    </w:p>
    <w:p>
      <w:pPr>
        <w:pStyle w:val="1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4694.14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4869.69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103.74</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年中追加经费安排的</w:t>
      </w:r>
      <w:r>
        <w:rPr>
          <w:rFonts w:hint="eastAsia" w:ascii="仿宋" w:hAnsi="仿宋" w:eastAsia="仿宋" w:cs="仿宋"/>
          <w:sz w:val="32"/>
          <w:szCs w:val="32"/>
        </w:rPr>
        <w:t>支出</w:t>
      </w:r>
      <w:r>
        <w:rPr>
          <w:rFonts w:hint="eastAsia" w:ascii="仿宋" w:hAnsi="仿宋" w:eastAsia="仿宋" w:cs="仿宋"/>
          <w:sz w:val="32"/>
          <w:szCs w:val="32"/>
          <w:lang w:eastAsia="zh-CN"/>
        </w:rPr>
        <w:t>。</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color w:val="auto"/>
          <w:sz w:val="32"/>
          <w:szCs w:val="32"/>
        </w:rPr>
        <w:t>公共安全（类）法院（款）一般行政管理事务（项）</w:t>
      </w:r>
      <w:r>
        <w:rPr>
          <w:rFonts w:hint="eastAsia" w:ascii="仿宋" w:hAnsi="仿宋" w:eastAsia="仿宋" w:cs="仿宋"/>
          <w:sz w:val="32"/>
          <w:szCs w:val="32"/>
        </w:rPr>
        <w:t>。</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492.7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677.08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137.42</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按规定使用上年度财政拨款结转资金安排的支出；年中追加经费安排的</w:t>
      </w:r>
      <w:r>
        <w:rPr>
          <w:rFonts w:hint="eastAsia" w:ascii="仿宋" w:hAnsi="仿宋" w:eastAsia="仿宋" w:cs="仿宋"/>
          <w:sz w:val="32"/>
          <w:szCs w:val="32"/>
        </w:rPr>
        <w:t>支出。</w:t>
      </w:r>
    </w:p>
    <w:p>
      <w:pPr>
        <w:pStyle w:val="15"/>
        <w:tabs>
          <w:tab w:val="left" w:pos="312"/>
        </w:tabs>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公共安全（类）法院（款）案件审判（项）。</w:t>
      </w:r>
    </w:p>
    <w:p>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万元，</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color w:val="auto"/>
          <w:sz w:val="32"/>
          <w:szCs w:val="32"/>
        </w:rPr>
        <w:t xml:space="preserve">。 </w:t>
      </w:r>
    </w:p>
    <w:p>
      <w:pPr>
        <w:pStyle w:val="15"/>
        <w:tabs>
          <w:tab w:val="left" w:pos="312"/>
        </w:tabs>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公共安全（类）法院（款）“两庭”建设（项）。</w:t>
      </w:r>
    </w:p>
    <w:p>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500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67.12</w:t>
      </w:r>
      <w:r>
        <w:rPr>
          <w:rFonts w:hint="eastAsia" w:ascii="仿宋" w:hAnsi="仿宋" w:eastAsia="仿宋" w:cs="仿宋"/>
          <w:color w:val="auto"/>
          <w:sz w:val="32"/>
          <w:szCs w:val="32"/>
        </w:rPr>
        <w:t>万元，</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13.42</w:t>
      </w:r>
      <w:r>
        <w:rPr>
          <w:rFonts w:hint="eastAsia" w:ascii="仿宋" w:hAnsi="仿宋" w:eastAsia="仿宋" w:cs="仿宋"/>
          <w:sz w:val="32"/>
          <w:szCs w:val="32"/>
        </w:rPr>
        <w:t>%</w:t>
      </w:r>
      <w:r>
        <w:rPr>
          <w:rFonts w:hint="eastAsia" w:ascii="仿宋" w:hAnsi="仿宋" w:eastAsia="仿宋" w:cs="仿宋"/>
          <w:color w:val="auto"/>
          <w:sz w:val="32"/>
          <w:szCs w:val="32"/>
        </w:rPr>
        <w:t>决算数</w:t>
      </w:r>
      <w:r>
        <w:rPr>
          <w:rFonts w:hint="eastAsia" w:ascii="仿宋" w:hAnsi="仿宋" w:eastAsia="仿宋" w:cs="仿宋"/>
          <w:color w:val="auto"/>
          <w:sz w:val="32"/>
          <w:szCs w:val="32"/>
          <w:lang w:val="en-US"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刑场项目建设已立项，因为财政评审未完成，导致项目未开工</w:t>
      </w:r>
      <w:r>
        <w:rPr>
          <w:rFonts w:hint="eastAsia" w:ascii="仿宋" w:hAnsi="仿宋" w:eastAsia="仿宋" w:cs="仿宋"/>
          <w:color w:val="auto"/>
          <w:sz w:val="32"/>
          <w:szCs w:val="32"/>
          <w:lang w:eastAsia="zh-CN"/>
        </w:rPr>
        <w:t>。</w:t>
      </w:r>
    </w:p>
    <w:p>
      <w:pPr>
        <w:pStyle w:val="15"/>
        <w:tabs>
          <w:tab w:val="left" w:pos="312"/>
        </w:tabs>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教育（类）进修及培训（款）培训（项）。</w:t>
      </w:r>
    </w:p>
    <w:p>
      <w:pPr>
        <w:pStyle w:val="15"/>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39.07</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97.68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，决算数小于预算数主要原因是疫情原因，减少培训。</w:t>
      </w:r>
    </w:p>
    <w:p>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社会保障和就业（类）行政事业单位离退休（款）机关事业单位基本养老保险缴费支出（项）。</w:t>
      </w:r>
    </w:p>
    <w:p>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248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248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社会保障和就业（类）其他社会保障和就业支出（款）其他社会保障和就业支出（项）。</w:t>
      </w:r>
    </w:p>
    <w:p>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32.86</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.86万元，完成年初预算的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pStyle w:val="15"/>
        <w:tabs>
          <w:tab w:val="left" w:pos="312"/>
        </w:tabs>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卫生健康（类）行政事业单位医疗（款）行政单位医疗（项）。</w:t>
      </w:r>
    </w:p>
    <w:p>
      <w:pPr>
        <w:pStyle w:val="15"/>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300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300</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pStyle w:val="15"/>
        <w:tabs>
          <w:tab w:val="left" w:pos="312"/>
        </w:tabs>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卫生健康（类）行政事业单位医疗（款）公务员医疗补助（项）。</w:t>
      </w:r>
    </w:p>
    <w:p>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63</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31.5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w:t>
      </w:r>
      <w:r>
        <w:rPr>
          <w:rFonts w:hint="eastAsia" w:ascii="仿宋" w:hAnsi="仿宋" w:eastAsia="仿宋" w:cs="仿宋"/>
          <w:color w:val="auto"/>
          <w:sz w:val="32"/>
          <w:szCs w:val="32"/>
          <w:lang w:val="en-US" w:eastAsia="zh-CN"/>
        </w:rPr>
        <w:t>小</w:t>
      </w:r>
      <w:r>
        <w:rPr>
          <w:rFonts w:hint="eastAsia" w:ascii="仿宋" w:hAnsi="仿宋" w:eastAsia="仿宋" w:cs="仿宋"/>
          <w:color w:val="auto"/>
          <w:sz w:val="32"/>
          <w:szCs w:val="32"/>
          <w:lang w:eastAsia="zh-CN"/>
        </w:rPr>
        <w:t>于年初预算数的主要原因是：</w:t>
      </w:r>
      <w:r>
        <w:rPr>
          <w:rFonts w:hint="eastAsia" w:ascii="仿宋" w:hAnsi="仿宋" w:eastAsia="仿宋" w:cs="仿宋"/>
          <w:sz w:val="32"/>
          <w:szCs w:val="32"/>
          <w:lang w:val="en-US" w:eastAsia="zh-CN"/>
        </w:rPr>
        <w:t>衡阳市从2021年4月开始暂停缴纳公务员医疗补助</w:t>
      </w:r>
      <w:r>
        <w:rPr>
          <w:rFonts w:hint="eastAsia" w:ascii="仿宋" w:hAnsi="仿宋" w:eastAsia="仿宋" w:cs="仿宋"/>
          <w:color w:val="auto"/>
          <w:sz w:val="32"/>
          <w:szCs w:val="32"/>
        </w:rPr>
        <w:t>。</w:t>
      </w:r>
    </w:p>
    <w:p>
      <w:pPr>
        <w:pStyle w:val="15"/>
        <w:tabs>
          <w:tab w:val="left" w:pos="312"/>
        </w:tabs>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住房保障（类）住房改革（款）住房公积金（项）。</w:t>
      </w:r>
    </w:p>
    <w:p>
      <w:pPr>
        <w:pStyle w:val="15"/>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360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372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103.33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，决算数大于预算数主要是因为本年度人员异动的原因。</w:t>
      </w:r>
    </w:p>
    <w:p>
      <w:pPr>
        <w:pStyle w:val="15"/>
        <w:rPr>
          <w:rFonts w:hint="eastAsia"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5867.64</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3996.41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68.11</w:t>
      </w:r>
      <w:r>
        <w:rPr>
          <w:rFonts w:hint="eastAsia" w:ascii="仿宋" w:hAnsi="仿宋" w:eastAsia="仿宋" w:cs="仿宋"/>
          <w:sz w:val="32"/>
          <w:szCs w:val="32"/>
        </w:rPr>
        <w:t>%,主要包括基本工资、津贴补贴、奖金、机关事业单位基本养老保险缴费</w:t>
      </w:r>
      <w:r>
        <w:rPr>
          <w:rFonts w:hint="eastAsia" w:ascii="仿宋" w:hAnsi="仿宋" w:eastAsia="仿宋" w:cs="仿宋"/>
          <w:sz w:val="32"/>
          <w:szCs w:val="32"/>
          <w:lang w:eastAsia="zh-CN"/>
        </w:rPr>
        <w:t>、职工基本医疗保险缴费、公务员医疗补助缴费、住房公积金、</w:t>
      </w:r>
      <w:r>
        <w:rPr>
          <w:rFonts w:hint="eastAsia" w:ascii="仿宋" w:hAnsi="仿宋" w:eastAsia="仿宋" w:cs="仿宋"/>
          <w:sz w:val="32"/>
          <w:szCs w:val="32"/>
        </w:rPr>
        <w:t>其他工资福利支出；公用经费</w:t>
      </w:r>
      <w:r>
        <w:rPr>
          <w:rFonts w:hint="eastAsia" w:ascii="仿宋" w:hAnsi="仿宋" w:eastAsia="仿宋" w:cs="仿宋"/>
          <w:sz w:val="32"/>
          <w:szCs w:val="32"/>
          <w:lang w:val="en-US" w:eastAsia="zh-CN"/>
        </w:rPr>
        <w:t>1871.23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31.89</w:t>
      </w:r>
      <w:r>
        <w:rPr>
          <w:rFonts w:hint="eastAsia" w:ascii="仿宋" w:hAnsi="仿宋" w:eastAsia="仿宋" w:cs="仿宋"/>
          <w:sz w:val="32"/>
          <w:szCs w:val="32"/>
        </w:rPr>
        <w:t>%，主要包括办公费、印刷费、邮电费、物业管理费</w:t>
      </w:r>
      <w:r>
        <w:rPr>
          <w:rFonts w:hint="eastAsia" w:ascii="仿宋" w:hAnsi="仿宋" w:eastAsia="仿宋" w:cs="仿宋"/>
          <w:sz w:val="32"/>
          <w:szCs w:val="32"/>
          <w:lang w:eastAsia="zh-CN"/>
        </w:rPr>
        <w:t>、</w:t>
      </w:r>
      <w:r>
        <w:rPr>
          <w:rFonts w:hint="eastAsia" w:ascii="仿宋" w:hAnsi="仿宋" w:eastAsia="仿宋" w:cs="仿宋"/>
          <w:sz w:val="32"/>
          <w:szCs w:val="32"/>
        </w:rPr>
        <w:t>差旅费</w:t>
      </w:r>
      <w:r>
        <w:rPr>
          <w:rFonts w:hint="eastAsia" w:ascii="仿宋" w:hAnsi="仿宋" w:eastAsia="仿宋" w:cs="仿宋"/>
          <w:sz w:val="32"/>
          <w:szCs w:val="32"/>
          <w:lang w:eastAsia="zh-CN"/>
        </w:rPr>
        <w:t>、维修（护）费、公务用车运行维护费、其他交通费用、其他商品和服务支出</w:t>
      </w:r>
      <w:r>
        <w:rPr>
          <w:rFonts w:hint="eastAsia" w:ascii="仿宋" w:hAnsi="仿宋" w:eastAsia="仿宋" w:cs="仿宋"/>
          <w:sz w:val="32"/>
          <w:szCs w:val="32"/>
        </w:rPr>
        <w:t>。</w:t>
      </w:r>
    </w:p>
    <w:p>
      <w:pPr>
        <w:pStyle w:val="15"/>
        <w:rPr>
          <w:rFonts w:hAnsi="黑体"/>
          <w:b/>
          <w:sz w:val="32"/>
          <w:szCs w:val="32"/>
        </w:rPr>
      </w:pPr>
      <w:r>
        <w:rPr>
          <w:rFonts w:hint="eastAsia" w:hAnsi="黑体"/>
          <w:b/>
          <w:sz w:val="32"/>
          <w:szCs w:val="32"/>
        </w:rPr>
        <w:t>七、一般公共预算财政拨款三公经费支出决算情况说明</w:t>
      </w:r>
    </w:p>
    <w:p>
      <w:pPr>
        <w:pStyle w:val="15"/>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2021年度</w:t>
      </w: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178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175.34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98.51</w:t>
      </w:r>
      <w:r>
        <w:rPr>
          <w:rFonts w:hint="eastAsia" w:ascii="仿宋" w:hAnsi="仿宋" w:eastAsia="仿宋" w:cs="仿宋"/>
          <w:sz w:val="32"/>
          <w:szCs w:val="32"/>
        </w:rPr>
        <w:t>%，其中：</w:t>
      </w:r>
    </w:p>
    <w:p>
      <w:pPr>
        <w:pStyle w:val="15"/>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6.65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66.5</w:t>
      </w:r>
      <w:r>
        <w:rPr>
          <w:rFonts w:hint="eastAsia" w:ascii="仿宋" w:hAnsi="仿宋" w:eastAsia="仿宋" w:cs="仿宋"/>
          <w:sz w:val="32"/>
          <w:szCs w:val="32"/>
        </w:rPr>
        <w:t>%，决算数</w:t>
      </w:r>
      <w:r>
        <w:rPr>
          <w:rFonts w:hint="eastAsia" w:ascii="仿宋" w:hAnsi="仿宋" w:eastAsia="仿宋" w:cs="仿宋"/>
          <w:sz w:val="32"/>
          <w:szCs w:val="32"/>
          <w:lang w:val="en-US" w:eastAsia="zh-CN"/>
        </w:rPr>
        <w:t>小于</w:t>
      </w:r>
      <w:r>
        <w:rPr>
          <w:rFonts w:hint="eastAsia" w:ascii="仿宋" w:hAnsi="仿宋" w:eastAsia="仿宋" w:cs="仿宋"/>
          <w:sz w:val="32"/>
          <w:szCs w:val="32"/>
        </w:rPr>
        <w:t>预算数的主要原因是</w:t>
      </w:r>
      <w:r>
        <w:rPr>
          <w:rFonts w:hint="eastAsia" w:ascii="仿宋" w:hAnsi="仿宋" w:eastAsia="仿宋" w:cs="仿宋"/>
          <w:sz w:val="32"/>
          <w:szCs w:val="32"/>
          <w:lang w:val="en-US" w:eastAsia="zh-CN"/>
        </w:rPr>
        <w:t>厉行节约，严控接待活动和标准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与上年相比减少1.3万元，减少16.35%，减少的主要原因是受疫情影响，减少相关调研与出差。</w:t>
      </w:r>
    </w:p>
    <w:p>
      <w:pPr>
        <w:pStyle w:val="15"/>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务用车购置费及运行维护费支出预算为168万元，支出决算为168.69万元，完成预算的100.41%。决算数大于预算的主要原因是燃油价格上涨。与上年相比较增加60.05万元，增加55.27%，主要原因一是燃油价格上涨，二是工作需要，在编制范围内新购两台公务车辆。</w:t>
      </w:r>
    </w:p>
    <w:p>
      <w:pPr>
        <w:pStyle w:val="15"/>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6.65</w:t>
      </w:r>
      <w:r>
        <w:rPr>
          <w:rFonts w:hint="eastAsia" w:ascii="仿宋" w:hAnsi="仿宋" w:eastAsia="仿宋" w:cs="仿宋"/>
          <w:sz w:val="32"/>
          <w:szCs w:val="32"/>
        </w:rPr>
        <w:t>万元，占</w:t>
      </w:r>
      <w:r>
        <w:rPr>
          <w:rFonts w:hint="eastAsia" w:ascii="仿宋" w:hAnsi="仿宋" w:eastAsia="仿宋" w:cs="仿宋"/>
          <w:sz w:val="32"/>
          <w:szCs w:val="32"/>
          <w:lang w:val="en-US" w:eastAsia="zh-CN"/>
        </w:rPr>
        <w:t>3.79</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168.69</w:t>
      </w:r>
      <w:r>
        <w:rPr>
          <w:rFonts w:hint="eastAsia" w:ascii="仿宋" w:hAnsi="仿宋" w:eastAsia="仿宋" w:cs="仿宋"/>
          <w:sz w:val="32"/>
          <w:szCs w:val="32"/>
        </w:rPr>
        <w:t>万元，占</w:t>
      </w:r>
      <w:r>
        <w:rPr>
          <w:rFonts w:hint="eastAsia" w:ascii="仿宋" w:hAnsi="仿宋" w:eastAsia="仿宋" w:cs="仿宋"/>
          <w:sz w:val="32"/>
          <w:szCs w:val="32"/>
          <w:lang w:val="en-US" w:eastAsia="zh-CN"/>
        </w:rPr>
        <w:t>96.21</w:t>
      </w:r>
      <w:r>
        <w:rPr>
          <w:rFonts w:hint="eastAsia" w:ascii="仿宋" w:hAnsi="仿宋" w:eastAsia="仿宋" w:cs="仿宋"/>
          <w:sz w:val="32"/>
          <w:szCs w:val="32"/>
        </w:rPr>
        <w:t>%。其中：</w:t>
      </w:r>
    </w:p>
    <w:p>
      <w:pPr>
        <w:pStyle w:val="15"/>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6.65</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68</w:t>
      </w:r>
      <w:r>
        <w:rPr>
          <w:rFonts w:hint="eastAsia" w:ascii="仿宋" w:hAnsi="仿宋" w:eastAsia="仿宋" w:cs="仿宋"/>
          <w:sz w:val="32"/>
          <w:szCs w:val="32"/>
        </w:rPr>
        <w:t>个、来宾</w:t>
      </w:r>
      <w:r>
        <w:rPr>
          <w:rFonts w:hint="eastAsia" w:ascii="仿宋" w:hAnsi="仿宋" w:eastAsia="仿宋" w:cs="仿宋"/>
          <w:sz w:val="32"/>
          <w:szCs w:val="32"/>
          <w:lang w:val="en-US" w:eastAsia="zh-CN"/>
        </w:rPr>
        <w:t>426</w:t>
      </w:r>
      <w:r>
        <w:rPr>
          <w:rFonts w:hint="eastAsia" w:ascii="仿宋" w:hAnsi="仿宋" w:eastAsia="仿宋" w:cs="仿宋"/>
          <w:sz w:val="32"/>
          <w:szCs w:val="32"/>
        </w:rPr>
        <w:t>人次，主要</w:t>
      </w:r>
      <w:r>
        <w:rPr>
          <w:rFonts w:hint="eastAsia" w:ascii="仿宋" w:hAnsi="仿宋" w:eastAsia="仿宋" w:cs="仿宋"/>
          <w:sz w:val="32"/>
          <w:szCs w:val="32"/>
          <w:lang w:eastAsia="zh-CN"/>
        </w:rPr>
        <w:t>是</w:t>
      </w:r>
      <w:r>
        <w:rPr>
          <w:rFonts w:hint="eastAsia" w:ascii="仿宋" w:hAnsi="仿宋" w:eastAsia="仿宋" w:cs="仿宋"/>
          <w:sz w:val="32"/>
          <w:szCs w:val="32"/>
        </w:rPr>
        <w:t>用于与省、市、县相关单位交流工作情况及接受相关部门检查指导工作发生的接待支出。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168.69</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49.96</w:t>
      </w:r>
      <w:r>
        <w:rPr>
          <w:rFonts w:hint="eastAsia" w:ascii="仿宋" w:hAnsi="仿宋" w:eastAsia="仿宋" w:cs="仿宋"/>
          <w:sz w:val="32"/>
          <w:szCs w:val="32"/>
        </w:rPr>
        <w:t>万</w:t>
      </w:r>
      <w:r>
        <w:rPr>
          <w:rFonts w:hint="eastAsia" w:ascii="仿宋" w:hAnsi="仿宋" w:eastAsia="仿宋" w:cs="仿宋"/>
          <w:sz w:val="32"/>
          <w:szCs w:val="32"/>
          <w:lang w:eastAsia="zh-CN"/>
        </w:rPr>
        <w:t>，本年度购置</w:t>
      </w:r>
      <w:bookmarkStart w:id="2" w:name="_GoBack"/>
      <w:bookmarkEnd w:id="2"/>
      <w:r>
        <w:rPr>
          <w:rFonts w:hint="eastAsia" w:ascii="仿宋" w:hAnsi="仿宋" w:eastAsia="仿宋" w:cs="仿宋"/>
          <w:sz w:val="32"/>
          <w:szCs w:val="32"/>
        </w:rPr>
        <w:t>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118.73</w:t>
      </w:r>
      <w:r>
        <w:rPr>
          <w:rFonts w:hint="eastAsia" w:ascii="仿宋" w:hAnsi="仿宋" w:eastAsia="仿宋" w:cs="仿宋"/>
          <w:sz w:val="32"/>
          <w:szCs w:val="32"/>
        </w:rPr>
        <w:t>万元，主要是公务用车的燃料费、维修费、过桥过路费、保险费、</w:t>
      </w:r>
      <w:r>
        <w:rPr>
          <w:rFonts w:hint="eastAsia" w:ascii="仿宋" w:hAnsi="仿宋" w:eastAsia="仿宋" w:cs="仿宋"/>
          <w:sz w:val="32"/>
          <w:szCs w:val="32"/>
          <w:lang w:eastAsia="zh-CN"/>
        </w:rPr>
        <w:t>司机食宿</w:t>
      </w:r>
      <w:r>
        <w:rPr>
          <w:rFonts w:hint="eastAsia" w:ascii="仿宋" w:hAnsi="仿宋" w:eastAsia="仿宋" w:cs="仿宋"/>
          <w:sz w:val="32"/>
          <w:szCs w:val="32"/>
        </w:rPr>
        <w:t>费用等支出，截止202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20</w:t>
      </w:r>
      <w:r>
        <w:rPr>
          <w:rFonts w:hint="eastAsia" w:ascii="仿宋" w:hAnsi="仿宋" w:eastAsia="仿宋" w:cs="仿宋"/>
          <w:sz w:val="32"/>
          <w:szCs w:val="32"/>
        </w:rPr>
        <w:t>辆。</w:t>
      </w:r>
    </w:p>
    <w:p>
      <w:pPr>
        <w:pStyle w:val="15"/>
        <w:rPr>
          <w:rFonts w:hAnsi="黑体"/>
          <w:b/>
          <w:sz w:val="32"/>
          <w:szCs w:val="32"/>
        </w:rPr>
      </w:pPr>
      <w:r>
        <w:rPr>
          <w:rFonts w:hint="eastAsia" w:hAnsi="黑体"/>
          <w:b/>
          <w:sz w:val="32"/>
          <w:szCs w:val="32"/>
        </w:rPr>
        <w:t>八、政府性基金预算收入支出决算情况</w:t>
      </w:r>
    </w:p>
    <w:p>
      <w:pPr>
        <w:pStyle w:val="15"/>
        <w:ind w:firstLine="640" w:firstLineChars="200"/>
        <w:rPr>
          <w:rFonts w:hint="eastAsia" w:ascii="宋体" w:hAnsi="宋体" w:eastAsia="宋体" w:cs="Times New Roman"/>
          <w:color w:val="auto"/>
          <w:kern w:val="2"/>
          <w:sz w:val="32"/>
          <w:szCs w:val="32"/>
        </w:rPr>
      </w:pPr>
      <w:r>
        <w:rPr>
          <w:rFonts w:hint="eastAsia" w:ascii="仿宋" w:hAnsi="仿宋" w:eastAsia="仿宋" w:cs="仿宋"/>
          <w:color w:val="auto"/>
          <w:kern w:val="2"/>
          <w:sz w:val="32"/>
          <w:szCs w:val="32"/>
        </w:rPr>
        <w:t>本单位无政府性基金收支。</w:t>
      </w:r>
    </w:p>
    <w:p>
      <w:pPr>
        <w:pStyle w:val="15"/>
        <w:rPr>
          <w:rFonts w:hAnsi="黑体"/>
          <w:b/>
          <w:sz w:val="32"/>
          <w:szCs w:val="32"/>
        </w:rPr>
      </w:pPr>
      <w:r>
        <w:rPr>
          <w:rFonts w:hint="eastAsia" w:hAnsi="黑体"/>
          <w:b/>
          <w:sz w:val="32"/>
          <w:szCs w:val="32"/>
        </w:rPr>
        <w:t>九、关于机关运行经费支出说明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1871.23</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15.08</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0.8</w:t>
      </w:r>
      <w:r>
        <w:rPr>
          <w:rFonts w:hint="eastAsia" w:ascii="仿宋" w:hAnsi="仿宋" w:eastAsia="仿宋" w:cs="仿宋"/>
          <w:sz w:val="32"/>
          <w:szCs w:val="32"/>
        </w:rPr>
        <w:t>%。主要原因是：我</w:t>
      </w:r>
      <w:r>
        <w:rPr>
          <w:rFonts w:hint="eastAsia" w:ascii="仿宋" w:hAnsi="仿宋" w:eastAsia="仿宋" w:cs="仿宋"/>
          <w:sz w:val="32"/>
          <w:szCs w:val="32"/>
          <w:lang w:val="en-US" w:eastAsia="zh-CN"/>
        </w:rPr>
        <w:t>院</w:t>
      </w:r>
      <w:r>
        <w:rPr>
          <w:rFonts w:hint="eastAsia" w:ascii="仿宋" w:hAnsi="仿宋" w:eastAsia="仿宋" w:cs="仿宋"/>
          <w:sz w:val="32"/>
          <w:szCs w:val="32"/>
        </w:rPr>
        <w:t>认真贯彻落实中央、省、市有关要求，厉行节约，进一步从严控制</w:t>
      </w:r>
      <w:r>
        <w:rPr>
          <w:rFonts w:hint="eastAsia" w:ascii="仿宋" w:hAnsi="仿宋" w:eastAsia="仿宋" w:cs="仿宋"/>
          <w:sz w:val="32"/>
          <w:szCs w:val="32"/>
          <w:lang w:eastAsia="zh-CN"/>
        </w:rPr>
        <w:t>机关运行</w:t>
      </w:r>
      <w:r>
        <w:rPr>
          <w:rFonts w:hint="eastAsia" w:ascii="仿宋" w:hAnsi="仿宋" w:eastAsia="仿宋" w:cs="仿宋"/>
          <w:sz w:val="32"/>
          <w:szCs w:val="32"/>
        </w:rPr>
        <w:t>开支。</w:t>
      </w:r>
    </w:p>
    <w:p>
      <w:pPr>
        <w:pStyle w:val="15"/>
        <w:rPr>
          <w:rFonts w:hint="eastAsia" w:hAnsi="黑体"/>
          <w:b/>
          <w:sz w:val="32"/>
          <w:szCs w:val="32"/>
        </w:rPr>
      </w:pPr>
      <w:r>
        <w:rPr>
          <w:rFonts w:hint="eastAsia" w:hAnsi="黑体"/>
          <w:b/>
          <w:sz w:val="32"/>
          <w:szCs w:val="32"/>
          <w:lang w:val="en-US" w:eastAsia="zh-CN"/>
        </w:rPr>
        <w:t>十、</w:t>
      </w:r>
      <w:r>
        <w:rPr>
          <w:rFonts w:hint="eastAsia" w:hAnsi="黑体"/>
          <w:b/>
          <w:sz w:val="32"/>
          <w:szCs w:val="32"/>
        </w:rPr>
        <w:t>一般性支出情况</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w:t>
      </w:r>
      <w:r>
        <w:rPr>
          <w:rFonts w:hint="eastAsia" w:ascii="仿宋" w:hAnsi="仿宋" w:eastAsia="仿宋" w:cs="仿宋"/>
          <w:sz w:val="32"/>
          <w:szCs w:val="32"/>
          <w:lang w:eastAsia="zh-CN"/>
        </w:rPr>
        <w:t>单位</w:t>
      </w:r>
      <w:r>
        <w:rPr>
          <w:rFonts w:hint="eastAsia" w:ascii="仿宋" w:hAnsi="仿宋" w:eastAsia="仿宋" w:cs="仿宋"/>
          <w:sz w:val="32"/>
          <w:szCs w:val="32"/>
        </w:rPr>
        <w:t>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万元；开支培训费</w:t>
      </w:r>
      <w:r>
        <w:rPr>
          <w:rFonts w:hint="eastAsia" w:ascii="仿宋" w:hAnsi="仿宋" w:eastAsia="仿宋" w:cs="仿宋"/>
          <w:sz w:val="32"/>
          <w:szCs w:val="32"/>
          <w:lang w:val="en-US" w:eastAsia="zh-CN"/>
        </w:rPr>
        <w:t>39.07</w:t>
      </w:r>
      <w:r>
        <w:rPr>
          <w:rFonts w:hint="eastAsia" w:ascii="仿宋" w:hAnsi="仿宋" w:eastAsia="仿宋" w:cs="仿宋"/>
          <w:sz w:val="32"/>
          <w:szCs w:val="32"/>
        </w:rPr>
        <w:t>万元，用于开展</w:t>
      </w:r>
      <w:r>
        <w:rPr>
          <w:rFonts w:hint="eastAsia" w:ascii="仿宋" w:hAnsi="仿宋" w:eastAsia="仿宋" w:cs="仿宋"/>
          <w:sz w:val="32"/>
          <w:szCs w:val="32"/>
          <w:lang w:eastAsia="zh-CN"/>
        </w:rPr>
        <w:t>法</w:t>
      </w:r>
      <w:r>
        <w:rPr>
          <w:rFonts w:hint="eastAsia" w:ascii="仿宋" w:hAnsi="仿宋" w:eastAsia="仿宋" w:cs="仿宋"/>
          <w:sz w:val="32"/>
          <w:szCs w:val="32"/>
          <w:lang w:val="en-US" w:eastAsia="zh-CN"/>
        </w:rPr>
        <w:t>协</w:t>
      </w:r>
      <w:r>
        <w:rPr>
          <w:rFonts w:hint="eastAsia" w:ascii="仿宋" w:hAnsi="仿宋" w:eastAsia="仿宋" w:cs="仿宋"/>
          <w:sz w:val="32"/>
          <w:szCs w:val="32"/>
          <w:lang w:eastAsia="zh-CN"/>
        </w:rPr>
        <w:t>警技能</w:t>
      </w:r>
      <w:r>
        <w:rPr>
          <w:rFonts w:hint="eastAsia" w:ascii="仿宋" w:hAnsi="仿宋" w:eastAsia="仿宋" w:cs="仿宋"/>
          <w:sz w:val="32"/>
          <w:szCs w:val="32"/>
        </w:rPr>
        <w:t>培训，</w:t>
      </w:r>
      <w:r>
        <w:rPr>
          <w:rFonts w:hint="eastAsia" w:ascii="仿宋" w:hAnsi="仿宋" w:eastAsia="仿宋" w:cs="仿宋"/>
          <w:sz w:val="32"/>
          <w:szCs w:val="32"/>
          <w:lang w:val="en-US" w:eastAsia="zh-CN"/>
        </w:rPr>
        <w:t>法律业务能力</w:t>
      </w:r>
      <w:r>
        <w:rPr>
          <w:rFonts w:hint="eastAsia" w:ascii="仿宋" w:hAnsi="仿宋" w:eastAsia="仿宋" w:cs="仿宋"/>
          <w:sz w:val="32"/>
          <w:szCs w:val="32"/>
          <w:lang w:eastAsia="zh-CN"/>
        </w:rPr>
        <w:t>培训，全年培训</w:t>
      </w:r>
      <w:r>
        <w:rPr>
          <w:rFonts w:hint="eastAsia" w:ascii="仿宋" w:hAnsi="仿宋" w:eastAsia="仿宋" w:cs="仿宋"/>
          <w:sz w:val="32"/>
          <w:szCs w:val="32"/>
        </w:rPr>
        <w:t>人数</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110余</w:t>
      </w:r>
      <w:r>
        <w:rPr>
          <w:rFonts w:hint="eastAsia" w:ascii="仿宋" w:hAnsi="仿宋" w:eastAsia="仿宋" w:cs="仿宋"/>
          <w:sz w:val="32"/>
          <w:szCs w:val="32"/>
        </w:rPr>
        <w:t>人，</w:t>
      </w:r>
      <w:r>
        <w:rPr>
          <w:rFonts w:hint="eastAsia" w:ascii="仿宋" w:hAnsi="仿宋" w:eastAsia="仿宋" w:cs="仿宋"/>
          <w:sz w:val="32"/>
          <w:szCs w:val="32"/>
          <w:lang w:eastAsia="zh-CN"/>
        </w:rPr>
        <w:t>开支</w:t>
      </w:r>
      <w:r>
        <w:rPr>
          <w:rFonts w:hint="eastAsia" w:ascii="仿宋" w:hAnsi="仿宋" w:eastAsia="仿宋" w:cs="仿宋"/>
          <w:sz w:val="32"/>
          <w:szCs w:val="32"/>
        </w:rPr>
        <w:t>内容</w:t>
      </w:r>
      <w:r>
        <w:rPr>
          <w:rFonts w:hint="eastAsia" w:ascii="仿宋" w:hAnsi="仿宋" w:eastAsia="仿宋" w:cs="仿宋"/>
          <w:sz w:val="32"/>
          <w:szCs w:val="32"/>
          <w:lang w:eastAsia="zh-CN"/>
        </w:rPr>
        <w:t>主要</w:t>
      </w:r>
      <w:r>
        <w:rPr>
          <w:rFonts w:hint="eastAsia" w:ascii="仿宋" w:hAnsi="仿宋" w:eastAsia="仿宋" w:cs="仿宋"/>
          <w:sz w:val="32"/>
          <w:szCs w:val="32"/>
        </w:rPr>
        <w:t>为</w:t>
      </w:r>
      <w:r>
        <w:rPr>
          <w:rFonts w:hint="eastAsia" w:ascii="仿宋" w:hAnsi="仿宋" w:eastAsia="仿宋" w:cs="仿宋"/>
          <w:sz w:val="32"/>
          <w:szCs w:val="32"/>
          <w:lang w:eastAsia="zh-CN"/>
        </w:rPr>
        <w:t>培训交通费、住宿费、培训资料印刷费。</w:t>
      </w:r>
    </w:p>
    <w:p>
      <w:pPr>
        <w:pStyle w:val="15"/>
        <w:rPr>
          <w:rFonts w:hAnsi="黑体"/>
          <w:b/>
          <w:sz w:val="32"/>
          <w:szCs w:val="32"/>
        </w:rPr>
      </w:pPr>
      <w:r>
        <w:rPr>
          <w:rFonts w:hint="eastAsia" w:hAnsi="黑体"/>
          <w:b/>
          <w:sz w:val="32"/>
          <w:szCs w:val="32"/>
        </w:rPr>
        <w:t>十一、关于政府采购支出说明</w:t>
      </w:r>
    </w:p>
    <w:p>
      <w:pPr>
        <w:pStyle w:val="1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988.74</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289.94</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165</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533</w:t>
      </w:r>
      <w:r>
        <w:rPr>
          <w:rFonts w:hint="eastAsia" w:ascii="仿宋" w:hAnsi="仿宋" w:eastAsia="仿宋" w:cs="仿宋"/>
          <w:sz w:val="32"/>
          <w:szCs w:val="32"/>
        </w:rPr>
        <w:t>万元。</w:t>
      </w:r>
      <w:r>
        <w:rPr>
          <w:rFonts w:hint="eastAsia" w:ascii="仿宋" w:hAnsi="仿宋" w:eastAsia="仿宋" w:cs="仿宋"/>
          <w:sz w:val="32"/>
          <w:szCs w:val="32"/>
          <w:lang w:val="en-US" w:eastAsia="zh-CN"/>
        </w:rPr>
        <w:t>授予中小企业合同金额852万元，占政府采购支出总额的86.17%：授予小微企业合同金额577.65万元，占授予中小企业合同金额的67.79%。货物采购授予中小企业合同金额占货物支出金额的100%，工程采购授予中小企业合同金额占工程支出金额的100%，服务采购授予中小企业合同金额占服务支出金额的65.67%。</w:t>
      </w:r>
    </w:p>
    <w:p>
      <w:pPr>
        <w:pStyle w:val="15"/>
        <w:ind w:firstLine="640" w:firstLineChars="200"/>
        <w:rPr>
          <w:rFonts w:hint="default" w:asciiTheme="minorEastAsia" w:hAnsiTheme="minorEastAsia" w:eastAsiaTheme="minorEastAsia"/>
          <w:sz w:val="32"/>
          <w:szCs w:val="32"/>
          <w:lang w:val="en-US" w:eastAsia="zh-CN"/>
        </w:rPr>
      </w:pPr>
    </w:p>
    <w:p>
      <w:pPr>
        <w:pStyle w:val="15"/>
        <w:rPr>
          <w:rFonts w:hAnsi="黑体"/>
          <w:b/>
          <w:sz w:val="32"/>
          <w:szCs w:val="32"/>
        </w:rPr>
      </w:pPr>
      <w:r>
        <w:rPr>
          <w:rFonts w:hint="eastAsia" w:hAnsi="黑体"/>
          <w:b/>
          <w:sz w:val="32"/>
          <w:szCs w:val="32"/>
        </w:rPr>
        <w:t>十二、关于国有资产占用情况说明</w:t>
      </w:r>
    </w:p>
    <w:p>
      <w:pPr>
        <w:pStyle w:val="15"/>
        <w:ind w:firstLine="640" w:firstLineChars="200"/>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20</w:t>
      </w:r>
      <w:r>
        <w:rPr>
          <w:rFonts w:hint="eastAsia" w:ascii="仿宋" w:hAnsi="仿宋" w:eastAsia="仿宋" w:cs="仿宋"/>
          <w:sz w:val="32"/>
          <w:szCs w:val="32"/>
        </w:rPr>
        <w:t>辆，其中，</w:t>
      </w:r>
      <w:r>
        <w:rPr>
          <w:rFonts w:hint="eastAsia" w:ascii="仿宋" w:hAnsi="仿宋" w:eastAsia="仿宋" w:cs="仿宋"/>
          <w:sz w:val="32"/>
          <w:szCs w:val="32"/>
          <w:lang w:val="en-US" w:eastAsia="zh-CN"/>
        </w:rPr>
        <w:t>主要领导干部用车0辆、机要通信用车0辆、</w:t>
      </w:r>
      <w:r>
        <w:rPr>
          <w:rFonts w:hint="eastAsia" w:ascii="仿宋" w:hAnsi="仿宋" w:eastAsia="仿宋" w:cs="仿宋"/>
          <w:sz w:val="32"/>
          <w:szCs w:val="32"/>
        </w:rPr>
        <w:t>应急保障用车</w:t>
      </w:r>
      <w:r>
        <w:rPr>
          <w:rFonts w:hint="eastAsia" w:ascii="仿宋" w:hAnsi="仿宋" w:eastAsia="仿宋" w:cs="仿宋"/>
          <w:sz w:val="32"/>
          <w:szCs w:val="32"/>
          <w:lang w:val="en-US" w:eastAsia="zh-CN"/>
        </w:rPr>
        <w:t>2</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14</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4</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离退休干部用车0辆、其他用车0辆</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5台（套）</w:t>
      </w:r>
      <w:r>
        <w:rPr>
          <w:rFonts w:hint="eastAsia" w:ascii="仿宋" w:hAnsi="仿宋" w:eastAsia="仿宋" w:cs="仿宋"/>
          <w:sz w:val="32"/>
          <w:szCs w:val="32"/>
        </w:rPr>
        <w:t>；单位价值100万元以上专用设备</w:t>
      </w:r>
      <w:r>
        <w:rPr>
          <w:rFonts w:hint="eastAsia" w:ascii="仿宋" w:hAnsi="仿宋" w:eastAsia="仿宋" w:cs="仿宋"/>
          <w:sz w:val="32"/>
          <w:szCs w:val="32"/>
          <w:lang w:val="en-US" w:eastAsia="zh-CN"/>
        </w:rPr>
        <w:t>0台（套）</w:t>
      </w:r>
      <w:r>
        <w:rPr>
          <w:rFonts w:hint="eastAsia" w:ascii="仿宋" w:hAnsi="仿宋" w:eastAsia="仿宋" w:cs="仿宋"/>
          <w:sz w:val="32"/>
          <w:szCs w:val="32"/>
        </w:rPr>
        <w:t>。</w:t>
      </w:r>
    </w:p>
    <w:p>
      <w:pPr>
        <w:pStyle w:val="15"/>
        <w:rPr>
          <w:rFonts w:hAnsi="黑体"/>
          <w:b/>
          <w:sz w:val="32"/>
          <w:szCs w:val="32"/>
        </w:rPr>
      </w:pPr>
      <w:r>
        <w:rPr>
          <w:rFonts w:hint="eastAsia" w:hAnsi="黑体"/>
          <w:b/>
          <w:sz w:val="32"/>
          <w:szCs w:val="32"/>
        </w:rPr>
        <w:t>十三、关于202</w:t>
      </w:r>
      <w:r>
        <w:rPr>
          <w:rFonts w:hint="eastAsia" w:hAnsi="黑体"/>
          <w:b/>
          <w:sz w:val="32"/>
          <w:szCs w:val="32"/>
          <w:lang w:val="en-US" w:eastAsia="zh-CN"/>
        </w:rPr>
        <w:t>1</w:t>
      </w:r>
      <w:r>
        <w:rPr>
          <w:rFonts w:hint="eastAsia" w:hAnsi="黑体"/>
          <w:b/>
          <w:sz w:val="32"/>
          <w:szCs w:val="32"/>
        </w:rPr>
        <w:t>年度预算绩效情况的说明</w:t>
      </w:r>
    </w:p>
    <w:p>
      <w:pPr>
        <w:pStyle w:val="20"/>
      </w:pPr>
      <w:r>
        <w:t>窗体顶端</w:t>
      </w:r>
    </w:p>
    <w:p>
      <w:pPr>
        <w:pStyle w:val="6"/>
        <w:keepNext w:val="0"/>
        <w:keepLines w:val="0"/>
        <w:widowControl/>
        <w:numPr>
          <w:ilvl w:val="0"/>
          <w:numId w:val="3"/>
        </w:numPr>
        <w:suppressLineNumbers w:val="0"/>
        <w:spacing w:before="0" w:beforeAutospacing="0" w:after="0" w:afterAutospacing="0" w:line="23" w:lineRule="atLeast"/>
        <w:ind w:left="762" w:leftChars="0" w:right="0" w:firstLine="0" w:firstLineChars="0"/>
        <w:jc w:val="left"/>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绩效管理评价工作开展情况</w:t>
      </w:r>
    </w:p>
    <w:p>
      <w:pPr>
        <w:pStyle w:val="6"/>
        <w:keepNext w:val="0"/>
        <w:keepLines w:val="0"/>
        <w:widowControl/>
        <w:numPr>
          <w:ilvl w:val="0"/>
          <w:numId w:val="0"/>
        </w:numPr>
        <w:suppressLineNumbers w:val="0"/>
        <w:spacing w:before="0" w:beforeAutospacing="0" w:after="0" w:afterAutospacing="0" w:line="23" w:lineRule="atLeast"/>
        <w:ind w:right="0" w:rightChars="0"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根据预算绩效管理要求，我部门组织对2021年度一般公共预算拨款项目支出全面开展绩效自评。其中，一级项目2个，二级项目5个，共涉及资金916.4万元，占一般公共预算拨款项目支出总额的100%。</w:t>
      </w:r>
    </w:p>
    <w:p>
      <w:pPr>
        <w:pStyle w:val="6"/>
        <w:keepNext w:val="0"/>
        <w:keepLines w:val="0"/>
        <w:widowControl/>
        <w:numPr>
          <w:ilvl w:val="0"/>
          <w:numId w:val="0"/>
        </w:numPr>
        <w:suppressLineNumbers w:val="0"/>
        <w:spacing w:before="0" w:beforeAutospacing="0" w:after="0" w:afterAutospacing="0" w:line="23" w:lineRule="atLeast"/>
        <w:ind w:right="0" w:rightChars="0"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组织对信息化建设一个项目开展了部门评价，涉及一般公共预算支出50万元，从评价情况来看：一是从技术方面加强相关司法基础设施建设，提高了我院信息化建设水平；二是优化了审判业务程序，助推审判执行效能的提升；三是通过智慧法院等信息化平台，减轻当事人诉累，为人民群众提供更加方便、快捷的司法服务，提高了人民群众对司法行政的满意度。</w:t>
      </w:r>
    </w:p>
    <w:p>
      <w:pPr>
        <w:pStyle w:val="6"/>
        <w:keepNext w:val="0"/>
        <w:keepLines w:val="0"/>
        <w:widowControl/>
        <w:numPr>
          <w:ilvl w:val="0"/>
          <w:numId w:val="3"/>
        </w:numPr>
        <w:suppressLineNumbers w:val="0"/>
        <w:spacing w:before="0" w:beforeAutospacing="0" w:after="0" w:afterAutospacing="0" w:line="23" w:lineRule="atLeast"/>
        <w:ind w:left="762" w:leftChars="0" w:right="0" w:rightChars="0" w:firstLine="0" w:firstLineChars="0"/>
        <w:jc w:val="left"/>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部门评价项目绩效评价结果</w:t>
      </w:r>
    </w:p>
    <w:p>
      <w:pPr>
        <w:pStyle w:val="6"/>
        <w:keepNext w:val="0"/>
        <w:keepLines w:val="0"/>
        <w:widowControl/>
        <w:numPr>
          <w:ilvl w:val="0"/>
          <w:numId w:val="0"/>
        </w:numPr>
        <w:suppressLineNumbers w:val="0"/>
        <w:spacing w:before="0" w:beforeAutospacing="0" w:after="0" w:afterAutospacing="0" w:line="23" w:lineRule="atLeast"/>
        <w:ind w:left="762" w:leftChars="0" w:right="0" w:rightChars="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b/>
          <w:bCs/>
          <w:color w:val="000000"/>
          <w:kern w:val="0"/>
          <w:sz w:val="32"/>
          <w:szCs w:val="32"/>
          <w:lang w:val="en-US" w:eastAsia="zh-CN" w:bidi="ar-SA"/>
        </w:rPr>
        <w:t xml:space="preserve"> 2021年度衡阳市中级人民法院信息化建设项目支出绩效评价</w:t>
      </w:r>
    </w:p>
    <w:p>
      <w:pPr>
        <w:pStyle w:val="6"/>
        <w:keepNext w:val="0"/>
        <w:keepLines w:val="0"/>
        <w:widowControl/>
        <w:numPr>
          <w:ilvl w:val="0"/>
          <w:numId w:val="4"/>
        </w:numPr>
        <w:suppressLineNumbers w:val="0"/>
        <w:spacing w:before="0" w:beforeAutospacing="0" w:after="0" w:afterAutospacing="0" w:line="23" w:lineRule="atLeast"/>
        <w:ind w:left="762" w:leftChars="0" w:right="0" w:rightChars="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项目基本情况</w:t>
      </w:r>
    </w:p>
    <w:p>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根据《人民法院信息化建设五年发展规划（2019-2023）》（法〔2019〕79 号），规划中明确人民法院要以安全、运维和人才为重点对信息化建设进行保障，通过对法院现有网络和应用系统进行运行维护，保证法院专网、 电子政务内网、外网和各类应用系统正常运行，为法院工作人员提供良好的工作环境的同时为广大群众提供更便捷的司法服务，真正实现让信息多跑路，让群众少跑腿的目的，最终达到促进司法工作质量和效率，提高司法公信力，推进人民法院工作规范化、科学化的目标。</w:t>
      </w:r>
    </w:p>
    <w:p>
      <w:p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2021年度衡阳市中级人民法院根据实际业务需求申请预算，经省高院批复后，该项目年初预算数50万元，全年预算数50万元，全年执行数50万元，预算执行率100%。预算资金均来源于湖南省财政厅，主要用于审判法庭信息技术服务费和信息化系统购置。</w:t>
      </w:r>
    </w:p>
    <w:p>
      <w:pPr>
        <w:numPr>
          <w:ilvl w:val="0"/>
          <w:numId w:val="4"/>
        </w:numPr>
        <w:ind w:left="762" w:leftChars="0"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项目绩效目标</w:t>
      </w:r>
    </w:p>
    <w:p>
      <w:p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提升信息化持续运维保障能力，完成年度信息化运维任务，最大程度发挥系统效能，增强信息安全。具体包括：采购服务，保障各类专网的稳定运行，提升信息安全水平；采购计算机等相关硬件设备保障信息化系统持续稳定运行。</w:t>
      </w:r>
    </w:p>
    <w:p>
      <w:pPr>
        <w:numPr>
          <w:ilvl w:val="0"/>
          <w:numId w:val="4"/>
        </w:numPr>
        <w:ind w:left="762" w:leftChars="0"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项目绩效评价结果</w:t>
      </w:r>
    </w:p>
    <w:p>
      <w:pPr>
        <w:numPr>
          <w:ilvl w:val="0"/>
          <w:numId w:val="5"/>
        </w:num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预算执行率</w:t>
      </w:r>
    </w:p>
    <w:p>
      <w:pPr>
        <w:numPr>
          <w:ilvl w:val="0"/>
          <w:numId w:val="0"/>
        </w:num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信息化建设项目年初预算数50万元，全年预算数50万元，全年执行数50万元，预算执行率100%。</w:t>
      </w:r>
    </w:p>
    <w:p>
      <w:pPr>
        <w:numPr>
          <w:ilvl w:val="0"/>
          <w:numId w:val="5"/>
        </w:numPr>
        <w:ind w:left="0" w:leftChars="0"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资金使用合规性 </w:t>
      </w:r>
    </w:p>
    <w:p>
      <w:pPr>
        <w:numPr>
          <w:ilvl w:val="0"/>
          <w:numId w:val="0"/>
        </w:num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本项目资金使用符合《衡阳市中级人民法院机关财务经费管理规定》要求，拨付流程规范，有完整的审批手续，严格按照预算批复用途使用资金，未出现截留、滞留、挤占、挪用专项资金的现象，做到专款专用，相关政府采购项目依法按照政府采购程序进行。</w:t>
      </w:r>
    </w:p>
    <w:p>
      <w:pPr>
        <w:numPr>
          <w:ilvl w:val="0"/>
          <w:numId w:val="5"/>
        </w:numPr>
        <w:ind w:left="0" w:leftChars="0"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项目效益情况</w:t>
      </w:r>
    </w:p>
    <w:p>
      <w:pPr>
        <w:numPr>
          <w:ilvl w:val="0"/>
          <w:numId w:val="0"/>
        </w:num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(1)通过信息化建设项目的开展，从技术方面加强了相关司法基础设施建设，提高了我院信息化建设水平。</w:t>
      </w:r>
    </w:p>
    <w:p>
      <w:pPr>
        <w:pStyle w:val="6"/>
        <w:keepNext w:val="0"/>
        <w:keepLines w:val="0"/>
        <w:widowControl/>
        <w:numPr>
          <w:ilvl w:val="0"/>
          <w:numId w:val="0"/>
        </w:numPr>
        <w:suppressLineNumbers w:val="0"/>
        <w:spacing w:before="0" w:beforeAutospacing="0" w:after="0" w:afterAutospacing="0" w:line="23" w:lineRule="atLeast"/>
        <w:ind w:right="0" w:rightChars="0"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(2)优化了审判业务程序，助推审判执行效能的提升。2021年，全市法院新收各类案件7.2万件，审结和执行各类案件7.24万件（含旧存）。其中，市中院新收各类案件9330件，审结和执行各类案件9383件（含旧存）。全市法院人均结案165 件，审判质效位居全省法院前列，衡阳中院诉讼服务质效排名全省中院第二，中央扫黑除恶督导组、最高院、省高院多次推介衡阳法院扫黑除恶、诉源治理等工作经验。 </w:t>
      </w:r>
    </w:p>
    <w:p>
      <w:pPr>
        <w:pStyle w:val="6"/>
        <w:keepNext w:val="0"/>
        <w:keepLines w:val="0"/>
        <w:widowControl/>
        <w:numPr>
          <w:ilvl w:val="0"/>
          <w:numId w:val="0"/>
        </w:numPr>
        <w:suppressLineNumbers w:val="0"/>
        <w:spacing w:before="0" w:beforeAutospacing="0" w:after="0" w:afterAutospacing="0" w:line="23" w:lineRule="atLeast"/>
        <w:ind w:right="0" w:rightChars="0"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(3)通过智慧法院等信息化平台，减轻当事人诉累，为人民群众提供更加方便、快捷的司法服务，提高了人民群众对司法行政的满意度。</w:t>
      </w:r>
    </w:p>
    <w:p>
      <w:pPr>
        <w:pStyle w:val="6"/>
        <w:keepNext w:val="0"/>
        <w:keepLines w:val="0"/>
        <w:widowControl/>
        <w:numPr>
          <w:ilvl w:val="0"/>
          <w:numId w:val="0"/>
        </w:numPr>
        <w:suppressLineNumbers w:val="0"/>
        <w:spacing w:before="0" w:beforeAutospacing="0" w:after="0" w:afterAutospacing="0" w:line="23" w:lineRule="atLeast"/>
        <w:ind w:right="0" w:rightChars="0" w:firstLine="640" w:firstLineChars="200"/>
        <w:jc w:val="left"/>
        <w:rPr>
          <w:rFonts w:hint="default" w:cs="黑体" w:asciiTheme="minorEastAsia" w:hAnsiTheme="minorEastAsia"/>
          <w:color w:val="000000"/>
          <w:kern w:val="0"/>
          <w:sz w:val="32"/>
          <w:szCs w:val="32"/>
          <w:lang w:val="en-US" w:eastAsia="zh-CN" w:bidi="ar-SA"/>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rFonts w:hint="eastAsia"/>
          <w:sz w:val="72"/>
          <w:szCs w:val="72"/>
        </w:rPr>
      </w:pPr>
    </w:p>
    <w:p>
      <w:pPr>
        <w:pStyle w:val="15"/>
        <w:jc w:val="center"/>
        <w:rPr>
          <w:sz w:val="72"/>
          <w:szCs w:val="72"/>
        </w:rPr>
      </w:pPr>
      <w:r>
        <w:rPr>
          <w:rFonts w:hint="eastAsia"/>
          <w:sz w:val="72"/>
          <w:szCs w:val="72"/>
        </w:rPr>
        <w:t>第四部分</w:t>
      </w:r>
    </w:p>
    <w:p>
      <w:pPr>
        <w:jc w:val="center"/>
        <w:rPr>
          <w:rFonts w:ascii="黑体" w:eastAsia="黑体" w:cs="黑体"/>
          <w:color w:val="000000"/>
          <w:kern w:val="0"/>
          <w:sz w:val="72"/>
          <w:szCs w:val="72"/>
        </w:rPr>
      </w:pPr>
    </w:p>
    <w:p>
      <w:pPr>
        <w:jc w:val="center"/>
        <w:rPr>
          <w:rFonts w:ascii="黑体" w:eastAsia="黑体" w:cs="黑体"/>
          <w:color w:val="000000"/>
          <w:kern w:val="0"/>
          <w:sz w:val="72"/>
          <w:szCs w:val="72"/>
        </w:rPr>
      </w:pPr>
      <w:r>
        <w:rPr>
          <w:rFonts w:hint="eastAsia" w:ascii="黑体" w:eastAsia="黑体" w:cs="黑体"/>
          <w:color w:val="000000"/>
          <w:kern w:val="0"/>
          <w:sz w:val="72"/>
          <w:szCs w:val="72"/>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rPr>
          <w:rFonts w:hint="eastAsia" w:ascii="仿宋_GB2312" w:hAnsi="仿宋_GB2312" w:eastAsia="仿宋_GB2312" w:cs="仿宋_GB2312"/>
          <w:kern w:val="0"/>
          <w:sz w:val="32"/>
          <w:szCs w:val="32"/>
        </w:rPr>
      </w:pPr>
      <w:r>
        <w:rPr>
          <w:rFonts w:hint="eastAsia" w:ascii="黑体" w:hAnsi="黑体" w:eastAsia="黑体" w:cs="黑体"/>
          <w:i/>
          <w:sz w:val="32"/>
          <w:szCs w:val="32"/>
        </w:rPr>
        <w:t>一</w:t>
      </w:r>
      <w:r>
        <w:rPr>
          <w:rFonts w:hint="eastAsia" w:ascii="黑体" w:hAnsi="黑体" w:eastAsia="黑体" w:cs="黑体"/>
          <w:kern w:val="0"/>
          <w:sz w:val="32"/>
          <w:szCs w:val="32"/>
        </w:rPr>
        <w:t>、财政拨款收入：</w:t>
      </w:r>
      <w:r>
        <w:rPr>
          <w:rFonts w:hint="eastAsia" w:ascii="仿宋" w:hAnsi="仿宋" w:eastAsia="仿宋" w:cs="仿宋"/>
          <w:kern w:val="0"/>
          <w:sz w:val="32"/>
          <w:szCs w:val="32"/>
        </w:rPr>
        <w:t>指省级财政部门当年拨付的资金。</w:t>
      </w:r>
      <w:r>
        <w:rPr>
          <w:rFonts w:hint="eastAsia" w:ascii="仿宋_GB2312" w:hAnsi="仿宋_GB2312" w:eastAsia="仿宋_GB2312" w:cs="仿宋_GB2312"/>
          <w:kern w:val="0"/>
          <w:sz w:val="32"/>
          <w:szCs w:val="32"/>
        </w:rPr>
        <w:t>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rPr>
        <w:t>二、其他收入：</w:t>
      </w:r>
      <w:r>
        <w:rPr>
          <w:rFonts w:hint="eastAsia" w:ascii="仿宋" w:hAnsi="仿宋" w:eastAsia="仿宋" w:cs="仿宋"/>
          <w:kern w:val="0"/>
          <w:sz w:val="32"/>
          <w:szCs w:val="32"/>
        </w:rPr>
        <w:t>主要是市县财政部门当年拨付的资金和</w:t>
      </w:r>
      <w:r>
        <w:rPr>
          <w:rFonts w:hint="eastAsia" w:ascii="仿宋" w:hAnsi="仿宋" w:eastAsia="仿宋" w:cs="仿宋"/>
          <w:kern w:val="0"/>
          <w:sz w:val="32"/>
          <w:szCs w:val="32"/>
          <w:lang w:val="en-US" w:eastAsia="zh-CN"/>
        </w:rPr>
        <w:t>往来单位拨入的资金</w:t>
      </w:r>
      <w:r>
        <w:rPr>
          <w:rFonts w:hint="eastAsia" w:ascii="仿宋" w:hAnsi="仿宋" w:eastAsia="仿宋" w:cs="仿宋"/>
          <w:kern w:val="0"/>
          <w:sz w:val="32"/>
          <w:szCs w:val="32"/>
        </w:rPr>
        <w:t>。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rPr>
        <w:t>三、年初结转和结余：</w:t>
      </w:r>
      <w:r>
        <w:rPr>
          <w:rFonts w:hint="eastAsia" w:ascii="仿宋" w:hAnsi="仿宋" w:eastAsia="仿宋" w:cs="仿宋"/>
          <w:kern w:val="0"/>
          <w:sz w:val="32"/>
          <w:szCs w:val="32"/>
        </w:rPr>
        <w:t>指以前年度尚未完成、结转到本年按有关规定继续使用的资金。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rPr>
        <w:t>四、公共安全（类）法院（款）行政运行（项）：</w:t>
      </w:r>
      <w:r>
        <w:rPr>
          <w:rFonts w:hint="eastAsia" w:ascii="仿宋" w:hAnsi="仿宋" w:eastAsia="仿宋" w:cs="仿宋"/>
          <w:kern w:val="0"/>
          <w:sz w:val="32"/>
          <w:szCs w:val="32"/>
        </w:rPr>
        <w:t>指法院行政单位的基本支出。 </w:t>
      </w:r>
    </w:p>
    <w:p>
      <w:pPr>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五、公共安全（类）法院（款）一般行政管理事务（项）：</w:t>
      </w:r>
      <w:r>
        <w:rPr>
          <w:rFonts w:hint="eastAsia" w:ascii="仿宋" w:hAnsi="仿宋" w:eastAsia="仿宋" w:cs="仿宋"/>
          <w:kern w:val="0"/>
          <w:sz w:val="32"/>
          <w:szCs w:val="32"/>
        </w:rPr>
        <w:t>指法院行政单位未单独设置项级科目的其他项目支出。</w:t>
      </w:r>
      <w:r>
        <w:rPr>
          <w:rFonts w:hint="eastAsia" w:ascii="仿宋_GB2312" w:hAnsi="仿宋_GB2312" w:eastAsia="仿宋_GB2312" w:cs="仿宋_GB2312"/>
          <w:kern w:val="0"/>
          <w:sz w:val="32"/>
          <w:szCs w:val="32"/>
        </w:rPr>
        <w:t>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、公共安全（类）法院（款）案件审判（项）：</w:t>
      </w:r>
      <w:r>
        <w:rPr>
          <w:rFonts w:hint="eastAsia" w:ascii="仿宋" w:hAnsi="仿宋" w:eastAsia="仿宋" w:cs="仿宋"/>
          <w:kern w:val="0"/>
          <w:sz w:val="32"/>
          <w:szCs w:val="32"/>
        </w:rPr>
        <w:t>指</w:t>
      </w:r>
      <w:r>
        <w:rPr>
          <w:rFonts w:hint="eastAsia" w:ascii="仿宋" w:hAnsi="仿宋" w:eastAsia="仿宋" w:cs="仿宋"/>
          <w:kern w:val="0"/>
          <w:sz w:val="32"/>
          <w:szCs w:val="32"/>
          <w:lang w:eastAsia="zh-CN"/>
        </w:rPr>
        <w:t>我</w:t>
      </w:r>
      <w:r>
        <w:rPr>
          <w:rFonts w:hint="eastAsia" w:ascii="仿宋" w:hAnsi="仿宋" w:eastAsia="仿宋" w:cs="仿宋"/>
          <w:kern w:val="0"/>
          <w:sz w:val="32"/>
          <w:szCs w:val="32"/>
        </w:rPr>
        <w:t>院对刑事、民事、行政、涉外等案件审判活动的支出。</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lang w:eastAsia="zh-CN"/>
        </w:rPr>
        <w:t>、公共安全</w:t>
      </w:r>
      <w:r>
        <w:rPr>
          <w:rFonts w:hint="eastAsia" w:ascii="黑体" w:hAnsi="黑体" w:eastAsia="黑体" w:cs="黑体"/>
          <w:kern w:val="0"/>
          <w:sz w:val="32"/>
          <w:szCs w:val="32"/>
        </w:rPr>
        <w:t>（类）法院（款）</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两庭</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建设</w:t>
      </w:r>
      <w:r>
        <w:rPr>
          <w:rFonts w:hint="eastAsia" w:ascii="黑体" w:hAnsi="黑体" w:eastAsia="黑体" w:cs="黑体"/>
          <w:kern w:val="0"/>
          <w:sz w:val="32"/>
          <w:szCs w:val="32"/>
        </w:rPr>
        <w:t>（项）：</w:t>
      </w:r>
      <w:r>
        <w:rPr>
          <w:rFonts w:hint="eastAsia" w:ascii="仿宋" w:hAnsi="仿宋" w:eastAsia="仿宋" w:cs="仿宋"/>
          <w:kern w:val="0"/>
          <w:sz w:val="32"/>
          <w:szCs w:val="32"/>
        </w:rPr>
        <w:t>指</w:t>
      </w:r>
      <w:r>
        <w:rPr>
          <w:rFonts w:hint="eastAsia" w:ascii="仿宋" w:hAnsi="仿宋" w:eastAsia="仿宋" w:cs="仿宋"/>
          <w:kern w:val="0"/>
          <w:sz w:val="32"/>
          <w:szCs w:val="32"/>
          <w:lang w:eastAsia="zh-CN"/>
        </w:rPr>
        <w:t>我</w:t>
      </w:r>
      <w:r>
        <w:rPr>
          <w:rFonts w:hint="eastAsia" w:ascii="仿宋" w:hAnsi="仿宋" w:eastAsia="仿宋" w:cs="仿宋"/>
          <w:kern w:val="0"/>
          <w:sz w:val="32"/>
          <w:szCs w:val="32"/>
        </w:rPr>
        <w:t>院</w:t>
      </w:r>
      <w:r>
        <w:rPr>
          <w:rFonts w:hint="eastAsia" w:ascii="仿宋" w:hAnsi="仿宋" w:eastAsia="仿宋" w:cs="仿宋"/>
          <w:kern w:val="0"/>
          <w:sz w:val="32"/>
          <w:szCs w:val="32"/>
          <w:lang w:val="en-US" w:eastAsia="zh-CN"/>
        </w:rPr>
        <w:t>用于法警训练基地的基建</w:t>
      </w:r>
      <w:r>
        <w:rPr>
          <w:rFonts w:hint="eastAsia" w:ascii="仿宋" w:hAnsi="仿宋" w:eastAsia="仿宋" w:cs="仿宋"/>
          <w:kern w:val="0"/>
          <w:sz w:val="32"/>
          <w:szCs w:val="32"/>
        </w:rPr>
        <w:t>支出。</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、教育</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rPr>
        <w:t>（类）进修及培训（款）培训</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rPr>
        <w:t>（项）：</w:t>
      </w:r>
      <w:r>
        <w:rPr>
          <w:rFonts w:hint="eastAsia" w:ascii="仿宋" w:hAnsi="仿宋" w:eastAsia="仿宋" w:cs="仿宋"/>
          <w:kern w:val="0"/>
          <w:sz w:val="32"/>
          <w:szCs w:val="32"/>
        </w:rPr>
        <w:t>指为配合审判业务</w:t>
      </w:r>
      <w:r>
        <w:rPr>
          <w:rFonts w:hint="eastAsia" w:ascii="仿宋" w:hAnsi="仿宋" w:eastAsia="仿宋" w:cs="仿宋"/>
          <w:kern w:val="0"/>
          <w:sz w:val="32"/>
          <w:szCs w:val="32"/>
          <w:lang w:eastAsia="zh-CN"/>
        </w:rPr>
        <w:t>及相关</w:t>
      </w:r>
      <w:r>
        <w:rPr>
          <w:rFonts w:hint="eastAsia" w:ascii="仿宋" w:hAnsi="仿宋" w:eastAsia="仿宋" w:cs="仿宋"/>
          <w:kern w:val="0"/>
          <w:sz w:val="32"/>
          <w:szCs w:val="32"/>
        </w:rPr>
        <w:t>工作开展，</w:t>
      </w:r>
      <w:r>
        <w:rPr>
          <w:rFonts w:hint="eastAsia" w:ascii="仿宋" w:hAnsi="仿宋" w:eastAsia="仿宋" w:cs="仿宋"/>
          <w:kern w:val="0"/>
          <w:sz w:val="32"/>
          <w:szCs w:val="32"/>
          <w:lang w:eastAsia="zh-CN"/>
        </w:rPr>
        <w:t>我</w:t>
      </w:r>
      <w:r>
        <w:rPr>
          <w:rFonts w:hint="eastAsia" w:ascii="仿宋" w:hAnsi="仿宋" w:eastAsia="仿宋" w:cs="仿宋"/>
          <w:kern w:val="0"/>
          <w:sz w:val="32"/>
          <w:szCs w:val="32"/>
        </w:rPr>
        <w:t>院安排的用于培训的支出。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lang w:eastAsia="zh-CN"/>
        </w:rPr>
        <w:t>、社会保障和就业</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lang w:eastAsia="zh-CN"/>
        </w:rPr>
        <w:t>（类）行政事业单位</w:t>
      </w:r>
      <w:r>
        <w:rPr>
          <w:rFonts w:hint="eastAsia" w:ascii="黑体" w:hAnsi="黑体" w:eastAsia="黑体" w:cs="黑体"/>
          <w:kern w:val="0"/>
          <w:sz w:val="32"/>
          <w:szCs w:val="32"/>
          <w:lang w:val="en-US" w:eastAsia="zh-CN"/>
        </w:rPr>
        <w:t>养老支出</w:t>
      </w:r>
      <w:r>
        <w:rPr>
          <w:rFonts w:hint="eastAsia" w:ascii="黑体" w:hAnsi="黑体" w:eastAsia="黑体" w:cs="黑体"/>
          <w:kern w:val="0"/>
          <w:sz w:val="32"/>
          <w:szCs w:val="32"/>
          <w:lang w:eastAsia="zh-CN"/>
        </w:rPr>
        <w:t>（款）机关事业单位基本养老保险缴费支出（项）：</w:t>
      </w:r>
      <w:r>
        <w:rPr>
          <w:rFonts w:hint="eastAsia" w:ascii="仿宋" w:hAnsi="仿宋" w:eastAsia="仿宋" w:cs="仿宋"/>
          <w:kern w:val="0"/>
          <w:sz w:val="32"/>
          <w:szCs w:val="32"/>
        </w:rPr>
        <w:t>指</w:t>
      </w:r>
      <w:r>
        <w:rPr>
          <w:rFonts w:hint="eastAsia" w:ascii="仿宋" w:hAnsi="仿宋" w:eastAsia="仿宋" w:cs="仿宋"/>
          <w:kern w:val="0"/>
          <w:sz w:val="32"/>
          <w:szCs w:val="32"/>
          <w:lang w:eastAsia="zh-CN"/>
        </w:rPr>
        <w:t>我院实施养老保险制度由单位缴纳的基本养老保险费支出</w:t>
      </w:r>
      <w:r>
        <w:rPr>
          <w:rFonts w:hint="eastAsia" w:ascii="仿宋" w:hAnsi="仿宋" w:eastAsia="仿宋" w:cs="仿宋"/>
          <w:kern w:val="0"/>
          <w:sz w:val="32"/>
          <w:szCs w:val="32"/>
        </w:rPr>
        <w:t>。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十</w:t>
      </w:r>
      <w:r>
        <w:rPr>
          <w:rFonts w:hint="eastAsia" w:ascii="黑体" w:hAnsi="黑体" w:eastAsia="黑体" w:cs="黑体"/>
          <w:kern w:val="0"/>
          <w:sz w:val="32"/>
          <w:szCs w:val="32"/>
          <w:lang w:eastAsia="zh-CN"/>
        </w:rPr>
        <w:t>、社会保障和就业</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lang w:eastAsia="zh-CN"/>
        </w:rPr>
        <w:t>（类）行政事业单位</w:t>
      </w:r>
      <w:r>
        <w:rPr>
          <w:rFonts w:hint="eastAsia" w:ascii="黑体" w:hAnsi="黑体" w:eastAsia="黑体" w:cs="黑体"/>
          <w:kern w:val="0"/>
          <w:sz w:val="32"/>
          <w:szCs w:val="32"/>
          <w:lang w:val="en-US" w:eastAsia="zh-CN"/>
        </w:rPr>
        <w:t>养老支出</w:t>
      </w:r>
      <w:r>
        <w:rPr>
          <w:rFonts w:hint="eastAsia" w:ascii="黑体" w:hAnsi="黑体" w:eastAsia="黑体" w:cs="黑体"/>
          <w:kern w:val="0"/>
          <w:sz w:val="32"/>
          <w:szCs w:val="32"/>
          <w:lang w:eastAsia="zh-CN"/>
        </w:rPr>
        <w:t>（款）机关事业单位职业年金缴费支出（项）：</w:t>
      </w:r>
      <w:r>
        <w:rPr>
          <w:rFonts w:hint="eastAsia" w:ascii="仿宋" w:hAnsi="仿宋" w:eastAsia="仿宋" w:cs="仿宋"/>
          <w:kern w:val="0"/>
          <w:sz w:val="32"/>
          <w:szCs w:val="32"/>
        </w:rPr>
        <w:t>指</w:t>
      </w:r>
      <w:r>
        <w:rPr>
          <w:rFonts w:hint="eastAsia" w:ascii="仿宋" w:hAnsi="仿宋" w:eastAsia="仿宋" w:cs="仿宋"/>
          <w:kern w:val="0"/>
          <w:sz w:val="32"/>
          <w:szCs w:val="32"/>
          <w:lang w:eastAsia="zh-CN"/>
        </w:rPr>
        <w:t>我院实施养老保险制度由单位缴纳的职业年金支出</w:t>
      </w:r>
      <w:r>
        <w:rPr>
          <w:rFonts w:hint="eastAsia" w:ascii="仿宋" w:hAnsi="仿宋" w:eastAsia="仿宋" w:cs="仿宋"/>
          <w:kern w:val="0"/>
          <w:sz w:val="32"/>
          <w:szCs w:val="32"/>
        </w:rPr>
        <w:t>。</w:t>
      </w:r>
    </w:p>
    <w:p>
      <w:pPr>
        <w:ind w:firstLine="640" w:firstLineChars="200"/>
        <w:rPr>
          <w:rFonts w:hint="eastAsia" w:ascii="仿宋" w:hAnsi="仿宋" w:eastAsia="仿宋" w:cs="仿宋"/>
          <w:kern w:val="0"/>
          <w:sz w:val="32"/>
          <w:szCs w:val="32"/>
          <w:lang w:eastAsia="zh-CN"/>
        </w:rPr>
      </w:pPr>
      <w:r>
        <w:rPr>
          <w:rFonts w:hint="eastAsia" w:ascii="黑体" w:hAnsi="黑体" w:eastAsia="黑体" w:cs="黑体"/>
          <w:kern w:val="0"/>
          <w:sz w:val="32"/>
          <w:szCs w:val="32"/>
          <w:lang w:val="en-US" w:eastAsia="zh-CN"/>
        </w:rPr>
        <w:t>十一、</w:t>
      </w:r>
      <w:r>
        <w:rPr>
          <w:rFonts w:hint="eastAsia" w:ascii="黑体" w:hAnsi="黑体" w:eastAsia="黑体" w:cs="黑体"/>
          <w:kern w:val="0"/>
          <w:sz w:val="32"/>
          <w:szCs w:val="32"/>
          <w:lang w:eastAsia="zh-CN"/>
        </w:rPr>
        <w:t>社会保障和就业</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lang w:eastAsia="zh-CN"/>
        </w:rPr>
        <w:t>（类）</w:t>
      </w:r>
      <w:r>
        <w:rPr>
          <w:rFonts w:hint="eastAsia" w:ascii="黑体" w:hAnsi="黑体" w:eastAsia="黑体" w:cs="黑体"/>
          <w:kern w:val="0"/>
          <w:sz w:val="32"/>
          <w:szCs w:val="32"/>
          <w:lang w:val="en-US" w:eastAsia="zh-CN"/>
        </w:rPr>
        <w:t>抚恤</w:t>
      </w:r>
      <w:r>
        <w:rPr>
          <w:rFonts w:hint="eastAsia" w:ascii="黑体" w:hAnsi="黑体" w:eastAsia="黑体" w:cs="黑体"/>
          <w:kern w:val="0"/>
          <w:sz w:val="32"/>
          <w:szCs w:val="32"/>
          <w:lang w:eastAsia="zh-CN"/>
        </w:rPr>
        <w:t>（款）</w:t>
      </w:r>
      <w:r>
        <w:rPr>
          <w:rFonts w:hint="eastAsia" w:ascii="黑体" w:hAnsi="黑体" w:eastAsia="黑体" w:cs="黑体"/>
          <w:kern w:val="0"/>
          <w:sz w:val="32"/>
          <w:szCs w:val="32"/>
          <w:lang w:val="en-US" w:eastAsia="zh-CN"/>
        </w:rPr>
        <w:t>死亡抚恤</w:t>
      </w:r>
      <w:r>
        <w:rPr>
          <w:rFonts w:hint="eastAsia" w:ascii="黑体" w:hAnsi="黑体" w:eastAsia="黑体" w:cs="黑体"/>
          <w:kern w:val="0"/>
          <w:sz w:val="32"/>
          <w:szCs w:val="32"/>
          <w:lang w:eastAsia="zh-CN"/>
        </w:rPr>
        <w:t>（项）：</w:t>
      </w:r>
      <w:r>
        <w:rPr>
          <w:rFonts w:hint="eastAsia" w:ascii="仿宋" w:hAnsi="仿宋" w:eastAsia="仿宋" w:cs="仿宋"/>
          <w:kern w:val="0"/>
          <w:sz w:val="32"/>
          <w:szCs w:val="32"/>
        </w:rPr>
        <w:t>指</w:t>
      </w:r>
      <w:r>
        <w:rPr>
          <w:rFonts w:hint="eastAsia" w:ascii="仿宋" w:hAnsi="仿宋" w:eastAsia="仿宋" w:cs="仿宋"/>
          <w:kern w:val="0"/>
          <w:sz w:val="32"/>
          <w:szCs w:val="32"/>
          <w:lang w:eastAsia="zh-CN"/>
        </w:rPr>
        <w:t>我院</w:t>
      </w:r>
      <w:r>
        <w:rPr>
          <w:rFonts w:hint="eastAsia" w:ascii="仿宋" w:hAnsi="仿宋" w:eastAsia="仿宋" w:cs="仿宋"/>
          <w:kern w:val="0"/>
          <w:sz w:val="32"/>
          <w:szCs w:val="32"/>
          <w:lang w:val="en-US" w:eastAsia="zh-CN"/>
        </w:rPr>
        <w:t>按照规定用于病故人员的一次性抚恤金和丧葬费</w:t>
      </w:r>
      <w:r>
        <w:rPr>
          <w:rFonts w:hint="eastAsia" w:ascii="仿宋" w:hAnsi="仿宋" w:eastAsia="仿宋" w:cs="仿宋"/>
          <w:kern w:val="0"/>
          <w:sz w:val="32"/>
          <w:szCs w:val="32"/>
          <w:lang w:eastAsia="zh-CN"/>
        </w:rPr>
        <w:t>支出。</w:t>
      </w:r>
    </w:p>
    <w:p>
      <w:pPr>
        <w:ind w:firstLine="640" w:firstLineChars="200"/>
        <w:rPr>
          <w:rFonts w:hint="eastAsia" w:ascii="仿宋" w:hAnsi="仿宋" w:eastAsia="仿宋" w:cs="仿宋"/>
          <w:kern w:val="0"/>
          <w:sz w:val="32"/>
          <w:szCs w:val="32"/>
          <w:lang w:eastAsia="zh-CN"/>
        </w:rPr>
      </w:pPr>
      <w:r>
        <w:rPr>
          <w:rFonts w:hint="eastAsia" w:ascii="黑体" w:hAnsi="黑体" w:eastAsia="黑体" w:cs="黑体"/>
          <w:kern w:val="0"/>
          <w:sz w:val="32"/>
          <w:szCs w:val="32"/>
          <w:lang w:eastAsia="zh-CN"/>
        </w:rPr>
        <w:t>十</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lang w:eastAsia="zh-CN"/>
        </w:rPr>
        <w:t>、社会保障和就业</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lang w:eastAsia="zh-CN"/>
        </w:rPr>
        <w:t>（类）其他社会保障和就业（款）其他社会保障和就业支出（项）：</w:t>
      </w:r>
      <w:r>
        <w:rPr>
          <w:rFonts w:hint="eastAsia" w:ascii="仿宋" w:hAnsi="仿宋" w:eastAsia="仿宋" w:cs="仿宋"/>
          <w:kern w:val="0"/>
          <w:sz w:val="32"/>
          <w:szCs w:val="32"/>
        </w:rPr>
        <w:t>指</w:t>
      </w:r>
      <w:r>
        <w:rPr>
          <w:rFonts w:hint="eastAsia" w:ascii="仿宋" w:hAnsi="仿宋" w:eastAsia="仿宋" w:cs="仿宋"/>
          <w:kern w:val="0"/>
          <w:sz w:val="32"/>
          <w:szCs w:val="32"/>
          <w:lang w:eastAsia="zh-CN"/>
        </w:rPr>
        <w:t>我院除养老保险缴费和职业年金缴费以外其他用于社会保障和就业方面的支出。</w:t>
      </w:r>
    </w:p>
    <w:p>
      <w:pPr>
        <w:ind w:firstLine="640" w:firstLineChars="200"/>
        <w:rPr>
          <w:rFonts w:hint="eastAsia" w:ascii="仿宋" w:hAnsi="仿宋" w:eastAsia="仿宋" w:cs="仿宋"/>
          <w:kern w:val="0"/>
          <w:sz w:val="32"/>
          <w:szCs w:val="32"/>
          <w:lang w:eastAsia="zh-CN"/>
        </w:rPr>
      </w:pPr>
      <w:r>
        <w:rPr>
          <w:rFonts w:hint="eastAsia" w:ascii="黑体" w:hAnsi="黑体" w:eastAsia="黑体" w:cs="黑体"/>
          <w:kern w:val="0"/>
          <w:sz w:val="32"/>
          <w:szCs w:val="32"/>
          <w:lang w:eastAsia="zh-CN"/>
        </w:rPr>
        <w:t>十</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卫生健康支出</w:t>
      </w:r>
      <w:r>
        <w:rPr>
          <w:rFonts w:hint="eastAsia" w:ascii="黑体" w:hAnsi="黑体" w:eastAsia="黑体" w:cs="黑体"/>
          <w:kern w:val="0"/>
          <w:sz w:val="32"/>
          <w:szCs w:val="32"/>
          <w:lang w:eastAsia="zh-CN"/>
        </w:rPr>
        <w:t>（类）</w:t>
      </w:r>
      <w:r>
        <w:rPr>
          <w:rFonts w:hint="eastAsia" w:ascii="黑体" w:hAnsi="黑体" w:eastAsia="黑体" w:cs="黑体"/>
          <w:kern w:val="0"/>
          <w:sz w:val="32"/>
          <w:szCs w:val="32"/>
          <w:lang w:val="en-US" w:eastAsia="zh-CN"/>
        </w:rPr>
        <w:t>行政事业单位医疗</w:t>
      </w:r>
      <w:r>
        <w:rPr>
          <w:rFonts w:hint="eastAsia" w:ascii="黑体" w:hAnsi="黑体" w:eastAsia="黑体" w:cs="黑体"/>
          <w:kern w:val="0"/>
          <w:sz w:val="32"/>
          <w:szCs w:val="32"/>
          <w:lang w:eastAsia="zh-CN"/>
        </w:rPr>
        <w:t>（款）行政单位医疗（项）：</w:t>
      </w:r>
      <w:r>
        <w:rPr>
          <w:rFonts w:hint="eastAsia" w:ascii="仿宋" w:hAnsi="仿宋" w:eastAsia="仿宋" w:cs="仿宋"/>
          <w:kern w:val="0"/>
          <w:sz w:val="32"/>
          <w:szCs w:val="32"/>
        </w:rPr>
        <w:t>指</w:t>
      </w:r>
      <w:r>
        <w:rPr>
          <w:rFonts w:hint="eastAsia" w:ascii="仿宋" w:hAnsi="仿宋" w:eastAsia="仿宋" w:cs="仿宋"/>
          <w:kern w:val="0"/>
          <w:sz w:val="32"/>
          <w:szCs w:val="32"/>
          <w:lang w:eastAsia="zh-CN"/>
        </w:rPr>
        <w:t>我</w:t>
      </w:r>
      <w:r>
        <w:rPr>
          <w:rFonts w:hint="eastAsia" w:ascii="仿宋" w:hAnsi="仿宋" w:eastAsia="仿宋" w:cs="仿宋"/>
          <w:kern w:val="0"/>
          <w:sz w:val="32"/>
          <w:szCs w:val="32"/>
        </w:rPr>
        <w:t>院</w:t>
      </w:r>
      <w:r>
        <w:rPr>
          <w:rFonts w:hint="eastAsia" w:ascii="仿宋" w:hAnsi="仿宋" w:eastAsia="仿宋" w:cs="仿宋"/>
          <w:kern w:val="0"/>
          <w:sz w:val="32"/>
          <w:szCs w:val="32"/>
          <w:lang w:eastAsia="zh-CN"/>
        </w:rPr>
        <w:t>在职人员</w:t>
      </w:r>
      <w:r>
        <w:rPr>
          <w:rFonts w:hint="eastAsia" w:ascii="仿宋" w:hAnsi="仿宋" w:eastAsia="仿宋" w:cs="仿宋"/>
          <w:kern w:val="0"/>
          <w:sz w:val="32"/>
          <w:szCs w:val="32"/>
        </w:rPr>
        <w:t>按国家规定</w:t>
      </w:r>
      <w:r>
        <w:rPr>
          <w:rFonts w:hint="eastAsia" w:ascii="仿宋" w:hAnsi="仿宋" w:eastAsia="仿宋" w:cs="仿宋"/>
          <w:kern w:val="0"/>
          <w:sz w:val="32"/>
          <w:szCs w:val="32"/>
          <w:lang w:eastAsia="zh-CN"/>
        </w:rPr>
        <w:t>缴纳</w:t>
      </w:r>
      <w:r>
        <w:rPr>
          <w:rFonts w:hint="eastAsia" w:ascii="仿宋" w:hAnsi="仿宋" w:eastAsia="仿宋" w:cs="仿宋"/>
          <w:kern w:val="0"/>
          <w:sz w:val="32"/>
          <w:szCs w:val="32"/>
        </w:rPr>
        <w:t>的</w:t>
      </w:r>
      <w:r>
        <w:rPr>
          <w:rFonts w:hint="eastAsia" w:ascii="仿宋" w:hAnsi="仿宋" w:eastAsia="仿宋" w:cs="仿宋"/>
          <w:kern w:val="0"/>
          <w:sz w:val="32"/>
          <w:szCs w:val="32"/>
          <w:lang w:eastAsia="zh-CN"/>
        </w:rPr>
        <w:t>基本医疗费用支出。</w:t>
      </w:r>
    </w:p>
    <w:p>
      <w:pPr>
        <w:ind w:firstLine="640" w:firstLineChars="200"/>
        <w:rPr>
          <w:rFonts w:hint="eastAsia" w:ascii="仿宋" w:hAnsi="仿宋" w:eastAsia="仿宋" w:cs="仿宋"/>
          <w:kern w:val="0"/>
          <w:sz w:val="32"/>
          <w:szCs w:val="32"/>
          <w:lang w:eastAsia="zh-CN"/>
        </w:rPr>
      </w:pPr>
      <w:r>
        <w:rPr>
          <w:rFonts w:hint="eastAsia" w:ascii="黑体" w:hAnsi="黑体" w:eastAsia="黑体" w:cs="黑体"/>
          <w:kern w:val="0"/>
          <w:sz w:val="32"/>
          <w:szCs w:val="32"/>
          <w:lang w:val="en-US" w:eastAsia="zh-CN"/>
        </w:rPr>
        <w:t>十四</w:t>
      </w:r>
      <w:r>
        <w:rPr>
          <w:rFonts w:hint="eastAsia" w:ascii="黑体" w:hAnsi="黑体" w:eastAsia="黑体" w:cs="黑体"/>
          <w:kern w:val="0"/>
          <w:sz w:val="32"/>
          <w:szCs w:val="32"/>
          <w:lang w:eastAsia="zh-CN"/>
        </w:rPr>
        <w:t>、住房保障</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lang w:eastAsia="zh-CN"/>
        </w:rPr>
        <w:t>（类）住房改革</w:t>
      </w:r>
      <w:r>
        <w:rPr>
          <w:rFonts w:hint="eastAsia" w:ascii="黑体" w:hAnsi="黑体" w:eastAsia="黑体" w:cs="黑体"/>
          <w:kern w:val="0"/>
          <w:sz w:val="32"/>
          <w:szCs w:val="32"/>
          <w:lang w:val="en-US" w:eastAsia="zh-CN"/>
        </w:rPr>
        <w:t>支出</w:t>
      </w:r>
      <w:r>
        <w:rPr>
          <w:rFonts w:hint="eastAsia" w:ascii="黑体" w:hAnsi="黑体" w:eastAsia="黑体" w:cs="黑体"/>
          <w:kern w:val="0"/>
          <w:sz w:val="32"/>
          <w:szCs w:val="32"/>
          <w:lang w:eastAsia="zh-CN"/>
        </w:rPr>
        <w:t>（款）住房公积金（项）：</w:t>
      </w:r>
      <w:r>
        <w:rPr>
          <w:rFonts w:hint="eastAsia" w:ascii="仿宋" w:hAnsi="仿宋" w:eastAsia="仿宋" w:cs="仿宋"/>
          <w:kern w:val="0"/>
          <w:sz w:val="32"/>
          <w:szCs w:val="32"/>
          <w:lang w:eastAsia="zh-CN"/>
        </w:rPr>
        <w:t>指我院按衡阳市住房公积金规定的基本工资和津贴补贴以及规定比例为职工缴纳的住房公积金支出。</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十五</w:t>
      </w:r>
      <w:r>
        <w:rPr>
          <w:rFonts w:hint="eastAsia" w:ascii="黑体" w:hAnsi="黑体" w:eastAsia="黑体" w:cs="黑体"/>
          <w:kern w:val="0"/>
          <w:sz w:val="32"/>
          <w:szCs w:val="32"/>
        </w:rPr>
        <w:t>、年末结转和结余：</w:t>
      </w:r>
      <w:r>
        <w:rPr>
          <w:rFonts w:hint="eastAsia" w:ascii="仿宋" w:hAnsi="仿宋" w:eastAsia="仿宋" w:cs="仿宋"/>
          <w:kern w:val="0"/>
          <w:sz w:val="32"/>
          <w:szCs w:val="32"/>
        </w:rPr>
        <w:t>指本年度或以前年度预算安排、因客观条件发生变化无法按原计划实施，需延迟到以后年度按有关规定继续使用的资金。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十六</w:t>
      </w:r>
      <w:r>
        <w:rPr>
          <w:rFonts w:hint="eastAsia" w:ascii="黑体" w:hAnsi="黑体" w:eastAsia="黑体" w:cs="黑体"/>
          <w:kern w:val="0"/>
          <w:sz w:val="32"/>
          <w:szCs w:val="32"/>
        </w:rPr>
        <w:t>、基本支出：</w:t>
      </w:r>
      <w:r>
        <w:rPr>
          <w:rFonts w:hint="eastAsia" w:ascii="仿宋" w:hAnsi="仿宋" w:eastAsia="仿宋" w:cs="仿宋"/>
          <w:kern w:val="0"/>
          <w:sz w:val="32"/>
          <w:szCs w:val="32"/>
        </w:rPr>
        <w:t>指为保障机构正常运转、完成日常工作任务而发生的人员支出和公用支出。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十七</w:t>
      </w:r>
      <w:r>
        <w:rPr>
          <w:rFonts w:hint="eastAsia" w:ascii="黑体" w:hAnsi="黑体" w:eastAsia="黑体" w:cs="黑体"/>
          <w:kern w:val="0"/>
          <w:sz w:val="32"/>
          <w:szCs w:val="32"/>
        </w:rPr>
        <w:t>、“三公”经费：</w:t>
      </w:r>
      <w:r>
        <w:rPr>
          <w:rFonts w:hint="eastAsia" w:ascii="仿宋" w:hAnsi="仿宋" w:eastAsia="仿宋" w:cs="仿宋"/>
          <w:kern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十八</w:t>
      </w:r>
      <w:r>
        <w:rPr>
          <w:rFonts w:hint="eastAsia" w:ascii="黑体" w:hAnsi="黑体" w:eastAsia="黑体" w:cs="黑体"/>
          <w:kern w:val="0"/>
          <w:sz w:val="32"/>
          <w:szCs w:val="32"/>
        </w:rPr>
        <w:t>、机关运行经费：</w:t>
      </w:r>
      <w:r>
        <w:rPr>
          <w:rFonts w:hint="eastAsia" w:ascii="仿宋" w:hAnsi="仿宋" w:eastAsia="仿宋" w:cs="仿宋"/>
          <w:kern w:val="0"/>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 w:hAnsi="仿宋" w:eastAsia="仿宋" w:cs="仿宋"/>
          <w:color w:val="000000"/>
          <w:kern w:val="0"/>
          <w:sz w:val="32"/>
          <w:szCs w:val="32"/>
        </w:rPr>
      </w:pPr>
      <w:r>
        <w:rPr>
          <w:rFonts w:hint="eastAsia" w:ascii="黑体" w:hAnsi="黑体" w:eastAsia="黑体" w:cs="黑体"/>
          <w:kern w:val="0"/>
          <w:sz w:val="32"/>
          <w:szCs w:val="32"/>
          <w:lang w:val="en-US" w:eastAsia="zh-CN"/>
        </w:rPr>
        <w:t>十九</w:t>
      </w:r>
      <w:r>
        <w:rPr>
          <w:rFonts w:hint="eastAsia" w:ascii="黑体" w:hAnsi="黑体" w:eastAsia="黑体" w:cs="黑体"/>
          <w:kern w:val="0"/>
          <w:sz w:val="32"/>
          <w:szCs w:val="32"/>
        </w:rPr>
        <w:t>、项目支出：</w:t>
      </w:r>
      <w:r>
        <w:rPr>
          <w:rFonts w:hint="eastAsia" w:ascii="仿宋" w:hAnsi="仿宋" w:eastAsia="仿宋" w:cs="仿宋"/>
          <w:kern w:val="0"/>
          <w:sz w:val="32"/>
          <w:szCs w:val="32"/>
        </w:rPr>
        <w:t>指在基本支出之外为完成特定行政任务和事业发展目标所发生的支出。</w:t>
      </w:r>
    </w:p>
    <w:p>
      <w:pPr>
        <w:ind w:firstLine="640" w:firstLineChars="200"/>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2768"/>
    <w:multiLevelType w:val="singleLevel"/>
    <w:tmpl w:val="FDFF2768"/>
    <w:lvl w:ilvl="0" w:tentative="0">
      <w:start w:val="1"/>
      <w:numFmt w:val="decimal"/>
      <w:suff w:val="nothing"/>
      <w:lvlText w:val="（%1）"/>
      <w:lvlJc w:val="left"/>
      <w:pPr>
        <w:ind w:left="762" w:leftChars="0" w:firstLine="0" w:firstLineChars="0"/>
      </w:pPr>
    </w:lvl>
  </w:abstractNum>
  <w:abstractNum w:abstractNumId="1">
    <w:nsid w:val="02728C15"/>
    <w:multiLevelType w:val="singleLevel"/>
    <w:tmpl w:val="02728C15"/>
    <w:lvl w:ilvl="0" w:tentative="0">
      <w:start w:val="1"/>
      <w:numFmt w:val="decimal"/>
      <w:suff w:val="nothing"/>
      <w:lvlText w:val="%1、"/>
      <w:lvlJc w:val="left"/>
    </w:lvl>
  </w:abstractNum>
  <w:abstractNum w:abstractNumId="2">
    <w:nsid w:val="2DB109E3"/>
    <w:multiLevelType w:val="singleLevel"/>
    <w:tmpl w:val="2DB109E3"/>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CF9766"/>
    <w:multiLevelType w:val="singleLevel"/>
    <w:tmpl w:val="3ECF9766"/>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YzZhODhhYTA3MWRhNjUxNWRjNmVkM2EyODllZjU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E3052D"/>
    <w:rsid w:val="01E726E2"/>
    <w:rsid w:val="051308F0"/>
    <w:rsid w:val="05F8233A"/>
    <w:rsid w:val="064E401A"/>
    <w:rsid w:val="07112B57"/>
    <w:rsid w:val="07AB0CCA"/>
    <w:rsid w:val="07E439E6"/>
    <w:rsid w:val="08284747"/>
    <w:rsid w:val="0A6573C3"/>
    <w:rsid w:val="0BC52405"/>
    <w:rsid w:val="0BD3387E"/>
    <w:rsid w:val="0C3F694E"/>
    <w:rsid w:val="0CA36ED7"/>
    <w:rsid w:val="0D7F7B63"/>
    <w:rsid w:val="0F50134D"/>
    <w:rsid w:val="102D02D8"/>
    <w:rsid w:val="106E7C3E"/>
    <w:rsid w:val="13411DB6"/>
    <w:rsid w:val="14F8014C"/>
    <w:rsid w:val="16154D23"/>
    <w:rsid w:val="16273C4E"/>
    <w:rsid w:val="164C2821"/>
    <w:rsid w:val="16C508D8"/>
    <w:rsid w:val="18087EA0"/>
    <w:rsid w:val="185B27FD"/>
    <w:rsid w:val="1A283BBE"/>
    <w:rsid w:val="1B743E48"/>
    <w:rsid w:val="1EFA5A38"/>
    <w:rsid w:val="20411D3B"/>
    <w:rsid w:val="22055CD5"/>
    <w:rsid w:val="22ED6B6C"/>
    <w:rsid w:val="23E37CC7"/>
    <w:rsid w:val="24786CF9"/>
    <w:rsid w:val="253149B9"/>
    <w:rsid w:val="282C714E"/>
    <w:rsid w:val="28FA05CF"/>
    <w:rsid w:val="29096DAB"/>
    <w:rsid w:val="29AB2D45"/>
    <w:rsid w:val="29D67153"/>
    <w:rsid w:val="2A163351"/>
    <w:rsid w:val="2B285838"/>
    <w:rsid w:val="2B2A7B33"/>
    <w:rsid w:val="2B707AA1"/>
    <w:rsid w:val="2C0C2560"/>
    <w:rsid w:val="2D7D3F4E"/>
    <w:rsid w:val="2E1963EF"/>
    <w:rsid w:val="2FC00A06"/>
    <w:rsid w:val="313C36CC"/>
    <w:rsid w:val="316F1B22"/>
    <w:rsid w:val="333102D8"/>
    <w:rsid w:val="336258D6"/>
    <w:rsid w:val="34D9322C"/>
    <w:rsid w:val="35C37C00"/>
    <w:rsid w:val="3606534D"/>
    <w:rsid w:val="36D31EAE"/>
    <w:rsid w:val="373B405A"/>
    <w:rsid w:val="37CD1D6C"/>
    <w:rsid w:val="3823127A"/>
    <w:rsid w:val="38D222E0"/>
    <w:rsid w:val="393F6246"/>
    <w:rsid w:val="3AEA5ABF"/>
    <w:rsid w:val="3C7F128B"/>
    <w:rsid w:val="3CF65187"/>
    <w:rsid w:val="3CFF0FE0"/>
    <w:rsid w:val="3E7747B6"/>
    <w:rsid w:val="3E8C212D"/>
    <w:rsid w:val="3F3A775C"/>
    <w:rsid w:val="3FA24497"/>
    <w:rsid w:val="3FA61C85"/>
    <w:rsid w:val="41A9571A"/>
    <w:rsid w:val="43C64BAC"/>
    <w:rsid w:val="44565A30"/>
    <w:rsid w:val="446A1B94"/>
    <w:rsid w:val="45BA490F"/>
    <w:rsid w:val="4717326E"/>
    <w:rsid w:val="4797609C"/>
    <w:rsid w:val="489856DB"/>
    <w:rsid w:val="4B0C3391"/>
    <w:rsid w:val="4B372F36"/>
    <w:rsid w:val="4EA04B76"/>
    <w:rsid w:val="4F154980"/>
    <w:rsid w:val="4FB3713C"/>
    <w:rsid w:val="50C40532"/>
    <w:rsid w:val="516528D9"/>
    <w:rsid w:val="51DB0C3B"/>
    <w:rsid w:val="521462CB"/>
    <w:rsid w:val="525A27DB"/>
    <w:rsid w:val="53D14704"/>
    <w:rsid w:val="56107E16"/>
    <w:rsid w:val="57190EF9"/>
    <w:rsid w:val="57282B55"/>
    <w:rsid w:val="594145CA"/>
    <w:rsid w:val="59A0528C"/>
    <w:rsid w:val="59B51FE6"/>
    <w:rsid w:val="59BA35A6"/>
    <w:rsid w:val="5A9833A3"/>
    <w:rsid w:val="5B482651"/>
    <w:rsid w:val="5BAB477C"/>
    <w:rsid w:val="5C626D4B"/>
    <w:rsid w:val="5C7D4EF5"/>
    <w:rsid w:val="5CCF701B"/>
    <w:rsid w:val="5DFA507C"/>
    <w:rsid w:val="5E0E21D2"/>
    <w:rsid w:val="5E486695"/>
    <w:rsid w:val="5E6C2B96"/>
    <w:rsid w:val="5EA02788"/>
    <w:rsid w:val="600D4335"/>
    <w:rsid w:val="60E06DAA"/>
    <w:rsid w:val="612E6D12"/>
    <w:rsid w:val="61BD4CF9"/>
    <w:rsid w:val="61D21573"/>
    <w:rsid w:val="61E01B0E"/>
    <w:rsid w:val="62827288"/>
    <w:rsid w:val="62C32127"/>
    <w:rsid w:val="62EA0467"/>
    <w:rsid w:val="62F530BA"/>
    <w:rsid w:val="630C7063"/>
    <w:rsid w:val="64C85C27"/>
    <w:rsid w:val="650006EB"/>
    <w:rsid w:val="65B840D4"/>
    <w:rsid w:val="65D47EEE"/>
    <w:rsid w:val="673D37FE"/>
    <w:rsid w:val="683713C4"/>
    <w:rsid w:val="68DB2C3C"/>
    <w:rsid w:val="698F1BA3"/>
    <w:rsid w:val="69DD4F0A"/>
    <w:rsid w:val="6A0326EE"/>
    <w:rsid w:val="6BBD1B20"/>
    <w:rsid w:val="6D0F4BD8"/>
    <w:rsid w:val="6D977EE7"/>
    <w:rsid w:val="6E350028"/>
    <w:rsid w:val="6E4F7953"/>
    <w:rsid w:val="6EB267ED"/>
    <w:rsid w:val="6F872E6C"/>
    <w:rsid w:val="6FE56D52"/>
    <w:rsid w:val="70287AD3"/>
    <w:rsid w:val="705C3E9E"/>
    <w:rsid w:val="70942AA0"/>
    <w:rsid w:val="70AC2961"/>
    <w:rsid w:val="72543B0A"/>
    <w:rsid w:val="726E73F3"/>
    <w:rsid w:val="73D4276C"/>
    <w:rsid w:val="73DC093C"/>
    <w:rsid w:val="743910A1"/>
    <w:rsid w:val="74CE1585"/>
    <w:rsid w:val="768200C0"/>
    <w:rsid w:val="76C05493"/>
    <w:rsid w:val="77455492"/>
    <w:rsid w:val="776043B8"/>
    <w:rsid w:val="77B875F6"/>
    <w:rsid w:val="79A85745"/>
    <w:rsid w:val="7A72729E"/>
    <w:rsid w:val="7A984E1A"/>
    <w:rsid w:val="7AF974D3"/>
    <w:rsid w:val="7C9654A8"/>
    <w:rsid w:val="7CD755E7"/>
    <w:rsid w:val="7D83225C"/>
    <w:rsid w:val="7DBE2915"/>
    <w:rsid w:val="7DBF010C"/>
    <w:rsid w:val="7F490011"/>
    <w:rsid w:val="7F4940C6"/>
    <w:rsid w:val="7F6624AB"/>
    <w:rsid w:val="7F7F5B57"/>
    <w:rsid w:val="7FBC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kern w:val="44"/>
      <w:sz w:val="18"/>
      <w:szCs w:val="1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ordWrap w:val="0"/>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323232"/>
      <w:sz w:val="18"/>
      <w:szCs w:val="18"/>
      <w:u w:val="none"/>
    </w:rPr>
  </w:style>
  <w:style w:type="character" w:styleId="10">
    <w:name w:val="Emphasis"/>
    <w:basedOn w:val="8"/>
    <w:qFormat/>
    <w:uiPriority w:val="20"/>
  </w:style>
  <w:style w:type="character" w:styleId="11">
    <w:name w:val="HTML Variable"/>
    <w:basedOn w:val="8"/>
    <w:semiHidden/>
    <w:unhideWhenUsed/>
    <w:qFormat/>
    <w:uiPriority w:val="99"/>
  </w:style>
  <w:style w:type="character" w:styleId="12">
    <w:name w:val="Hyperlink"/>
    <w:basedOn w:val="8"/>
    <w:semiHidden/>
    <w:unhideWhenUsed/>
    <w:qFormat/>
    <w:uiPriority w:val="99"/>
    <w:rPr>
      <w:color w:val="666666"/>
      <w:sz w:val="18"/>
      <w:szCs w:val="18"/>
      <w:u w:val="none"/>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8"/>
    <w:link w:val="3"/>
    <w:semiHidden/>
    <w:qFormat/>
    <w:uiPriority w:val="99"/>
    <w:rPr>
      <w:sz w:val="18"/>
      <w:szCs w:val="18"/>
    </w:rPr>
  </w:style>
  <w:style w:type="paragraph" w:customStyle="1" w:styleId="18">
    <w:name w:val="_Style 16"/>
    <w:basedOn w:val="1"/>
    <w:next w:val="1"/>
    <w:qFormat/>
    <w:uiPriority w:val="0"/>
    <w:pPr>
      <w:pBdr>
        <w:bottom w:val="single" w:color="auto" w:sz="6" w:space="1"/>
      </w:pBdr>
      <w:jc w:val="center"/>
    </w:pPr>
    <w:rPr>
      <w:rFonts w:ascii="Arial" w:eastAsia="宋体"/>
      <w:vanish/>
      <w:sz w:val="16"/>
    </w:rPr>
  </w:style>
  <w:style w:type="paragraph" w:customStyle="1" w:styleId="19">
    <w:name w:val="_Style 17"/>
    <w:basedOn w:val="1"/>
    <w:next w:val="1"/>
    <w:qFormat/>
    <w:uiPriority w:val="0"/>
    <w:pPr>
      <w:pBdr>
        <w:top w:val="single" w:color="auto" w:sz="6" w:space="1"/>
      </w:pBdr>
      <w:jc w:val="center"/>
    </w:pPr>
    <w:rPr>
      <w:rFonts w:ascii="Arial" w:eastAsia="宋体"/>
      <w:vanish/>
      <w:sz w:val="16"/>
    </w:rPr>
  </w:style>
  <w:style w:type="paragraph" w:customStyle="1" w:styleId="20">
    <w:name w:val="_Style 19"/>
    <w:basedOn w:val="1"/>
    <w:next w:val="1"/>
    <w:qFormat/>
    <w:uiPriority w:val="0"/>
    <w:pPr>
      <w:pBdr>
        <w:bottom w:val="single" w:color="auto" w:sz="6" w:space="1"/>
      </w:pBdr>
      <w:jc w:val="center"/>
    </w:pPr>
    <w:rPr>
      <w:rFonts w:ascii="Arial" w:eastAsia="宋体"/>
      <w:vanish/>
      <w:sz w:val="16"/>
    </w:rPr>
  </w:style>
  <w:style w:type="paragraph" w:customStyle="1" w:styleId="21">
    <w:name w:val="_Style 2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10063</Words>
  <Characters>14991</Characters>
  <Lines>61</Lines>
  <Paragraphs>17</Paragraphs>
  <TotalTime>9</TotalTime>
  <ScaleCrop>false</ScaleCrop>
  <LinksUpToDate>false</LinksUpToDate>
  <CharactersWithSpaces>15599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2022-09-16T03:16:00Z</cp:lastPrinted>
  <dcterms:modified xsi:type="dcterms:W3CDTF">2023-09-25T07:19:20Z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7554EE371E3944B6AF357C2B35FF9616_13</vt:lpwstr>
  </property>
</Properties>
</file>