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2940" w:leftChars="0" w:right="0" w:firstLine="420" w:firstLineChars="0"/>
        <w:jc w:val="both"/>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36"/>
          <w:szCs w:val="36"/>
          <w:shd w:val="clear" w:fill="FFFFFF"/>
        </w:rPr>
        <w:t>技术服务要求</w:t>
      </w:r>
    </w:p>
    <w:p>
      <w:pPr>
        <w:pStyle w:val="2"/>
        <w:widowControl/>
        <w:spacing w:before="50" w:beforeAutospacing="0" w:after="50" w:afterAutospacing="0"/>
        <w:rPr>
          <w:rFonts w:hint="eastAsia" w:ascii="宋体" w:hAnsi="宋体"/>
          <w:color w:val="000000"/>
        </w:rPr>
      </w:pPr>
    </w:p>
    <w:p>
      <w:pPr>
        <w:pStyle w:val="2"/>
        <w:widowControl/>
        <w:numPr>
          <w:ilvl w:val="0"/>
          <w:numId w:val="1"/>
        </w:numPr>
        <w:spacing w:beforeAutospacing="0" w:afterAutospacing="0" w:line="360" w:lineRule="auto"/>
        <w:rPr>
          <w:rStyle w:val="4"/>
          <w:rFonts w:ascii="宋体" w:hAnsi="宋体" w:eastAsia="宋体" w:cs="宋体"/>
          <w:bCs/>
        </w:rPr>
      </w:pPr>
      <w:r>
        <w:rPr>
          <w:rFonts w:hint="eastAsia" w:ascii="宋体" w:hAnsi="宋体" w:eastAsia="宋体" w:cs="宋体"/>
          <w:b/>
          <w:bCs/>
        </w:rPr>
        <w:t>技术和服务要求</w:t>
      </w:r>
      <w:r>
        <w:rPr>
          <w:rStyle w:val="4"/>
          <w:rFonts w:hint="eastAsia" w:ascii="宋体" w:hAnsi="宋体" w:eastAsia="宋体" w:cs="宋体"/>
          <w:bCs/>
        </w:rPr>
        <w:t>（以“★”标示的内容为不允许负偏离的实质性要求）</w:t>
      </w:r>
    </w:p>
    <w:p>
      <w:pPr>
        <w:spacing w:line="360" w:lineRule="auto"/>
        <w:rPr>
          <w:rFonts w:ascii="宋体" w:hAnsi="宋体" w:eastAsia="宋体" w:cs="宋体"/>
          <w:b/>
          <w:bCs/>
          <w:color w:val="000000"/>
          <w:sz w:val="24"/>
        </w:rPr>
      </w:pPr>
      <w:r>
        <w:rPr>
          <w:rFonts w:hint="eastAsia" w:ascii="宋体" w:hAnsi="宋体" w:eastAsia="宋体" w:cs="宋体"/>
          <w:b/>
          <w:bCs/>
          <w:color w:val="000000"/>
          <w:sz w:val="24"/>
        </w:rPr>
        <w:t>（</w:t>
      </w:r>
      <w:r>
        <w:rPr>
          <w:rFonts w:hint="eastAsia" w:ascii="宋体" w:hAnsi="宋体" w:eastAsia="宋体" w:cs="宋体"/>
          <w:b/>
          <w:bCs/>
          <w:color w:val="000000"/>
          <w:sz w:val="24"/>
          <w:lang w:val="en-US" w:eastAsia="zh-CN"/>
        </w:rPr>
        <w:t>一</w:t>
      </w:r>
      <w:r>
        <w:rPr>
          <w:rFonts w:hint="eastAsia" w:ascii="宋体" w:hAnsi="宋体" w:eastAsia="宋体" w:cs="宋体"/>
          <w:b/>
          <w:bCs/>
          <w:color w:val="000000"/>
          <w:sz w:val="24"/>
        </w:rPr>
        <w:t>）技术服务要求</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2" w:firstLineChars="200"/>
        <w:jc w:val="both"/>
        <w:textAlignment w:val="auto"/>
        <w:outlineLvl w:val="9"/>
        <w:rPr>
          <w:b/>
          <w:bCs/>
        </w:rPr>
      </w:pPr>
      <w:r>
        <w:rPr>
          <w:rFonts w:hint="eastAsia"/>
          <w:b/>
          <w:bCs/>
          <w:lang w:val="en-US" w:eastAsia="zh-CN"/>
        </w:rPr>
        <w:t>1.</w:t>
      </w:r>
      <w:r>
        <w:rPr>
          <w:rFonts w:hint="eastAsia"/>
          <w:b/>
          <w:bCs/>
        </w:rPr>
        <w:t>等保咨询服务</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pPr>
      <w:r>
        <w:rPr>
          <w:rFonts w:hint="eastAsia"/>
          <w:lang w:eastAsia="zh-CN"/>
        </w:rPr>
        <w:t>（</w:t>
      </w:r>
      <w:r>
        <w:rPr>
          <w:rFonts w:hint="eastAsia"/>
          <w:lang w:val="en-US" w:eastAsia="zh-CN"/>
        </w:rPr>
        <w:t>1</w:t>
      </w:r>
      <w:r>
        <w:rPr>
          <w:rFonts w:hint="eastAsia"/>
          <w:lang w:eastAsia="zh-CN"/>
        </w:rPr>
        <w:t>）</w:t>
      </w:r>
      <w:r>
        <w:rPr>
          <w:rFonts w:hint="eastAsia"/>
        </w:rPr>
        <w:t>资产梳理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pPr>
      <w:r>
        <w:rPr>
          <w:rFonts w:hint="eastAsia"/>
        </w:rPr>
        <w:t>对服务范围内信息系统相关的物理环境、网络结构、主机以及业务系统进行摸底调研，进行资产梳理，了解信息安全的状况。</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pPr>
      <w:r>
        <w:rPr>
          <w:rFonts w:hint="eastAsia"/>
          <w:lang w:eastAsia="zh-CN"/>
        </w:rPr>
        <w:t>（</w:t>
      </w:r>
      <w:r>
        <w:rPr>
          <w:rFonts w:hint="eastAsia"/>
          <w:lang w:val="en-US" w:eastAsia="zh-CN"/>
        </w:rPr>
        <w:t>2</w:t>
      </w:r>
      <w:r>
        <w:rPr>
          <w:rFonts w:hint="eastAsia"/>
          <w:lang w:eastAsia="zh-CN"/>
        </w:rPr>
        <w:t>）</w:t>
      </w:r>
      <w:r>
        <w:rPr>
          <w:rFonts w:hint="eastAsia"/>
        </w:rPr>
        <w:t>差距分析</w:t>
      </w: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pPr>
      <w:r>
        <w:rPr>
          <w:rFonts w:hint="eastAsia"/>
        </w:rPr>
        <w:t>根据系统的安全等级选择和确定系统基本安全要求指标，然后按照安全指标评估系统安全现状，找出系统现状与安全指标之间的差距，输出差距分析表。</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pPr>
      <w:r>
        <w:rPr>
          <w:rFonts w:hint="eastAsia"/>
          <w:lang w:eastAsia="zh-CN"/>
        </w:rPr>
        <w:t>（</w:t>
      </w:r>
      <w:r>
        <w:rPr>
          <w:rFonts w:hint="eastAsia"/>
          <w:lang w:val="en-US" w:eastAsia="zh-CN"/>
        </w:rPr>
        <w:t>3</w:t>
      </w:r>
      <w:r>
        <w:rPr>
          <w:rFonts w:hint="eastAsia"/>
          <w:lang w:eastAsia="zh-CN"/>
        </w:rPr>
        <w:t>）</w:t>
      </w:r>
      <w:r>
        <w:rPr>
          <w:rFonts w:hint="eastAsia"/>
        </w:rPr>
        <w:t>规划整改</w:t>
      </w: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pPr>
      <w:r>
        <w:rPr>
          <w:rFonts w:hint="eastAsia"/>
        </w:rPr>
        <w:t>根据差距分析表，结合信息系统的具体情况，从两个方面进行规划整改：①从安全物理环境、安全通信网络、安全区域边界、安全计算环境以及安全管理中心五个层面进行安全技术加固工作；②从安全管理制度、安全管理机构、安全管理人员、安全建设管理以及安全运维管五个层面做好安全管理整改工作。输出《等级保护整改方案》</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pPr>
      <w:r>
        <w:rPr>
          <w:rFonts w:hint="eastAsia"/>
          <w:lang w:eastAsia="zh-CN"/>
        </w:rPr>
        <w:t>（</w:t>
      </w:r>
      <w:r>
        <w:rPr>
          <w:rFonts w:hint="eastAsia"/>
          <w:lang w:val="en-US" w:eastAsia="zh-CN"/>
        </w:rPr>
        <w:t>4</w:t>
      </w:r>
      <w:r>
        <w:rPr>
          <w:rFonts w:hint="eastAsia"/>
          <w:lang w:eastAsia="zh-CN"/>
        </w:rPr>
        <w:t>）</w:t>
      </w:r>
      <w:r>
        <w:rPr>
          <w:rFonts w:hint="eastAsia"/>
        </w:rPr>
        <w:t>整改实施</w:t>
      </w: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pPr>
      <w:r>
        <w:rPr>
          <w:rFonts w:hint="eastAsia"/>
        </w:rPr>
        <w:t>根据整改方案，配合用户进行整改实施。</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pPr>
      <w:r>
        <w:rPr>
          <w:rFonts w:hint="eastAsia"/>
          <w:lang w:eastAsia="zh-CN"/>
        </w:rPr>
        <w:t>（</w:t>
      </w:r>
      <w:r>
        <w:rPr>
          <w:rFonts w:hint="eastAsia"/>
          <w:lang w:val="en-US" w:eastAsia="zh-CN"/>
        </w:rPr>
        <w:t>5</w:t>
      </w:r>
      <w:r>
        <w:rPr>
          <w:rFonts w:hint="eastAsia"/>
          <w:lang w:eastAsia="zh-CN"/>
        </w:rPr>
        <w:t>）</w:t>
      </w:r>
      <w:r>
        <w:rPr>
          <w:rFonts w:hint="eastAsia"/>
        </w:rPr>
        <w:t>辅助测评</w:t>
      </w: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pPr>
      <w:r>
        <w:rPr>
          <w:rFonts w:hint="eastAsia"/>
        </w:rPr>
        <w:t>等级测评在整个等级保护工作中是非常关键的一环，等级测评会对前期的安全建设工作给出一个量化的测评结果，是等级保护建设工作的成败关键。投标人需要配合用户完成：测评前的准备工作、配合测评机构进行测评、与测评机构的沟通、取得良好的测评结果。</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2" w:firstLineChars="200"/>
        <w:jc w:val="both"/>
        <w:textAlignment w:val="auto"/>
        <w:outlineLvl w:val="9"/>
        <w:rPr>
          <w:b/>
          <w:bCs/>
        </w:rPr>
      </w:pPr>
      <w:r>
        <w:rPr>
          <w:rFonts w:hint="eastAsia"/>
          <w:b/>
          <w:bCs/>
          <w:lang w:val="en-US" w:eastAsia="zh-CN"/>
        </w:rPr>
        <w:t>2.</w:t>
      </w:r>
      <w:r>
        <w:rPr>
          <w:rFonts w:hint="eastAsia"/>
          <w:b/>
          <w:bCs/>
        </w:rPr>
        <w:t>等保测评服务</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pPr>
      <w:r>
        <w:rPr>
          <w:rFonts w:hint="eastAsia"/>
          <w:lang w:eastAsia="zh-CN"/>
        </w:rPr>
        <w:t>（</w:t>
      </w:r>
      <w:r>
        <w:rPr>
          <w:rFonts w:hint="eastAsia"/>
          <w:lang w:val="en-US" w:eastAsia="zh-CN"/>
        </w:rPr>
        <w:t>1</w:t>
      </w:r>
      <w:r>
        <w:rPr>
          <w:rFonts w:hint="eastAsia"/>
          <w:lang w:eastAsia="zh-CN"/>
        </w:rPr>
        <w:t>）</w:t>
      </w:r>
      <w:r>
        <w:rPr>
          <w:rFonts w:hint="eastAsia"/>
        </w:rPr>
        <w:t>测评机构须依据国家《中华人民共和国计算机信息系统安全保护条例》（国务院147号令）、《信息安全等级保护管理办法》（公通字[2007]43号）、《信息安全技术 网络安全等级保护基本要求GBT22239-2019 》、《信息安全技术 网络安全等级保护测评要求GBT28448-2019》等法规要求进行信息系统安全等级测评。</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pPr>
      <w:r>
        <w:rPr>
          <w:rFonts w:hint="eastAsia"/>
          <w:lang w:eastAsia="zh-CN"/>
        </w:rPr>
        <w:t>（</w:t>
      </w:r>
      <w:r>
        <w:rPr>
          <w:rFonts w:hint="eastAsia"/>
          <w:lang w:val="en-US" w:eastAsia="zh-CN"/>
        </w:rPr>
        <w:t>2</w:t>
      </w:r>
      <w:r>
        <w:rPr>
          <w:rFonts w:hint="eastAsia"/>
          <w:lang w:eastAsia="zh-CN"/>
        </w:rPr>
        <w:t>）</w:t>
      </w:r>
      <w:r>
        <w:rPr>
          <w:rFonts w:hint="eastAsia"/>
        </w:rPr>
        <w:t>技术要求部分测评须涉及安全通信网络、安全区域边界、安全计算环境、安全管理中心、安全物理环境五个方面，须通过访谈、配置检查和工具测试的方式测评信息系统的技术安全保障情况。</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pPr>
      <w:r>
        <w:rPr>
          <w:rFonts w:hint="eastAsia"/>
          <w:lang w:val="en-US" w:eastAsia="zh-CN"/>
        </w:rPr>
        <w:t>a.</w:t>
      </w:r>
      <w:r>
        <w:rPr>
          <w:rFonts w:hint="eastAsia"/>
        </w:rPr>
        <w:t>安全物理环境测评须通过访谈、文档审查和实地察看的方式测评信息系统的物理安全保障情况。主要涉及对象为机房。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pPr>
      <w:r>
        <w:t>b</w:t>
      </w:r>
      <w:r>
        <w:rPr>
          <w:rFonts w:hint="eastAsia"/>
          <w:lang w:val="en-US" w:eastAsia="zh-CN"/>
        </w:rPr>
        <w:t>.</w:t>
      </w:r>
      <w:r>
        <w:rPr>
          <w:rFonts w:hint="eastAsia"/>
        </w:rPr>
        <w:t>安全通信网络测评须通过访谈、配置检查和工具测试的方式测评信息系统的安全通信网络保障情况。</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pPr>
      <w:r>
        <w:rPr>
          <w:rFonts w:hint="eastAsia"/>
        </w:rPr>
        <w:t>c</w:t>
      </w:r>
      <w:r>
        <w:rPr>
          <w:rFonts w:hint="eastAsia"/>
          <w:lang w:val="en-US" w:eastAsia="zh-CN"/>
        </w:rPr>
        <w:t>.</w:t>
      </w:r>
      <w:r>
        <w:rPr>
          <w:rFonts w:hint="eastAsia"/>
        </w:rPr>
        <w:t>安全区域边界测评须通过访谈、配置检查和工具测试的方式测评信息系统的安全区域边界保障情况。</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pPr>
      <w:r>
        <w:t>d</w:t>
      </w:r>
      <w:r>
        <w:rPr>
          <w:rFonts w:hint="eastAsia"/>
          <w:lang w:val="en-US" w:eastAsia="zh-CN"/>
        </w:rPr>
        <w:t>.</w:t>
      </w:r>
      <w:r>
        <w:rPr>
          <w:rFonts w:hint="eastAsia"/>
        </w:rPr>
        <w:t>安全计算环境须通过访谈、配置检查和工具测试的方式测评信息系统的安全计算环境保障情况。</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pPr>
      <w:r>
        <w:rPr>
          <w:rFonts w:hint="eastAsia"/>
        </w:rPr>
        <w:t>e</w:t>
      </w:r>
      <w:r>
        <w:rPr>
          <w:rFonts w:hint="eastAsia"/>
          <w:lang w:val="en-US" w:eastAsia="zh-CN"/>
        </w:rPr>
        <w:t>.</w:t>
      </w:r>
      <w:r>
        <w:rPr>
          <w:rFonts w:hint="eastAsia"/>
        </w:rPr>
        <w:t>安全管理中心测评须通过访谈、配置检查的方式测评信息系统的安全管理中心保障情况。</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pPr>
      <w:r>
        <w:rPr>
          <w:rFonts w:hint="eastAsia"/>
          <w:lang w:eastAsia="zh-CN"/>
        </w:rPr>
        <w:t>（</w:t>
      </w:r>
      <w:r>
        <w:rPr>
          <w:rFonts w:hint="eastAsia"/>
          <w:lang w:val="en-US" w:eastAsia="zh-CN"/>
        </w:rPr>
        <w:t>3</w:t>
      </w:r>
      <w:r>
        <w:rPr>
          <w:rFonts w:hint="eastAsia"/>
          <w:lang w:eastAsia="zh-CN"/>
        </w:rPr>
        <w:t>）</w:t>
      </w:r>
      <w:r>
        <w:rPr>
          <w:rFonts w:hint="eastAsia"/>
        </w:rPr>
        <w:t>管理要求部分测评须涉及安全管理制度、安全管理机构、安全管理人员、安全建设管理和安全运维管理等五个方面，管理要求方面的测评对象主要为安全主管人员、安全管理人员等。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pPr>
      <w:r>
        <w:rPr>
          <w:rFonts w:hint="eastAsia"/>
        </w:rPr>
        <w:t>a</w:t>
      </w:r>
      <w:r>
        <w:rPr>
          <w:rFonts w:hint="eastAsia"/>
          <w:lang w:val="en-US" w:eastAsia="zh-CN"/>
        </w:rPr>
        <w:t>.</w:t>
      </w:r>
      <w:r>
        <w:rPr>
          <w:rFonts w:hint="eastAsia"/>
        </w:rPr>
        <w:t>安全管理制度：须针对管理制度、制定和发布、评审和修订等情况进行核查。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pPr>
      <w:r>
        <w:t>b</w:t>
      </w:r>
      <w:r>
        <w:rPr>
          <w:rFonts w:hint="eastAsia"/>
          <w:lang w:val="en-US" w:eastAsia="zh-CN"/>
        </w:rPr>
        <w:t>.</w:t>
      </w:r>
      <w:r>
        <w:rPr>
          <w:rFonts w:hint="eastAsia"/>
        </w:rPr>
        <w:t>安全管理机构：须针对岗位设置、人员配备、授权和审批、沟通和协作、审核和检查等情况进行审核。</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pPr>
      <w:r>
        <w:t>c</w:t>
      </w:r>
      <w:r>
        <w:rPr>
          <w:rFonts w:hint="eastAsia"/>
          <w:lang w:val="en-US" w:eastAsia="zh-CN"/>
        </w:rPr>
        <w:t>.</w:t>
      </w:r>
      <w:r>
        <w:rPr>
          <w:rFonts w:hint="eastAsia"/>
        </w:rPr>
        <w:t>安全人员管理：须针对人员录用、人员离岗、人员考核、安全意识教育和培训、外部人员访问管理等进行核查。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pPr>
      <w:r>
        <w:t>d</w:t>
      </w:r>
      <w:r>
        <w:rPr>
          <w:rFonts w:hint="eastAsia"/>
          <w:lang w:val="en-US" w:eastAsia="zh-CN"/>
        </w:rPr>
        <w:t>.</w:t>
      </w:r>
      <w:r>
        <w:rPr>
          <w:rFonts w:hint="eastAsia"/>
        </w:rPr>
        <w:t>安全建设管理：须针对系统建设的全过程，系统定级、安全方案设计、产品采购和使用、自行软件开发、外包软件开发等进行核查。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t>e</w:t>
      </w:r>
      <w:r>
        <w:rPr>
          <w:rFonts w:hint="eastAsia"/>
          <w:lang w:val="en-US" w:eastAsia="zh-CN"/>
        </w:rPr>
        <w:t>.</w:t>
      </w:r>
      <w:r>
        <w:rPr>
          <w:rFonts w:hint="eastAsia"/>
        </w:rPr>
        <w:t>安全运维管理：须针对资产管理、介质管理、设备管理、监控管理、系统安全管理、恶意代码防范管理、密码管理、变更管理、备份与恢复管理、安全事件处置、应急预案管理进行核查。</w:t>
      </w:r>
    </w:p>
    <w:p>
      <w:pPr>
        <w:spacing w:line="360" w:lineRule="auto"/>
        <w:rPr>
          <w:rFonts w:hint="eastAsia" w:ascii="宋体" w:hAnsi="宋体" w:eastAsia="宋体" w:cs="宋体"/>
          <w:b/>
          <w:bCs/>
          <w:color w:val="000000"/>
          <w:sz w:val="24"/>
        </w:rPr>
      </w:pPr>
      <w:r>
        <w:rPr>
          <w:rFonts w:hint="eastAsia" w:ascii="宋体" w:hAnsi="宋体" w:eastAsia="宋体" w:cs="宋体"/>
          <w:b/>
          <w:bCs/>
          <w:color w:val="000000"/>
          <w:sz w:val="24"/>
          <w:lang w:val="en-US" w:eastAsia="zh-CN"/>
        </w:rPr>
        <w:t>(二）资质要求</w:t>
      </w:r>
    </w:p>
    <w:p>
      <w:pPr>
        <w:pStyle w:val="7"/>
        <w:numPr>
          <w:ilvl w:val="0"/>
          <w:numId w:val="0"/>
        </w:numPr>
        <w:spacing w:line="360" w:lineRule="auto"/>
        <w:ind w:leftChars="0" w:firstLine="420" w:firstLineChars="0"/>
        <w:rPr>
          <w:rFonts w:hint="eastAsia"/>
        </w:rPr>
      </w:pPr>
      <w:r>
        <w:rPr>
          <w:rFonts w:hint="eastAsia" w:ascii="宋体" w:hAnsi="宋体" w:eastAsia="宋体" w:cs="宋体"/>
          <w:color w:val="000000"/>
          <w:sz w:val="24"/>
        </w:rPr>
        <w:t>★</w:t>
      </w:r>
      <w:r>
        <w:rPr>
          <w:rFonts w:hint="eastAsia"/>
        </w:rPr>
        <w:t>投标</w:t>
      </w:r>
      <w:r>
        <w:rPr>
          <w:rFonts w:hint="eastAsia"/>
          <w:lang w:val="en-US" w:eastAsia="zh-CN"/>
        </w:rPr>
        <w:t>人</w:t>
      </w:r>
      <w:r>
        <w:rPr>
          <w:rFonts w:hint="eastAsia"/>
        </w:rPr>
        <w:t>须为福建省等保测评机构并具有等级保护测评资质（须在网络安全等级保护网（http://www.djbh.net）中“全国网络安全等级测评与检测评估机构目录”可查阅），提供查阅网页的截图或提供《网络安全等级测评与检测评估机构服务认证证书》复印件。非本省测评机构要求本项目所在省或市的网安部门出具同意参与该项目的证明文件并加盖公章。</w:t>
      </w:r>
    </w:p>
    <w:p>
      <w:pPr>
        <w:numPr>
          <w:ilvl w:val="0"/>
          <w:numId w:val="0"/>
        </w:numPr>
        <w:spacing w:line="360" w:lineRule="auto"/>
        <w:rPr>
          <w:rFonts w:ascii="宋体" w:hAnsi="宋体" w:eastAsia="宋体" w:cs="宋体"/>
          <w:b/>
          <w:bCs/>
          <w:color w:val="000000"/>
          <w:sz w:val="24"/>
        </w:rPr>
      </w:pPr>
      <w:r>
        <w:rPr>
          <w:rFonts w:hint="eastAsia" w:ascii="宋体" w:hAnsi="宋体" w:eastAsia="宋体" w:cs="宋体"/>
          <w:b/>
          <w:bCs/>
          <w:color w:val="000000"/>
          <w:sz w:val="24"/>
          <w:lang w:val="en-US" w:eastAsia="zh-CN"/>
        </w:rPr>
        <w:t>（三）人员要求</w:t>
      </w:r>
    </w:p>
    <w:p>
      <w:pPr>
        <w:pStyle w:val="7"/>
        <w:numPr>
          <w:ilvl w:val="0"/>
          <w:numId w:val="0"/>
        </w:numPr>
        <w:spacing w:line="360" w:lineRule="auto"/>
        <w:ind w:leftChars="0" w:firstLine="480" w:firstLineChars="200"/>
        <w:rPr>
          <w:rFonts w:ascii="宋体" w:hAnsi="宋体" w:eastAsia="宋体" w:cs="宋体"/>
        </w:rPr>
      </w:pPr>
      <w:r>
        <w:rPr>
          <w:rFonts w:hint="eastAsia" w:ascii="宋体" w:hAnsi="宋体" w:eastAsia="宋体" w:cs="宋体"/>
          <w:color w:val="000000"/>
          <w:sz w:val="24"/>
        </w:rPr>
        <w:t>★</w:t>
      </w:r>
      <w:r>
        <w:rPr>
          <w:rFonts w:hint="eastAsia"/>
          <w:lang w:val="en-US" w:eastAsia="zh-CN"/>
        </w:rPr>
        <w:t>测评团队须至少具备1个网络安全高级测评师，1个网络安全中级测评师，2个网络安全初级测评师，并且由网络安全高级测评师担任项目经理。测评团队中至少有一名测评师为被测系统备案省份网络安全等级保护专家委员会的专家（需提供测评师证书复印件、专家相关的证明材料及投标人为其缴纳的提交首次响应文件截止时间前六个月内任意一个月的社保证明等复印件加盖供应商单位公章）。</w:t>
      </w:r>
    </w:p>
    <w:p>
      <w:pPr>
        <w:pStyle w:val="2"/>
        <w:widowControl/>
        <w:spacing w:before="50" w:beforeAutospacing="0" w:after="50" w:afterAutospacing="0"/>
      </w:pPr>
      <w:r>
        <w:rPr>
          <w:rFonts w:hint="eastAsia" w:ascii="宋体" w:hAnsi="宋体" w:eastAsia="宋体" w:cs="宋体"/>
          <w:lang w:val="en-US" w:eastAsia="zh-CN"/>
        </w:rPr>
        <w:t>二</w:t>
      </w:r>
      <w:r>
        <w:rPr>
          <w:rFonts w:hint="eastAsia" w:ascii="宋体" w:hAnsi="宋体" w:eastAsia="宋体" w:cs="宋体"/>
        </w:rPr>
        <w:t>、</w:t>
      </w:r>
      <w:r>
        <w:rPr>
          <w:rFonts w:hint="eastAsia" w:ascii="宋体" w:hAnsi="宋体" w:eastAsia="宋体" w:cs="宋体"/>
          <w:b/>
          <w:bCs/>
          <w:szCs w:val="22"/>
        </w:rPr>
        <w:t>商务条件</w:t>
      </w:r>
      <w:r>
        <w:rPr>
          <w:rStyle w:val="4"/>
          <w:rFonts w:hint="eastAsia" w:ascii="宋体" w:hAnsi="宋体" w:eastAsia="宋体" w:cs="宋体"/>
          <w:bCs/>
        </w:rPr>
        <w:t>（以“★”标示的内容为不允许负偏离的实质性要求）</w:t>
      </w:r>
    </w:p>
    <w:p>
      <w:pPr>
        <w:pStyle w:val="2"/>
        <w:widowControl/>
        <w:spacing w:before="50" w:beforeAutospacing="0" w:after="50" w:afterAutospacing="0"/>
      </w:pPr>
      <w:r>
        <w:rPr>
          <w:rStyle w:val="4"/>
          <w:rFonts w:hint="eastAsia" w:ascii="宋体" w:hAnsi="宋体" w:eastAsia="宋体" w:cs="宋体"/>
          <w:bCs/>
        </w:rPr>
        <w:t>包：1</w:t>
      </w:r>
      <w:r>
        <w:rPr>
          <w:rStyle w:val="4"/>
          <w:rFonts w:hint="eastAsia" w:ascii="宋体" w:hAnsi="宋体" w:eastAsia="宋体" w:cs="宋体"/>
          <w:bCs/>
        </w:rPr>
        <w:br w:type="textWrapping"/>
      </w:r>
      <w:r>
        <w:rPr>
          <w:rStyle w:val="4"/>
          <w:rFonts w:hint="eastAsia" w:ascii="宋体" w:hAnsi="宋体" w:eastAsia="宋体" w:cs="宋体"/>
          <w:bCs/>
        </w:rPr>
        <w:t>1、交付地点：福建省福州市台江区广达路89号</w:t>
      </w:r>
      <w:r>
        <w:rPr>
          <w:rStyle w:val="4"/>
          <w:rFonts w:hint="eastAsia" w:ascii="宋体" w:hAnsi="宋体" w:eastAsia="宋体" w:cs="宋体"/>
          <w:bCs/>
        </w:rPr>
        <w:br w:type="textWrapping"/>
      </w:r>
      <w:r>
        <w:rPr>
          <w:rStyle w:val="4"/>
          <w:rFonts w:hint="eastAsia" w:ascii="宋体" w:hAnsi="宋体" w:eastAsia="宋体" w:cs="宋体"/>
          <w:bCs/>
        </w:rPr>
        <w:t>2、交付时间：合同签订后 (15 ) 天内进场服务</w:t>
      </w:r>
      <w:r>
        <w:rPr>
          <w:rStyle w:val="4"/>
          <w:rFonts w:hint="eastAsia" w:ascii="宋体" w:hAnsi="宋体" w:eastAsia="宋体" w:cs="宋体"/>
          <w:bCs/>
        </w:rPr>
        <w:br w:type="textWrapping"/>
      </w:r>
      <w:r>
        <w:rPr>
          <w:rStyle w:val="4"/>
          <w:rFonts w:hint="eastAsia" w:ascii="宋体" w:hAnsi="宋体" w:eastAsia="宋体" w:cs="宋体"/>
          <w:bCs/>
        </w:rPr>
        <w:t>3、交付条件：验收合格后</w:t>
      </w:r>
      <w:r>
        <w:rPr>
          <w:rStyle w:val="4"/>
          <w:rFonts w:hint="eastAsia" w:ascii="宋体" w:hAnsi="宋体" w:eastAsia="宋体" w:cs="宋体"/>
          <w:bCs/>
        </w:rPr>
        <w:br w:type="textWrapping"/>
      </w:r>
      <w:r>
        <w:rPr>
          <w:rStyle w:val="4"/>
          <w:rFonts w:hint="eastAsia" w:ascii="宋体" w:hAnsi="宋体" w:eastAsia="宋体" w:cs="宋体"/>
          <w:bCs/>
        </w:rPr>
        <w:t>4、是否收取履约保证金：否</w:t>
      </w:r>
      <w:r>
        <w:rPr>
          <w:rStyle w:val="4"/>
          <w:rFonts w:hint="eastAsia" w:ascii="宋体" w:hAnsi="宋体" w:eastAsia="宋体" w:cs="宋体"/>
          <w:bCs/>
        </w:rPr>
        <w:br w:type="textWrapping"/>
      </w:r>
      <w:r>
        <w:rPr>
          <w:rStyle w:val="4"/>
          <w:rFonts w:hint="eastAsia" w:ascii="宋体" w:hAnsi="宋体" w:eastAsia="宋体" w:cs="宋体"/>
          <w:bCs/>
        </w:rPr>
        <w:t>5、是否邀请</w:t>
      </w:r>
      <w:r>
        <w:rPr>
          <w:rStyle w:val="4"/>
          <w:rFonts w:hint="eastAsia" w:ascii="宋体" w:hAnsi="宋体" w:eastAsia="宋体" w:cs="宋体"/>
          <w:bCs/>
          <w:lang w:eastAsia="zh-CN"/>
        </w:rPr>
        <w:t>报价方</w:t>
      </w:r>
      <w:r>
        <w:rPr>
          <w:rStyle w:val="4"/>
          <w:rFonts w:hint="eastAsia" w:ascii="宋体" w:hAnsi="宋体" w:eastAsia="宋体" w:cs="宋体"/>
          <w:bCs/>
        </w:rPr>
        <w:t>参与验收：否</w:t>
      </w:r>
      <w:r>
        <w:rPr>
          <w:rStyle w:val="4"/>
          <w:rFonts w:hint="eastAsia" w:ascii="宋体" w:hAnsi="宋体" w:eastAsia="宋体" w:cs="宋体"/>
          <w:bCs/>
        </w:rPr>
        <w:br w:type="textWrapping"/>
      </w:r>
      <w:r>
        <w:rPr>
          <w:rStyle w:val="4"/>
          <w:rFonts w:hint="eastAsia" w:ascii="宋体" w:hAnsi="宋体" w:eastAsia="宋体" w:cs="宋体"/>
          <w:bCs/>
        </w:rPr>
        <w:t>6、验收方式数据表格</w:t>
      </w:r>
    </w:p>
    <w:tbl>
      <w:tblPr>
        <w:tblStyle w:val="5"/>
        <w:tblW w:w="8316" w:type="dxa"/>
        <w:tblInd w:w="0" w:type="dxa"/>
        <w:tblBorders>
          <w:top w:val="outset" w:color="666666" w:sz="4" w:space="0"/>
          <w:left w:val="outset" w:color="666666" w:sz="4" w:space="0"/>
          <w:bottom w:val="outset" w:color="666666" w:sz="4" w:space="0"/>
          <w:right w:val="outset" w:color="666666" w:sz="4" w:space="0"/>
          <w:insideH w:val="outset" w:color="auto" w:sz="6" w:space="0"/>
          <w:insideV w:val="outset" w:color="auto" w:sz="6" w:space="0"/>
        </w:tblBorders>
        <w:tblLayout w:type="fixed"/>
        <w:tblCellMar>
          <w:top w:w="0" w:type="dxa"/>
          <w:left w:w="0" w:type="dxa"/>
          <w:bottom w:w="0" w:type="dxa"/>
          <w:right w:w="0" w:type="dxa"/>
        </w:tblCellMar>
      </w:tblPr>
      <w:tblGrid>
        <w:gridCol w:w="1663"/>
        <w:gridCol w:w="6653"/>
      </w:tblGrid>
      <w:tr>
        <w:tblPrEx>
          <w:tblBorders>
            <w:top w:val="outset" w:color="666666" w:sz="4" w:space="0"/>
            <w:left w:val="outset" w:color="666666" w:sz="4" w:space="0"/>
            <w:bottom w:val="outset" w:color="666666" w:sz="4" w:space="0"/>
            <w:right w:val="outset" w:color="666666" w:sz="4" w:space="0"/>
            <w:insideH w:val="outset" w:color="auto" w:sz="6" w:space="0"/>
            <w:insideV w:val="outset" w:color="auto" w:sz="6" w:space="0"/>
          </w:tblBorders>
          <w:tblLayout w:type="fixed"/>
          <w:tblCellMar>
            <w:top w:w="0" w:type="dxa"/>
            <w:left w:w="0" w:type="dxa"/>
            <w:bottom w:w="0" w:type="dxa"/>
            <w:right w:w="0" w:type="dxa"/>
          </w:tblCellMar>
        </w:tblPrEx>
        <w:trPr>
          <w:tblHeader/>
        </w:trPr>
        <w:tc>
          <w:tcPr>
            <w:tcW w:w="1663"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pPr>
            <w:r>
              <w:rPr>
                <w:rFonts w:ascii="宋体" w:hAnsi="宋体" w:eastAsia="宋体" w:cs="宋体"/>
                <w:kern w:val="0"/>
                <w:sz w:val="24"/>
                <w:lang w:bidi="ar"/>
              </w:rPr>
              <w:t>验收期次</w:t>
            </w:r>
          </w:p>
        </w:tc>
        <w:tc>
          <w:tcPr>
            <w:tcW w:w="6653"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pPr>
            <w:r>
              <w:rPr>
                <w:rFonts w:ascii="宋体" w:hAnsi="宋体" w:eastAsia="宋体" w:cs="宋体"/>
                <w:kern w:val="0"/>
                <w:sz w:val="24"/>
                <w:lang w:bidi="ar"/>
              </w:rPr>
              <w:t>验收期次说明</w:t>
            </w:r>
          </w:p>
        </w:tc>
      </w:tr>
      <w:tr>
        <w:tblPrEx>
          <w:tblBorders>
            <w:top w:val="outset" w:color="666666" w:sz="4" w:space="0"/>
            <w:left w:val="outset" w:color="666666" w:sz="4" w:space="0"/>
            <w:bottom w:val="outset" w:color="666666" w:sz="4" w:space="0"/>
            <w:right w:val="outset" w:color="666666" w:sz="4" w:space="0"/>
            <w:insideH w:val="outset" w:color="auto" w:sz="6" w:space="0"/>
            <w:insideV w:val="outset" w:color="auto" w:sz="6" w:space="0"/>
          </w:tblBorders>
          <w:tblLayout w:type="fixed"/>
          <w:tblCellMar>
            <w:top w:w="0" w:type="dxa"/>
            <w:left w:w="0" w:type="dxa"/>
            <w:bottom w:w="0" w:type="dxa"/>
            <w:right w:w="0" w:type="dxa"/>
          </w:tblCellMar>
        </w:tblPrEx>
        <w:tc>
          <w:tcPr>
            <w:tcW w:w="1663"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rPr>
                <w:rFonts w:ascii="宋体" w:hAnsi="宋体" w:eastAsia="宋体" w:cs="宋体"/>
                <w:kern w:val="0"/>
                <w:sz w:val="24"/>
                <w:lang w:bidi="ar"/>
              </w:rPr>
            </w:pPr>
            <w:r>
              <w:rPr>
                <w:rFonts w:ascii="宋体" w:hAnsi="宋体" w:eastAsia="宋体" w:cs="宋体"/>
                <w:kern w:val="0"/>
                <w:sz w:val="24"/>
                <w:lang w:bidi="ar"/>
              </w:rPr>
              <w:t>1</w:t>
            </w:r>
          </w:p>
        </w:tc>
        <w:tc>
          <w:tcPr>
            <w:tcW w:w="6653" w:type="dxa"/>
            <w:tcBorders>
              <w:top w:val="single" w:color="666666" w:sz="4" w:space="0"/>
              <w:left w:val="single" w:color="666666" w:sz="4" w:space="0"/>
              <w:bottom w:val="single" w:color="666666" w:sz="4" w:space="0"/>
              <w:right w:val="single" w:color="666666" w:sz="4" w:space="0"/>
            </w:tcBorders>
            <w:shd w:val="clear" w:color="auto" w:fill="FFFFFF"/>
            <w:vAlign w:val="center"/>
          </w:tcPr>
          <w:tbl>
            <w:tblPr>
              <w:tblStyle w:val="5"/>
              <w:tblW w:w="6628" w:type="dxa"/>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662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PrEx>
              <w:trPr>
                <w:tblCellSpacing w:w="0" w:type="dxa"/>
              </w:trPr>
              <w:tc>
                <w:tcPr>
                  <w:tcW w:w="6628" w:type="dxa"/>
                  <w:shd w:val="clear" w:color="auto" w:fill="auto"/>
                  <w:vAlign w:val="center"/>
                </w:tcPr>
                <w:p>
                  <w:pPr>
                    <w:keepNext w:val="0"/>
                    <w:keepLines w:val="0"/>
                    <w:widowControl/>
                    <w:suppressLineNumbers w:val="0"/>
                    <w:jc w:val="left"/>
                    <w:rPr>
                      <w:rFonts w:ascii="微软雅黑" w:hAnsi="微软雅黑" w:eastAsia="微软雅黑" w:cs="微软雅黑"/>
                      <w:i w:val="0"/>
                      <w:caps w:val="0"/>
                      <w:color w:val="000000"/>
                      <w:spacing w:val="0"/>
                      <w:sz w:val="27"/>
                      <w:szCs w:val="27"/>
                    </w:rPr>
                  </w:pPr>
                  <w:r>
                    <w:rPr>
                      <w:rFonts w:hint="eastAsia" w:ascii="宋体" w:hAnsi="宋体" w:eastAsia="宋体" w:cs="宋体"/>
                      <w:sz w:val="24"/>
                      <w:lang w:val="en-US" w:eastAsia="zh-CN"/>
                    </w:rPr>
                    <w:t>项目完成后并满足网络安全等级保护条例（征求意见稿）、关键信息基础设施安全保护条例（征求意见稿）、GB 17859-1999计算机信息系统安全等级保护划分准则、GB 50174-2008电子信息系统机房设 计规范、GB/T 22239-2019信息安全技术 网络安全等级保护基本要求、GB/T 28448-2019信息安全技术 网络安全等级保护测评要求、GB/T 28449-2018信息安全技术 网络安全等级保护测评过程指南、GB/T25058-2019信息安全技术 网络安全等级保护实施指南、GA/T 1389-2017信息安全技术 网络安全等级保护定级指南的要求,并通过三级等保复评获得相关安全测评报告</w:t>
                  </w:r>
                </w:p>
              </w:tc>
            </w:tr>
          </w:tbl>
          <w:p>
            <w:pPr>
              <w:widowControl/>
              <w:jc w:val="left"/>
              <w:rPr>
                <w:rFonts w:ascii="宋体" w:hAnsi="宋体" w:eastAsia="宋体" w:cs="宋体"/>
                <w:kern w:val="0"/>
                <w:sz w:val="24"/>
                <w:lang w:bidi="ar"/>
              </w:rPr>
            </w:pPr>
          </w:p>
        </w:tc>
      </w:tr>
    </w:tbl>
    <w:p>
      <w:pPr>
        <w:widowControl/>
        <w:jc w:val="left"/>
      </w:pPr>
      <w:r>
        <w:rPr>
          <w:rStyle w:val="4"/>
          <w:rFonts w:ascii="宋体" w:hAnsi="宋体" w:eastAsia="宋体" w:cs="宋体"/>
          <w:bCs/>
          <w:kern w:val="0"/>
          <w:sz w:val="24"/>
          <w:lang w:bidi="ar"/>
        </w:rPr>
        <w:t>7、支付方式数据表格</w:t>
      </w:r>
    </w:p>
    <w:tbl>
      <w:tblPr>
        <w:tblStyle w:val="5"/>
        <w:tblW w:w="8316" w:type="dxa"/>
        <w:tblInd w:w="0" w:type="dxa"/>
        <w:tblBorders>
          <w:top w:val="outset" w:color="666666" w:sz="4" w:space="0"/>
          <w:left w:val="outset" w:color="666666" w:sz="4" w:space="0"/>
          <w:bottom w:val="outset" w:color="666666" w:sz="4" w:space="0"/>
          <w:right w:val="outset" w:color="666666" w:sz="4" w:space="0"/>
          <w:insideH w:val="outset" w:color="auto" w:sz="6" w:space="0"/>
          <w:insideV w:val="outset" w:color="auto" w:sz="6" w:space="0"/>
        </w:tblBorders>
        <w:tblLayout w:type="fixed"/>
        <w:tblCellMar>
          <w:top w:w="0" w:type="dxa"/>
          <w:left w:w="0" w:type="dxa"/>
          <w:bottom w:w="0" w:type="dxa"/>
          <w:right w:w="0" w:type="dxa"/>
        </w:tblCellMar>
      </w:tblPr>
      <w:tblGrid>
        <w:gridCol w:w="1663"/>
        <w:gridCol w:w="1663"/>
        <w:gridCol w:w="4990"/>
      </w:tblGrid>
      <w:tr>
        <w:tblPrEx>
          <w:tblBorders>
            <w:top w:val="outset" w:color="666666" w:sz="4" w:space="0"/>
            <w:left w:val="outset" w:color="666666" w:sz="4" w:space="0"/>
            <w:bottom w:val="outset" w:color="666666" w:sz="4" w:space="0"/>
            <w:right w:val="outset" w:color="666666" w:sz="4" w:space="0"/>
            <w:insideH w:val="outset" w:color="auto" w:sz="6" w:space="0"/>
            <w:insideV w:val="outset" w:color="auto" w:sz="6" w:space="0"/>
          </w:tblBorders>
          <w:tblLayout w:type="fixed"/>
          <w:tblCellMar>
            <w:top w:w="0" w:type="dxa"/>
            <w:left w:w="0" w:type="dxa"/>
            <w:bottom w:w="0" w:type="dxa"/>
            <w:right w:w="0" w:type="dxa"/>
          </w:tblCellMar>
        </w:tblPrEx>
        <w:trPr>
          <w:tblHeader/>
        </w:trPr>
        <w:tc>
          <w:tcPr>
            <w:tcW w:w="1663"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pPr>
            <w:r>
              <w:rPr>
                <w:rFonts w:ascii="宋体" w:hAnsi="宋体" w:eastAsia="宋体" w:cs="宋体"/>
                <w:kern w:val="0"/>
                <w:sz w:val="24"/>
                <w:lang w:bidi="ar"/>
              </w:rPr>
              <w:t>支付期次</w:t>
            </w:r>
          </w:p>
        </w:tc>
        <w:tc>
          <w:tcPr>
            <w:tcW w:w="1663"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pPr>
            <w:r>
              <w:rPr>
                <w:rFonts w:ascii="宋体" w:hAnsi="宋体" w:eastAsia="宋体" w:cs="宋体"/>
                <w:kern w:val="0"/>
                <w:sz w:val="24"/>
                <w:lang w:bidi="ar"/>
              </w:rPr>
              <w:t>支付比例(%)</w:t>
            </w:r>
          </w:p>
        </w:tc>
        <w:tc>
          <w:tcPr>
            <w:tcW w:w="4990"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pPr>
            <w:r>
              <w:rPr>
                <w:rFonts w:ascii="宋体" w:hAnsi="宋体" w:eastAsia="宋体" w:cs="宋体"/>
                <w:kern w:val="0"/>
                <w:sz w:val="24"/>
                <w:lang w:bidi="ar"/>
              </w:rPr>
              <w:t>支付期次说明</w:t>
            </w:r>
          </w:p>
        </w:tc>
      </w:tr>
      <w:tr>
        <w:tblPrEx>
          <w:tblBorders>
            <w:top w:val="outset" w:color="666666" w:sz="4" w:space="0"/>
            <w:left w:val="outset" w:color="666666" w:sz="4" w:space="0"/>
            <w:bottom w:val="outset" w:color="666666" w:sz="4" w:space="0"/>
            <w:right w:val="outset" w:color="666666" w:sz="4" w:space="0"/>
            <w:insideH w:val="outset" w:color="auto" w:sz="6" w:space="0"/>
            <w:insideV w:val="outset" w:color="auto" w:sz="6" w:space="0"/>
          </w:tblBorders>
          <w:tblLayout w:type="fixed"/>
          <w:tblCellMar>
            <w:top w:w="0" w:type="dxa"/>
            <w:left w:w="0" w:type="dxa"/>
            <w:bottom w:w="0" w:type="dxa"/>
            <w:right w:w="0" w:type="dxa"/>
          </w:tblCellMar>
        </w:tblPrEx>
        <w:tc>
          <w:tcPr>
            <w:tcW w:w="1663"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pPr>
            <w:r>
              <w:rPr>
                <w:rFonts w:ascii="宋体" w:hAnsi="宋体" w:eastAsia="宋体" w:cs="宋体"/>
                <w:kern w:val="0"/>
                <w:sz w:val="24"/>
                <w:lang w:bidi="ar"/>
              </w:rPr>
              <w:t>1</w:t>
            </w:r>
          </w:p>
        </w:tc>
        <w:tc>
          <w:tcPr>
            <w:tcW w:w="1663"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rPr>
                <w:rFonts w:hint="default" w:eastAsiaTheme="minorEastAsia"/>
                <w:lang w:val="en-US" w:eastAsia="zh-CN"/>
              </w:rPr>
            </w:pPr>
            <w:r>
              <w:rPr>
                <w:rFonts w:hint="eastAsia"/>
                <w:lang w:val="en-US" w:eastAsia="zh-CN"/>
              </w:rPr>
              <w:t>100</w:t>
            </w:r>
          </w:p>
        </w:tc>
        <w:tc>
          <w:tcPr>
            <w:tcW w:w="4990"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rPr>
                <w:rFonts w:hint="default" w:ascii="宋体" w:hAnsi="宋体" w:eastAsia="宋体" w:cs="宋体"/>
                <w:sz w:val="24"/>
                <w:lang w:val="en-US" w:eastAsia="zh-CN"/>
              </w:rPr>
            </w:pPr>
            <w:r>
              <w:rPr>
                <w:rFonts w:hint="eastAsia" w:ascii="宋体" w:hAnsi="宋体" w:eastAsia="宋体" w:cs="宋体"/>
                <w:sz w:val="24"/>
                <w:lang w:val="en-US" w:eastAsia="zh-CN"/>
              </w:rPr>
              <w:t>项目完成并通过三级等保测评后15个工作日内支付。</w:t>
            </w:r>
            <w:bookmarkStart w:id="0" w:name="_GoBack"/>
            <w:bookmarkEnd w:id="0"/>
          </w:p>
        </w:tc>
      </w:tr>
    </w:tbl>
    <w:p>
      <w:pPr>
        <w:pStyle w:val="2"/>
        <w:widowControl/>
        <w:spacing w:before="50" w:beforeAutospacing="0" w:after="50" w:afterAutospacing="0"/>
        <w:rPr>
          <w:rFonts w:hint="eastAsia" w:ascii="宋体" w:hAnsi="宋体" w:eastAsia="宋体" w:cs="宋体"/>
          <w:lang w:val="en-US" w:eastAsia="zh-CN"/>
        </w:rPr>
      </w:pPr>
    </w:p>
    <w:p>
      <w:pPr>
        <w:pStyle w:val="2"/>
        <w:widowControl/>
        <w:spacing w:before="50" w:beforeAutospacing="0" w:after="50" w:afterAutospacing="0"/>
        <w:rPr>
          <w:rFonts w:ascii="宋体" w:hAnsi="宋体" w:eastAsia="宋体" w:cs="宋体"/>
        </w:rPr>
      </w:pPr>
      <w:r>
        <w:rPr>
          <w:rFonts w:hint="eastAsia" w:ascii="宋体" w:hAnsi="宋体" w:eastAsia="宋体" w:cs="宋体"/>
          <w:lang w:val="en-US" w:eastAsia="zh-CN"/>
        </w:rPr>
        <w:t>三</w:t>
      </w:r>
      <w:r>
        <w:rPr>
          <w:rFonts w:hint="eastAsia" w:ascii="宋体" w:hAnsi="宋体" w:eastAsia="宋体" w:cs="宋体"/>
        </w:rPr>
        <w:t>、其他事项</w:t>
      </w:r>
    </w:p>
    <w:p>
      <w:pPr>
        <w:pStyle w:val="2"/>
        <w:widowControl/>
        <w:spacing w:before="50" w:beforeAutospacing="0" w:after="50" w:afterAutospacing="0"/>
        <w:rPr>
          <w:rFonts w:ascii="宋体" w:hAnsi="宋体" w:eastAsia="宋体" w:cs="宋体"/>
        </w:rPr>
      </w:pPr>
      <w:r>
        <w:rPr>
          <w:rFonts w:hint="eastAsia" w:ascii="宋体" w:hAnsi="宋体" w:eastAsia="宋体" w:cs="宋体"/>
        </w:rPr>
        <w:t>1、除招标文件另有规定外，若出现有关法律、法规和规章有强制性规定但招标文件未列明的情形，则</w:t>
      </w:r>
      <w:r>
        <w:rPr>
          <w:rFonts w:hint="eastAsia" w:ascii="宋体" w:hAnsi="宋体" w:eastAsia="宋体" w:cs="宋体"/>
          <w:lang w:eastAsia="zh-CN"/>
        </w:rPr>
        <w:t>报价方</w:t>
      </w:r>
      <w:r>
        <w:rPr>
          <w:rFonts w:hint="eastAsia" w:ascii="宋体" w:hAnsi="宋体" w:eastAsia="宋体" w:cs="宋体"/>
        </w:rPr>
        <w:t>应按照有关法律、法规和规章强制性规定执行。</w:t>
      </w:r>
    </w:p>
    <w:p>
      <w:pPr>
        <w:pStyle w:val="2"/>
        <w:widowControl/>
        <w:spacing w:before="50" w:beforeAutospacing="0" w:after="50" w:afterAutospacing="0"/>
        <w:rPr>
          <w:rFonts w:ascii="宋体" w:hAnsi="宋体" w:eastAsia="宋体" w:cs="宋体"/>
        </w:rPr>
      </w:pPr>
      <w:r>
        <w:rPr>
          <w:rFonts w:hint="eastAsia" w:ascii="宋体" w:hAnsi="宋体" w:eastAsia="宋体" w:cs="宋体"/>
        </w:rPr>
        <w:t> </w:t>
      </w:r>
    </w:p>
    <w:p>
      <w:pPr>
        <w:bidi w:val="0"/>
        <w:rPr>
          <w:rStyle w:val="4"/>
          <w:rFonts w:hint="default" w:ascii="仿宋_GB2312" w:hAnsi="微软雅黑" w:eastAsia="仿宋_GB2312" w:cs="仿宋_GB2312"/>
          <w:b/>
          <w:bCs/>
          <w:i w:val="0"/>
          <w:iCs w:val="0"/>
          <w:caps w:val="0"/>
          <w:color w:val="000000"/>
          <w:spacing w:val="0"/>
          <w:sz w:val="31"/>
          <w:szCs w:val="31"/>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408529"/>
    <w:multiLevelType w:val="singleLevel"/>
    <w:tmpl w:val="B340852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2OGU5MTE5ZTdlN2QwNTExOWQyZWU3OGYxMDkxNWUifQ=="/>
  </w:docVars>
  <w:rsids>
    <w:rsidRoot w:val="13286B82"/>
    <w:rsid w:val="0181483B"/>
    <w:rsid w:val="11BA2D79"/>
    <w:rsid w:val="13286B82"/>
    <w:rsid w:val="13C5402E"/>
    <w:rsid w:val="13F57A80"/>
    <w:rsid w:val="173341C5"/>
    <w:rsid w:val="193F08F1"/>
    <w:rsid w:val="1980775A"/>
    <w:rsid w:val="19A83F68"/>
    <w:rsid w:val="1D3613E1"/>
    <w:rsid w:val="1F823FCC"/>
    <w:rsid w:val="21645B73"/>
    <w:rsid w:val="25492A6D"/>
    <w:rsid w:val="2B0F2581"/>
    <w:rsid w:val="2B683841"/>
    <w:rsid w:val="2BEF060C"/>
    <w:rsid w:val="2CC954E1"/>
    <w:rsid w:val="2E7713D2"/>
    <w:rsid w:val="335448DC"/>
    <w:rsid w:val="34AB1F9E"/>
    <w:rsid w:val="36577455"/>
    <w:rsid w:val="3970562D"/>
    <w:rsid w:val="39D25017"/>
    <w:rsid w:val="3EBD0E34"/>
    <w:rsid w:val="3F56366E"/>
    <w:rsid w:val="42803B20"/>
    <w:rsid w:val="48D61694"/>
    <w:rsid w:val="49ED38CE"/>
    <w:rsid w:val="4BA4768D"/>
    <w:rsid w:val="4D07104C"/>
    <w:rsid w:val="4D6376CF"/>
    <w:rsid w:val="51C2139E"/>
    <w:rsid w:val="53E83E72"/>
    <w:rsid w:val="566370B2"/>
    <w:rsid w:val="59FB30B7"/>
    <w:rsid w:val="5C994B64"/>
    <w:rsid w:val="5E997FAE"/>
    <w:rsid w:val="5F0265A7"/>
    <w:rsid w:val="5F714351"/>
    <w:rsid w:val="60C545EC"/>
    <w:rsid w:val="63D20EF7"/>
    <w:rsid w:val="652E015F"/>
    <w:rsid w:val="65867591"/>
    <w:rsid w:val="65FD3518"/>
    <w:rsid w:val="672F24F2"/>
    <w:rsid w:val="6879594D"/>
    <w:rsid w:val="698D18C5"/>
    <w:rsid w:val="6F6414CA"/>
    <w:rsid w:val="72E531DE"/>
    <w:rsid w:val="75265A6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2343</Words>
  <Characters>2371</Characters>
  <Lines>0</Lines>
  <Paragraphs>0</Paragraphs>
  <ScaleCrop>false</ScaleCrop>
  <LinksUpToDate>false</LinksUpToDate>
  <CharactersWithSpaces>2379</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2023-08-30T06:18:00Z</dcterms:created>
  <dc:creator>D.z</dc:creator>
  <cp:lastModifiedBy>Administrator</cp:lastModifiedBy>
  <dcterms:modified xsi:type="dcterms:W3CDTF">2023-10-09T07:08:47Z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4A7CFAD8A4104B3CB1A9C9C1DFB5DB6E_13</vt:lpwstr>
  </property>
</Properties>
</file>