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w:t>
      </w:r>
      <w:r>
        <w:rPr>
          <w:rFonts w:hint="eastAsia"/>
          <w:sz w:val="84"/>
          <w:szCs w:val="84"/>
          <w:lang w:val="en-US" w:eastAsia="zh-CN"/>
        </w:rPr>
        <w:t>1</w:t>
      </w:r>
      <w:r>
        <w:rPr>
          <w:rFonts w:hint="eastAsia"/>
          <w:sz w:val="84"/>
          <w:szCs w:val="84"/>
        </w:rPr>
        <w:t>年度</w:t>
      </w:r>
    </w:p>
    <w:p>
      <w:pPr>
        <w:pStyle w:val="9"/>
        <w:jc w:val="center"/>
        <w:rPr>
          <w:sz w:val="84"/>
          <w:szCs w:val="84"/>
        </w:rPr>
      </w:pPr>
      <w:r>
        <w:rPr>
          <w:rFonts w:hint="eastAsia"/>
          <w:sz w:val="84"/>
          <w:szCs w:val="84"/>
          <w:lang w:eastAsia="zh-CN"/>
        </w:rPr>
        <w:t>湘乡市人民法院</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rFonts w:hint="eastAsia"/>
          <w:sz w:val="32"/>
          <w:szCs w:val="32"/>
        </w:rPr>
      </w:pPr>
    </w:p>
    <w:p>
      <w:pPr>
        <w:pStyle w:val="9"/>
        <w:jc w:val="center"/>
        <w:rPr>
          <w:rFonts w:hint="eastAsia"/>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湘乡市人民法院单位</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湘乡市人民法院</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numPr>
          <w:ilvl w:val="0"/>
          <w:numId w:val="2"/>
        </w:numPr>
        <w:spacing w:line="600" w:lineRule="exact"/>
        <w:ind w:left="840" w:leftChars="0" w:firstLine="0" w:firstLineChars="0"/>
        <w:rPr>
          <w:rFonts w:hint="eastAsia" w:asciiTheme="minorEastAsia" w:hAnsiTheme="minorEastAsia" w:cstheme="minorEastAsia"/>
          <w:bCs/>
          <w:kern w:val="0"/>
          <w:sz w:val="32"/>
          <w:szCs w:val="32"/>
          <w:lang w:eastAsia="zh-CN"/>
        </w:rPr>
      </w:pPr>
      <w:r>
        <w:rPr>
          <w:rFonts w:hint="eastAsia" w:asciiTheme="minorEastAsia" w:hAnsiTheme="minorEastAsia" w:eastAsiaTheme="minorEastAsia" w:cstheme="minorEastAsia"/>
          <w:bCs/>
          <w:kern w:val="0"/>
          <w:sz w:val="32"/>
          <w:szCs w:val="32"/>
          <w:lang w:eastAsia="zh-CN"/>
        </w:rPr>
        <w:t>审</w:t>
      </w:r>
      <w:r>
        <w:rPr>
          <w:rFonts w:hint="eastAsia" w:asciiTheme="minorEastAsia" w:hAnsiTheme="minorEastAsia" w:cstheme="minorEastAsia"/>
          <w:bCs/>
          <w:kern w:val="0"/>
          <w:sz w:val="32"/>
          <w:szCs w:val="32"/>
          <w:lang w:eastAsia="zh-CN"/>
        </w:rPr>
        <w:t>判</w:t>
      </w:r>
      <w:r>
        <w:rPr>
          <w:rFonts w:hint="eastAsia" w:asciiTheme="minorEastAsia" w:hAnsiTheme="minorEastAsia" w:eastAsiaTheme="minorEastAsia" w:cstheme="minorEastAsia"/>
          <w:bCs/>
          <w:kern w:val="0"/>
          <w:sz w:val="32"/>
          <w:szCs w:val="32"/>
          <w:lang w:eastAsia="zh-CN"/>
        </w:rPr>
        <w:t>法律规定由</w:t>
      </w:r>
      <w:r>
        <w:rPr>
          <w:rFonts w:hint="eastAsia" w:asciiTheme="minorEastAsia" w:hAnsiTheme="minorEastAsia" w:cstheme="minorEastAsia"/>
          <w:bCs/>
          <w:kern w:val="0"/>
          <w:sz w:val="32"/>
          <w:szCs w:val="32"/>
          <w:lang w:eastAsia="zh-CN"/>
        </w:rPr>
        <w:t>本院</w:t>
      </w:r>
      <w:r>
        <w:rPr>
          <w:rFonts w:hint="eastAsia" w:asciiTheme="minorEastAsia" w:hAnsiTheme="minorEastAsia" w:eastAsiaTheme="minorEastAsia" w:cstheme="minorEastAsia"/>
          <w:bCs/>
          <w:kern w:val="0"/>
          <w:sz w:val="32"/>
          <w:szCs w:val="32"/>
          <w:lang w:eastAsia="zh-CN"/>
        </w:rPr>
        <w:t>管辖的</w:t>
      </w:r>
      <w:r>
        <w:rPr>
          <w:rFonts w:hint="eastAsia" w:asciiTheme="minorEastAsia" w:hAnsiTheme="minorEastAsia" w:cstheme="minorEastAsia"/>
          <w:bCs/>
          <w:kern w:val="0"/>
          <w:sz w:val="32"/>
          <w:szCs w:val="32"/>
          <w:lang w:eastAsia="zh-CN"/>
        </w:rPr>
        <w:t>第一审</w:t>
      </w:r>
      <w:r>
        <w:rPr>
          <w:rFonts w:hint="eastAsia" w:asciiTheme="minorEastAsia" w:hAnsiTheme="minorEastAsia" w:eastAsiaTheme="minorEastAsia" w:cstheme="minorEastAsia"/>
          <w:bCs/>
          <w:kern w:val="0"/>
          <w:sz w:val="32"/>
          <w:szCs w:val="32"/>
          <w:lang w:eastAsia="zh-CN"/>
        </w:rPr>
        <w:t>刑事、民事</w:t>
      </w:r>
      <w:r>
        <w:rPr>
          <w:rFonts w:hint="eastAsia" w:asciiTheme="minorEastAsia" w:hAnsiTheme="minorEastAsia" w:cstheme="minorEastAsia"/>
          <w:bCs/>
          <w:kern w:val="0"/>
          <w:sz w:val="32"/>
          <w:szCs w:val="32"/>
          <w:lang w:eastAsia="zh-CN"/>
        </w:rPr>
        <w:t>案件；</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审判由同级人民检察院按照审判监督程序提出的抗诉案件；</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依照审判监督程序，审理告诉申诉的刑事、民事案件；</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依照法律规定行使司法执行权和司法决定权，执行人民法院已发生法律效力的判决、裁定、调解书及法律规定由人民法院执行的其他法律文书；</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依照法律规定执行国家行政机关申请执行的非诉行政案件；</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根据《中华人民共和国国家赔偿法》的规定，受理国家赔偿案件；</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调查研究审判实践中的法律适用问题，总结审判工作经验，并提出司法建议；</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负责本院的思想政治、机关党建、组织人事、教育培训等工作，按照权限管理本院工作人员；</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管理本院有关经费和物资装备；</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参与社会治安综合治理工作，在审判工作中宣传法制，教育公民自觉遵守宪法、法律、法规和社会公德；</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负责对基层人民调解委员会调解民间纠纷进行业务指导；</w:t>
      </w:r>
    </w:p>
    <w:p>
      <w:pPr>
        <w:widowControl/>
        <w:numPr>
          <w:ilvl w:val="0"/>
          <w:numId w:val="2"/>
        </w:numPr>
        <w:spacing w:line="600" w:lineRule="exact"/>
        <w:ind w:left="840" w:leftChars="0" w:firstLine="0" w:firstLineChars="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cstheme="minorEastAsia"/>
          <w:bCs/>
          <w:kern w:val="0"/>
          <w:sz w:val="32"/>
          <w:szCs w:val="32"/>
          <w:lang w:eastAsia="zh-CN"/>
        </w:rPr>
        <w:t>承办其他应由湘乡市人民法院负责的工作；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default" w:asciiTheme="minorEastAsia" w:hAnsiTheme="minorEastAsia"/>
          <w:bCs/>
          <w:kern w:val="0"/>
          <w:sz w:val="32"/>
          <w:szCs w:val="32"/>
          <w:lang w:val="en-US"/>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湘乡市人民法院内设机构</w:t>
      </w:r>
      <w:r>
        <w:rPr>
          <w:rFonts w:hint="eastAsia" w:asciiTheme="minorEastAsia" w:hAnsiTheme="minorEastAsia"/>
          <w:bCs/>
          <w:kern w:val="0"/>
          <w:sz w:val="32"/>
          <w:szCs w:val="32"/>
          <w:lang w:val="en-US" w:eastAsia="zh-CN"/>
        </w:rPr>
        <w:t>10个及8个派出人民法庭，另一个专业审判庭，具体为：政治部、综合办公室、诉讼服务中心、审管办、刑庭、民一庭、民二庭及综合审判庭、执行局、法警队；8个派出法庭为月山法庭、白田法庭、东山法庭、虞塘法庭、棋梓法庭、潭市法庭、东郊法庭、壶天法庭；一个专业审判庭为交通法庭。</w:t>
      </w:r>
    </w:p>
    <w:p>
      <w:pPr>
        <w:widowControl/>
        <w:spacing w:line="600" w:lineRule="exact"/>
        <w:rPr>
          <w:rFonts w:hint="eastAsia" w:asciiTheme="minorEastAsia" w:hAnsiTheme="minorEastAsia" w:eastAsiaTheme="minorEastAsia" w:cstheme="minorEastAsia"/>
          <w:sz w:val="30"/>
          <w:szCs w:val="30"/>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湘乡市人民法院</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湘乡市人民法院本级。</w:t>
      </w:r>
      <w:r>
        <w:rPr>
          <w:rFonts w:hint="eastAsia" w:asciiTheme="minorEastAsia" w:hAnsiTheme="minorEastAsia" w:eastAsiaTheme="minorEastAsia" w:cstheme="minorEastAsia"/>
          <w:sz w:val="32"/>
          <w:szCs w:val="32"/>
          <w:lang w:eastAsia="zh-CN"/>
        </w:rPr>
        <w:t>本单位无下级预算单位</w:t>
      </w:r>
      <w:r>
        <w:rPr>
          <w:rFonts w:hint="eastAsia" w:asciiTheme="minorEastAsia" w:hAnsiTheme="minorEastAsia" w:cstheme="minorEastAsia"/>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044" w:type="dxa"/>
        <w:tblInd w:w="0" w:type="dxa"/>
        <w:shd w:val="clear" w:color="auto" w:fill="auto"/>
        <w:tblLayout w:type="fixed"/>
        <w:tblCellMar>
          <w:top w:w="0" w:type="dxa"/>
          <w:left w:w="0" w:type="dxa"/>
          <w:bottom w:w="0" w:type="dxa"/>
          <w:right w:w="0" w:type="dxa"/>
        </w:tblCellMar>
      </w:tblPr>
      <w:tblGrid>
        <w:gridCol w:w="3979"/>
        <w:gridCol w:w="585"/>
        <w:gridCol w:w="2458"/>
        <w:gridCol w:w="4207"/>
        <w:gridCol w:w="569"/>
        <w:gridCol w:w="2246"/>
      </w:tblGrid>
      <w:tr>
        <w:tblPrEx>
          <w:shd w:val="clear" w:color="auto" w:fill="auto"/>
          <w:tblCellMar>
            <w:top w:w="0" w:type="dxa"/>
            <w:left w:w="0" w:type="dxa"/>
            <w:bottom w:w="0" w:type="dxa"/>
            <w:right w:w="0" w:type="dxa"/>
          </w:tblCellMar>
        </w:tblPrEx>
        <w:trPr>
          <w:trHeight w:val="375" w:hRule="atLeast"/>
        </w:trPr>
        <w:tc>
          <w:tcPr>
            <w:tcW w:w="397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5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c>
          <w:tcPr>
            <w:tcW w:w="420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nil"/>
              <w:right w:val="single" w:color="80808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58"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0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nil"/>
              <w:right w:val="single" w:color="80808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58"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207"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24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公开01表</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部门：湘乡市人民法院</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2021年度</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CellMar>
            <w:top w:w="0" w:type="dxa"/>
            <w:left w:w="0" w:type="dxa"/>
            <w:bottom w:w="0" w:type="dxa"/>
            <w:right w:w="0" w:type="dxa"/>
          </w:tblCellMar>
        </w:tblPrEx>
        <w:trPr>
          <w:trHeight w:val="300" w:hRule="atLeast"/>
        </w:trPr>
        <w:tc>
          <w:tcPr>
            <w:tcW w:w="70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02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29,960,000.00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27,717,969.83</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97,700.00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1,304,000.00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1,431,396.78</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1,870,000.00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31,264,000.00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32,097,066.61</w:t>
            </w:r>
          </w:p>
        </w:tc>
      </w:tr>
      <w:tr>
        <w:tblPrEx>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85" w:type="dxa"/>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5,469,954.18</w:t>
            </w:r>
          </w:p>
        </w:tc>
        <w:tc>
          <w:tcPr>
            <w:tcW w:w="4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4,636,887.57</w:t>
            </w:r>
          </w:p>
        </w:tc>
      </w:tr>
      <w:tr>
        <w:tblPrEx>
          <w:tblCellMar>
            <w:top w:w="0" w:type="dxa"/>
            <w:left w:w="0" w:type="dxa"/>
            <w:bottom w:w="0" w:type="dxa"/>
            <w:right w:w="0" w:type="dxa"/>
          </w:tblCellMar>
        </w:tblPrEx>
        <w:trPr>
          <w:trHeight w:val="300" w:hRule="atLeast"/>
        </w:trPr>
        <w:tc>
          <w:tcPr>
            <w:tcW w:w="14044"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5"/>
        <w:tblW w:w="15340" w:type="dxa"/>
        <w:tblInd w:w="0" w:type="dxa"/>
        <w:shd w:val="clear" w:color="auto" w:fill="auto"/>
        <w:tblLayout w:type="fixed"/>
        <w:tblCellMar>
          <w:top w:w="0" w:type="dxa"/>
          <w:left w:w="0" w:type="dxa"/>
          <w:bottom w:w="0" w:type="dxa"/>
          <w:right w:w="0" w:type="dxa"/>
        </w:tblCellMar>
      </w:tblPr>
      <w:tblGrid>
        <w:gridCol w:w="1765"/>
        <w:gridCol w:w="260"/>
        <w:gridCol w:w="261"/>
        <w:gridCol w:w="3104"/>
        <w:gridCol w:w="1421"/>
        <w:gridCol w:w="1421"/>
        <w:gridCol w:w="1422"/>
        <w:gridCol w:w="1422"/>
        <w:gridCol w:w="1421"/>
        <w:gridCol w:w="1422"/>
        <w:gridCol w:w="1421"/>
      </w:tblGrid>
      <w:tr>
        <w:tblPrEx>
          <w:shd w:val="clear" w:color="auto" w:fill="auto"/>
          <w:tblCellMar>
            <w:top w:w="0" w:type="dxa"/>
            <w:left w:w="0" w:type="dxa"/>
            <w:bottom w:w="0" w:type="dxa"/>
            <w:right w:w="0" w:type="dxa"/>
          </w:tblCellMar>
        </w:tblPrEx>
        <w:trPr>
          <w:trHeight w:val="1250" w:hRule="atLeast"/>
        </w:trPr>
        <w:tc>
          <w:tcPr>
            <w:tcW w:w="176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04"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c>
          <w:tcPr>
            <w:tcW w:w="142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nil"/>
              <w:right w:val="single" w:color="80808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76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04"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shd w:val="clear" w:color="auto" w:fill="auto"/>
          <w:tblCellMar>
            <w:top w:w="0" w:type="dxa"/>
            <w:left w:w="0" w:type="dxa"/>
            <w:bottom w:w="0" w:type="dxa"/>
            <w:right w:w="0" w:type="dxa"/>
          </w:tblCellMar>
        </w:tblPrEx>
        <w:trPr>
          <w:trHeight w:val="633" w:hRule="atLeast"/>
        </w:trPr>
        <w:tc>
          <w:tcPr>
            <w:tcW w:w="1765"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部门：湘乡市人民法院</w:t>
            </w:r>
          </w:p>
        </w:tc>
        <w:tc>
          <w:tcPr>
            <w:tcW w:w="2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04"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1422"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2"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2"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1" w:type="dxa"/>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CellMar>
            <w:top w:w="0" w:type="dxa"/>
            <w:left w:w="0" w:type="dxa"/>
            <w:bottom w:w="0" w:type="dxa"/>
            <w:right w:w="0" w:type="dxa"/>
          </w:tblCellMar>
        </w:tblPrEx>
        <w:trPr>
          <w:trHeight w:val="350" w:hRule="atLeast"/>
        </w:trPr>
        <w:tc>
          <w:tcPr>
            <w:tcW w:w="539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4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4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4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shd w:val="clear" w:color="auto" w:fill="auto"/>
          <w:tblCellMar>
            <w:top w:w="0" w:type="dxa"/>
            <w:left w:w="0" w:type="dxa"/>
            <w:bottom w:w="0" w:type="dxa"/>
            <w:right w:w="0" w:type="dxa"/>
          </w:tblCellMar>
        </w:tblPrEx>
        <w:trPr>
          <w:trHeight w:val="338" w:hRule="atLeast"/>
        </w:trPr>
        <w:tc>
          <w:tcPr>
            <w:tcW w:w="228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10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8" w:hRule="atLeast"/>
        </w:trPr>
        <w:tc>
          <w:tcPr>
            <w:tcW w:w="228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0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8" w:hRule="atLeast"/>
        </w:trPr>
        <w:tc>
          <w:tcPr>
            <w:tcW w:w="228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0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50" w:hRule="atLeast"/>
        </w:trPr>
        <w:tc>
          <w:tcPr>
            <w:tcW w:w="539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350" w:hRule="atLeast"/>
        </w:trPr>
        <w:tc>
          <w:tcPr>
            <w:tcW w:w="539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31,264,000.00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29,960,000.00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1,304,000.00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公共安全支出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26,874,000.00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25,570,000.00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1,304,000.00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20405</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法院</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26,874,000.00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25,570,000.00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1,304,000.00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2040501</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20,894,000.00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19,590,000.00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1,304,000.00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2040502</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一般行政管理事务</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3,460,000.00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3,460,000.00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2040504</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案件审判</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教育支出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进修及培训</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2050803</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培训支出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社会保障和就业支出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1,440,000.00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1,440,000.00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行政事业单位养老支出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1,350,000.00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1,350,000.00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643"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2080505</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机关事业单位基本养老保险缴费支出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1,350,000.00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1,350,000.00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20899</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其他社会保障和就业支出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2089999</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其他社会保障和就业支出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卫生健康支出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行政事业单位医疗</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2101101</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行政单位医疗</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住房保障支出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22102</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住房改革支出</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22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2210201</w:t>
            </w:r>
          </w:p>
        </w:tc>
        <w:tc>
          <w:tcPr>
            <w:tcW w:w="3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住房公积金</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50" w:hRule="atLeast"/>
        </w:trPr>
        <w:tc>
          <w:tcPr>
            <w:tcW w:w="1534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360" w:type="dxa"/>
        <w:tblInd w:w="0" w:type="dxa"/>
        <w:shd w:val="clear" w:color="auto" w:fill="auto"/>
        <w:tblLayout w:type="fixed"/>
        <w:tblCellMar>
          <w:top w:w="0" w:type="dxa"/>
          <w:left w:w="0" w:type="dxa"/>
          <w:bottom w:w="0" w:type="dxa"/>
          <w:right w:w="0" w:type="dxa"/>
        </w:tblCellMar>
      </w:tblPr>
      <w:tblGrid>
        <w:gridCol w:w="1948"/>
        <w:gridCol w:w="287"/>
        <w:gridCol w:w="287"/>
        <w:gridCol w:w="3426"/>
        <w:gridCol w:w="1569"/>
        <w:gridCol w:w="1568"/>
        <w:gridCol w:w="1569"/>
        <w:gridCol w:w="1569"/>
        <w:gridCol w:w="1568"/>
        <w:gridCol w:w="1569"/>
      </w:tblGrid>
      <w:tr>
        <w:tblPrEx>
          <w:shd w:val="clear" w:color="auto" w:fill="auto"/>
          <w:tblCellMar>
            <w:top w:w="0" w:type="dxa"/>
            <w:left w:w="0" w:type="dxa"/>
            <w:bottom w:w="0" w:type="dxa"/>
            <w:right w:w="0" w:type="dxa"/>
          </w:tblCellMar>
        </w:tblPrEx>
        <w:trPr>
          <w:trHeight w:val="646" w:hRule="atLeast"/>
        </w:trPr>
        <w:tc>
          <w:tcPr>
            <w:tcW w:w="1948"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2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c>
          <w:tcPr>
            <w:tcW w:w="1568"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8"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nil"/>
              <w:right w:val="single" w:color="80808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948"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2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8"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8"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shd w:val="clear" w:color="auto" w:fill="auto"/>
          <w:tblCellMar>
            <w:top w:w="0" w:type="dxa"/>
            <w:left w:w="0" w:type="dxa"/>
            <w:bottom w:w="0" w:type="dxa"/>
            <w:right w:w="0" w:type="dxa"/>
          </w:tblCellMar>
        </w:tblPrEx>
        <w:trPr>
          <w:trHeight w:val="330" w:hRule="atLeast"/>
        </w:trPr>
        <w:tc>
          <w:tcPr>
            <w:tcW w:w="1948"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部门：湘乡市人民法院</w:t>
            </w:r>
          </w:p>
        </w:tc>
        <w:tc>
          <w:tcPr>
            <w:tcW w:w="287"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7"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26"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1568"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8"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9" w:type="dxa"/>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CellMar>
            <w:top w:w="0" w:type="dxa"/>
            <w:left w:w="0" w:type="dxa"/>
            <w:bottom w:w="0" w:type="dxa"/>
            <w:right w:w="0" w:type="dxa"/>
          </w:tblCellMar>
        </w:tblPrEx>
        <w:trPr>
          <w:trHeight w:val="340" w:hRule="atLeast"/>
        </w:trPr>
        <w:tc>
          <w:tcPr>
            <w:tcW w:w="59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5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5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28" w:hRule="atLeast"/>
        </w:trPr>
        <w:tc>
          <w:tcPr>
            <w:tcW w:w="252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4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8" w:hRule="atLeast"/>
        </w:trPr>
        <w:tc>
          <w:tcPr>
            <w:tcW w:w="252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8" w:hRule="atLeast"/>
        </w:trPr>
        <w:tc>
          <w:tcPr>
            <w:tcW w:w="252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59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340" w:hRule="atLeast"/>
        </w:trPr>
        <w:tc>
          <w:tcPr>
            <w:tcW w:w="59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32,097,066.61</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24,410,242.82</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7,686,823.79</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204</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公共安全支出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27,717,969.83</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20,031,146.04</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7,686,823.79</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20405</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法院</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27,717,969.83</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20,031,146.04</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7,686,823.79</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2040501</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行政运行</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20,031,146.04</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20,031,146.04</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2040502</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一般行政管理事务</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4,956,680.16</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4,956,680.16</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2040504</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案件审判</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2,730,143.63</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2,730,143.63</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205</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教育支出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97,700.00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97,700.00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20508</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进修及培训</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97,700.00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97,700.00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208</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社会保障和就业支出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1,431,396.78</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1,431,396.78</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20805</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行政事业单位养老支出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1,341,396.78</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1,341,396.78</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2080505</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机关事业单位基本养老保险缴费支出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1,341,396.78</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1,341,396.78</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20899</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其他社会保障和就业支出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90,000.00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90,000.00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2089999</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其他社会保障和就业支出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90,000.00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90,000.00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210</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卫生健康支出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980,000.00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980,000.00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21011</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行政事业单位医疗</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980,000.00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980,000.00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2101101</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行政单位医疗</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980,000.00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980,000.00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221</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住房保障支出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1,870,000.00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1,870,000.00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22102</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住房改革支出</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1,870,000.00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1,870,000.00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25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2210201</w:t>
            </w:r>
          </w:p>
        </w:tc>
        <w:tc>
          <w:tcPr>
            <w:tcW w:w="3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住房公积金</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1,870,000.00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1,870,000.00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0" w:hRule="atLeast"/>
        </w:trPr>
        <w:tc>
          <w:tcPr>
            <w:tcW w:w="15360"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5"/>
        <w:tblW w:w="15123" w:type="dxa"/>
        <w:tblInd w:w="0" w:type="dxa"/>
        <w:shd w:val="clear" w:color="auto" w:fill="auto"/>
        <w:tblLayout w:type="fixed"/>
        <w:tblCellMar>
          <w:top w:w="0" w:type="dxa"/>
          <w:left w:w="0" w:type="dxa"/>
          <w:bottom w:w="0" w:type="dxa"/>
          <w:right w:w="0" w:type="dxa"/>
        </w:tblCellMar>
      </w:tblPr>
      <w:tblGrid>
        <w:gridCol w:w="2911"/>
        <w:gridCol w:w="507"/>
        <w:gridCol w:w="1496"/>
        <w:gridCol w:w="2635"/>
        <w:gridCol w:w="1484"/>
        <w:gridCol w:w="1496"/>
        <w:gridCol w:w="1496"/>
        <w:gridCol w:w="1496"/>
        <w:gridCol w:w="1602"/>
      </w:tblGrid>
      <w:tr>
        <w:tblPrEx>
          <w:shd w:val="clear" w:color="auto" w:fill="auto"/>
          <w:tblCellMar>
            <w:top w:w="0" w:type="dxa"/>
            <w:left w:w="0" w:type="dxa"/>
            <w:bottom w:w="0" w:type="dxa"/>
            <w:right w:w="0" w:type="dxa"/>
          </w:tblCellMar>
        </w:tblPrEx>
        <w:trPr>
          <w:trHeight w:val="1459" w:hRule="atLeast"/>
        </w:trPr>
        <w:tc>
          <w:tcPr>
            <w:tcW w:w="291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15" w:type="dxa"/>
            <w:gridSpan w:val="3"/>
            <w:tcBorders>
              <w:top w:val="nil"/>
              <w:left w:val="nil"/>
              <w:bottom w:val="nil"/>
              <w:right w:val="nil"/>
            </w:tcBorders>
            <w:shd w:val="clear" w:color="auto" w:fill="FFFFFF"/>
            <w:noWrap/>
            <w:tcMar>
              <w:top w:w="15" w:type="dxa"/>
              <w:left w:w="15" w:type="dxa"/>
              <w:right w:w="15" w:type="dxa"/>
            </w:tcMar>
            <w:vAlign w:val="center"/>
          </w:tcPr>
          <w:p>
            <w:pPr>
              <w:ind w:firstLine="600" w:firstLineChars="200"/>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财政拨款收入支出决算总表</w:t>
            </w:r>
          </w:p>
        </w:tc>
        <w:tc>
          <w:tcPr>
            <w:tcW w:w="14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2"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2" w:hRule="atLeast"/>
        </w:trPr>
        <w:tc>
          <w:tcPr>
            <w:tcW w:w="291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2"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shd w:val="clear" w:color="auto" w:fill="auto"/>
          <w:tblCellMar>
            <w:top w:w="0" w:type="dxa"/>
            <w:left w:w="0" w:type="dxa"/>
            <w:bottom w:w="0" w:type="dxa"/>
            <w:right w:w="0" w:type="dxa"/>
          </w:tblCellMar>
        </w:tblPrEx>
        <w:trPr>
          <w:trHeight w:val="332" w:hRule="atLeast"/>
        </w:trPr>
        <w:tc>
          <w:tcPr>
            <w:tcW w:w="2911"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部门：湘乡市人民法院</w:t>
            </w:r>
          </w:p>
        </w:tc>
        <w:tc>
          <w:tcPr>
            <w:tcW w:w="50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9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3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149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9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9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2"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CellMar>
            <w:top w:w="0" w:type="dxa"/>
            <w:left w:w="0" w:type="dxa"/>
            <w:bottom w:w="0" w:type="dxa"/>
            <w:right w:w="0" w:type="dxa"/>
          </w:tblCellMar>
        </w:tblPrEx>
        <w:trPr>
          <w:trHeight w:val="342" w:hRule="atLeast"/>
        </w:trPr>
        <w:tc>
          <w:tcPr>
            <w:tcW w:w="491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10209"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trHeight w:val="315" w:hRule="atLeast"/>
        </w:trPr>
        <w:tc>
          <w:tcPr>
            <w:tcW w:w="29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6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9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4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6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635" w:hRule="atLeast"/>
        </w:trPr>
        <w:tc>
          <w:tcPr>
            <w:tcW w:w="29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14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29,960,000.00</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27,233,519.83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27,233,519.83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97,700.00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97,700.00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1,431,396.78</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1,431,396.78</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1,870,000.00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1,870,000.00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本年收入合计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27</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29,960,000.00</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本年支出合计</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59</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31,612,616.61</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31,612,616.61</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2,316,321.77</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663,705.16</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663,705.16</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2,316,321.77</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29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32</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32,276,321.77</w:t>
            </w:r>
          </w:p>
        </w:tc>
        <w:tc>
          <w:tcPr>
            <w:tcW w:w="2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总计</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32,276,321.77</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32,276,321.77</w:t>
            </w:r>
          </w:p>
        </w:tc>
        <w:tc>
          <w:tcPr>
            <w:tcW w:w="14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42" w:hRule="atLeast"/>
        </w:trPr>
        <w:tc>
          <w:tcPr>
            <w:tcW w:w="1352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60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3548" w:type="dxa"/>
        <w:jc w:val="center"/>
        <w:shd w:val="clear" w:color="auto" w:fill="auto"/>
        <w:tblLayout w:type="fixed"/>
        <w:tblCellMar>
          <w:top w:w="0" w:type="dxa"/>
          <w:left w:w="0" w:type="dxa"/>
          <w:bottom w:w="0" w:type="dxa"/>
          <w:right w:w="0" w:type="dxa"/>
        </w:tblCellMar>
      </w:tblPr>
      <w:tblGrid>
        <w:gridCol w:w="2230"/>
        <w:gridCol w:w="329"/>
        <w:gridCol w:w="329"/>
        <w:gridCol w:w="3922"/>
        <w:gridCol w:w="2246"/>
        <w:gridCol w:w="2246"/>
        <w:gridCol w:w="2246"/>
      </w:tblGrid>
      <w:tr>
        <w:tblPrEx>
          <w:shd w:val="clear" w:color="auto" w:fill="auto"/>
          <w:tblCellMar>
            <w:top w:w="0" w:type="dxa"/>
            <w:left w:w="0" w:type="dxa"/>
            <w:bottom w:w="0" w:type="dxa"/>
            <w:right w:w="0" w:type="dxa"/>
          </w:tblCellMar>
        </w:tblPrEx>
        <w:trPr>
          <w:trHeight w:val="375" w:hRule="atLeast"/>
          <w:jc w:val="center"/>
        </w:trPr>
        <w:tc>
          <w:tcPr>
            <w:tcW w:w="223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2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c>
          <w:tcPr>
            <w:tcW w:w="224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nil"/>
              <w:right w:val="single" w:color="80808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jc w:val="center"/>
        </w:trPr>
        <w:tc>
          <w:tcPr>
            <w:tcW w:w="223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2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shd w:val="clear" w:color="auto" w:fill="auto"/>
          <w:tblCellMar>
            <w:top w:w="0" w:type="dxa"/>
            <w:left w:w="0" w:type="dxa"/>
            <w:bottom w:w="0" w:type="dxa"/>
            <w:right w:w="0" w:type="dxa"/>
          </w:tblCellMar>
        </w:tblPrEx>
        <w:trPr>
          <w:trHeight w:val="300" w:hRule="atLeast"/>
          <w:jc w:val="center"/>
        </w:trPr>
        <w:tc>
          <w:tcPr>
            <w:tcW w:w="223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部门：湘乡市人民法院</w:t>
            </w:r>
          </w:p>
        </w:tc>
        <w:tc>
          <w:tcPr>
            <w:tcW w:w="32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22"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2246"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CellMar>
            <w:top w:w="0" w:type="dxa"/>
            <w:left w:w="0" w:type="dxa"/>
            <w:bottom w:w="0" w:type="dxa"/>
            <w:right w:w="0" w:type="dxa"/>
          </w:tblCellMar>
        </w:tblPrEx>
        <w:trPr>
          <w:trHeight w:val="300" w:hRule="atLeast"/>
          <w:jc w:val="center"/>
        </w:trPr>
        <w:tc>
          <w:tcPr>
            <w:tcW w:w="68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73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92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2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2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auto"/>
          <w:tblCellMar>
            <w:top w:w="0" w:type="dxa"/>
            <w:left w:w="0" w:type="dxa"/>
            <w:bottom w:w="0" w:type="dxa"/>
            <w:right w:w="0" w:type="dxa"/>
          </w:tblCellMar>
        </w:tblPrEx>
        <w:trPr>
          <w:trHeight w:val="270" w:hRule="atLeast"/>
          <w:jc w:val="center"/>
        </w:trPr>
        <w:tc>
          <w:tcPr>
            <w:tcW w:w="288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68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300" w:hRule="atLeast"/>
          <w:jc w:val="center"/>
        </w:trPr>
        <w:tc>
          <w:tcPr>
            <w:tcW w:w="68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31,612,616.61</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23,925,792.82</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7,686,823.79</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公共安全支出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27,233,519.83</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19,546,696.04</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7,686,823.79</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20405</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法院</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27,233,519.83</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19,546,696.04</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7,686,823.79</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2040501</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19,546,696.04</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19,546,696.04</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2040502</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一般行政管理事务</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4,956,680.16</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4,956,680.16</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2040504</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案件审判</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2,730,143.63</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2,730,143.63</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教育支出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97,700.00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97,700.00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进修及培训</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97,700.00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97,700.00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2050803</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培训支出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97,700.00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97,700.00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社会保障和就业支出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1,431,396.78</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1,431,396.78</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行政事业单位养老支出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1,341,396.78</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1,341,396.78</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2080505</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机关事业单位基本养老保险缴费支出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1,341,396.78</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1,341,396.78</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20899</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其他社会保障和就业支出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2089999</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其他社会保障和就业支出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卫生健康支出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行政事业单位医疗</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2101101</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行政单位医疗</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住房保障支出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22102</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住房改革支出</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1,870,000.00</w:t>
            </w:r>
          </w:p>
        </w:tc>
        <w:tc>
          <w:tcPr>
            <w:tcW w:w="22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jc w:val="center"/>
        </w:trPr>
        <w:tc>
          <w:tcPr>
            <w:tcW w:w="1354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341" w:type="dxa"/>
        <w:tblInd w:w="0" w:type="dxa"/>
        <w:shd w:val="clear" w:color="auto" w:fill="auto"/>
        <w:tblLayout w:type="fixed"/>
        <w:tblCellMar>
          <w:top w:w="0" w:type="dxa"/>
          <w:left w:w="0" w:type="dxa"/>
          <w:bottom w:w="0" w:type="dxa"/>
          <w:right w:w="0" w:type="dxa"/>
        </w:tblCellMar>
      </w:tblPr>
      <w:tblGrid>
        <w:gridCol w:w="1583"/>
        <w:gridCol w:w="2742"/>
        <w:gridCol w:w="1400"/>
        <w:gridCol w:w="572"/>
        <w:gridCol w:w="2158"/>
        <w:gridCol w:w="1401"/>
        <w:gridCol w:w="572"/>
        <w:gridCol w:w="3513"/>
        <w:gridCol w:w="1400"/>
      </w:tblGrid>
      <w:tr>
        <w:tblPrEx>
          <w:shd w:val="clear" w:color="auto" w:fill="auto"/>
          <w:tblCellMar>
            <w:top w:w="0" w:type="dxa"/>
            <w:left w:w="0" w:type="dxa"/>
            <w:bottom w:w="0" w:type="dxa"/>
            <w:right w:w="0" w:type="dxa"/>
          </w:tblCellMar>
        </w:tblPrEx>
        <w:trPr>
          <w:trHeight w:val="1480" w:hRule="atLeast"/>
        </w:trPr>
        <w:tc>
          <w:tcPr>
            <w:tcW w:w="158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03" w:type="dxa"/>
            <w:gridSpan w:val="4"/>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一般公共预算财政拨款基本支出决算明细表</w:t>
            </w:r>
          </w:p>
        </w:tc>
        <w:tc>
          <w:tcPr>
            <w:tcW w:w="351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 w:hRule="atLeast"/>
        </w:trPr>
        <w:tc>
          <w:tcPr>
            <w:tcW w:w="158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58"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1"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1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 w:hRule="atLeast"/>
        </w:trPr>
        <w:tc>
          <w:tcPr>
            <w:tcW w:w="158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58"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1"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1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 w:hRule="atLeast"/>
        </w:trPr>
        <w:tc>
          <w:tcPr>
            <w:tcW w:w="158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58"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1"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1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 w:hRule="atLeast"/>
        </w:trPr>
        <w:tc>
          <w:tcPr>
            <w:tcW w:w="158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4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58"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1"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1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shd w:val="clear" w:color="auto" w:fill="auto"/>
          <w:tblCellMar>
            <w:top w:w="0" w:type="dxa"/>
            <w:left w:w="0" w:type="dxa"/>
            <w:bottom w:w="0" w:type="dxa"/>
            <w:right w:w="0" w:type="dxa"/>
          </w:tblCellMar>
        </w:tblPrEx>
        <w:trPr>
          <w:trHeight w:val="322" w:hRule="atLeast"/>
        </w:trPr>
        <w:tc>
          <w:tcPr>
            <w:tcW w:w="1583"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部门：湘乡市人民法院</w:t>
            </w:r>
          </w:p>
        </w:tc>
        <w:tc>
          <w:tcPr>
            <w:tcW w:w="274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1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CellMar>
            <w:top w:w="0" w:type="dxa"/>
            <w:left w:w="0" w:type="dxa"/>
            <w:bottom w:w="0" w:type="dxa"/>
            <w:right w:w="0" w:type="dxa"/>
          </w:tblCellMar>
        </w:tblPrEx>
        <w:trPr>
          <w:trHeight w:val="332" w:hRule="atLeast"/>
        </w:trPr>
        <w:tc>
          <w:tcPr>
            <w:tcW w:w="572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616"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shd w:val="clear" w:color="auto" w:fill="auto"/>
          <w:tblCellMar>
            <w:top w:w="0" w:type="dxa"/>
            <w:left w:w="0" w:type="dxa"/>
            <w:bottom w:w="0" w:type="dxa"/>
            <w:right w:w="0" w:type="dxa"/>
          </w:tblCellMar>
        </w:tblPrEx>
        <w:trPr>
          <w:trHeight w:val="320" w:hRule="atLeast"/>
        </w:trPr>
        <w:tc>
          <w:tcPr>
            <w:tcW w:w="15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7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5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20" w:hRule="atLeast"/>
        </w:trPr>
        <w:tc>
          <w:tcPr>
            <w:tcW w:w="15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18,471,046.14</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5,304,746.68</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5,279,649.36</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119,975.00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1,341,396.78</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199,940.68</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7,131.00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2" w:hRule="atLeast"/>
        </w:trPr>
        <w:tc>
          <w:tcPr>
            <w:tcW w:w="1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1,550,000.00</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2" w:hRule="atLeast"/>
        </w:trPr>
        <w:tc>
          <w:tcPr>
            <w:tcW w:w="43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18,621,046.14</w:t>
            </w:r>
          </w:p>
        </w:tc>
        <w:tc>
          <w:tcPr>
            <w:tcW w:w="8216"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5,304,746.68</w:t>
            </w:r>
          </w:p>
        </w:tc>
      </w:tr>
      <w:tr>
        <w:tblPrEx>
          <w:shd w:val="clear" w:color="auto" w:fill="auto"/>
          <w:tblCellMar>
            <w:top w:w="0" w:type="dxa"/>
            <w:left w:w="0" w:type="dxa"/>
            <w:bottom w:w="0" w:type="dxa"/>
            <w:right w:w="0" w:type="dxa"/>
          </w:tblCellMar>
        </w:tblPrEx>
        <w:trPr>
          <w:trHeight w:val="332" w:hRule="atLeast"/>
        </w:trPr>
        <w:tc>
          <w:tcPr>
            <w:tcW w:w="15341"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321" w:type="dxa"/>
        <w:tblInd w:w="0" w:type="dxa"/>
        <w:shd w:val="clear" w:color="auto" w:fill="auto"/>
        <w:tblLayout w:type="fixed"/>
        <w:tblCellMar>
          <w:top w:w="0" w:type="dxa"/>
          <w:left w:w="0" w:type="dxa"/>
          <w:bottom w:w="0" w:type="dxa"/>
          <w:right w:w="0" w:type="dxa"/>
        </w:tblCellMar>
      </w:tblPr>
      <w:tblGrid>
        <w:gridCol w:w="1838"/>
        <w:gridCol w:w="1160"/>
        <w:gridCol w:w="1160"/>
        <w:gridCol w:w="1160"/>
        <w:gridCol w:w="1159"/>
        <w:gridCol w:w="1884"/>
        <w:gridCol w:w="1160"/>
        <w:gridCol w:w="1160"/>
        <w:gridCol w:w="1160"/>
        <w:gridCol w:w="1160"/>
        <w:gridCol w:w="1160"/>
        <w:gridCol w:w="1160"/>
      </w:tblGrid>
      <w:tr>
        <w:tblPrEx>
          <w:shd w:val="clear" w:color="auto" w:fill="auto"/>
          <w:tblCellMar>
            <w:top w:w="0" w:type="dxa"/>
            <w:left w:w="0" w:type="dxa"/>
            <w:bottom w:w="0" w:type="dxa"/>
            <w:right w:w="0" w:type="dxa"/>
          </w:tblCellMar>
        </w:tblPrEx>
        <w:trPr>
          <w:trHeight w:val="1761" w:hRule="atLeast"/>
        </w:trPr>
        <w:tc>
          <w:tcPr>
            <w:tcW w:w="183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3" w:type="dxa"/>
            <w:gridSpan w:val="5"/>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一般公共预算财政拨款“三公”经费支出决算表</w:t>
            </w: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single" w:color="80808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53" w:hRule="atLeast"/>
        </w:trPr>
        <w:tc>
          <w:tcPr>
            <w:tcW w:w="183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预算代码：</w:t>
            </w: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9"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shd w:val="clear" w:color="auto" w:fill="auto"/>
          <w:tblCellMar>
            <w:top w:w="0" w:type="dxa"/>
            <w:left w:w="0" w:type="dxa"/>
            <w:bottom w:w="0" w:type="dxa"/>
            <w:right w:w="0" w:type="dxa"/>
          </w:tblCellMar>
        </w:tblPrEx>
        <w:trPr>
          <w:trHeight w:val="646" w:hRule="atLeast"/>
        </w:trPr>
        <w:tc>
          <w:tcPr>
            <w:tcW w:w="1838"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部门：湘乡市人民法院</w:t>
            </w:r>
          </w:p>
        </w:tc>
        <w:tc>
          <w:tcPr>
            <w:tcW w:w="11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9"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4"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制表日期：2016年3月</w:t>
            </w:r>
          </w:p>
        </w:tc>
        <w:tc>
          <w:tcPr>
            <w:tcW w:w="11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0" w:type="dxa"/>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CellMar>
            <w:top w:w="0" w:type="dxa"/>
            <w:left w:w="0" w:type="dxa"/>
            <w:bottom w:w="0" w:type="dxa"/>
            <w:right w:w="0" w:type="dxa"/>
          </w:tblCellMar>
        </w:tblPrEx>
        <w:trPr>
          <w:trHeight w:val="373" w:hRule="atLeast"/>
        </w:trPr>
        <w:tc>
          <w:tcPr>
            <w:tcW w:w="8361"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96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73" w:hRule="atLeast"/>
        </w:trPr>
        <w:tc>
          <w:tcPr>
            <w:tcW w:w="183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47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8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1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48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shd w:val="clear" w:color="auto" w:fill="auto"/>
          <w:tblCellMar>
            <w:top w:w="0" w:type="dxa"/>
            <w:left w:w="0" w:type="dxa"/>
            <w:bottom w:w="0" w:type="dxa"/>
            <w:right w:w="0" w:type="dxa"/>
          </w:tblCellMar>
        </w:tblPrEx>
        <w:trPr>
          <w:trHeight w:val="696" w:hRule="atLeast"/>
        </w:trPr>
        <w:tc>
          <w:tcPr>
            <w:tcW w:w="1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8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3" w:hRule="atLeast"/>
        </w:trPr>
        <w:tc>
          <w:tcPr>
            <w:tcW w:w="183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shd w:val="clear" w:color="auto" w:fill="auto"/>
          <w:tblCellMar>
            <w:top w:w="0" w:type="dxa"/>
            <w:left w:w="0" w:type="dxa"/>
            <w:bottom w:w="0" w:type="dxa"/>
            <w:right w:w="0" w:type="dxa"/>
          </w:tblCellMar>
        </w:tblPrEx>
        <w:trPr>
          <w:trHeight w:val="373" w:hRule="atLeast"/>
        </w:trPr>
        <w:tc>
          <w:tcPr>
            <w:tcW w:w="1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609,000.00</w:t>
            </w:r>
          </w:p>
        </w:tc>
        <w:tc>
          <w:tcPr>
            <w:tcW w:w="1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559,000.00</w:t>
            </w:r>
          </w:p>
        </w:tc>
        <w:tc>
          <w:tcPr>
            <w:tcW w:w="1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259,000.00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w:t>
            </w:r>
          </w:p>
        </w:tc>
        <w:tc>
          <w:tcPr>
            <w:tcW w:w="1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566,051.00</w:t>
            </w:r>
          </w:p>
        </w:tc>
        <w:tc>
          <w:tcPr>
            <w:tcW w:w="1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558,920.00</w:t>
            </w:r>
          </w:p>
        </w:tc>
        <w:tc>
          <w:tcPr>
            <w:tcW w:w="1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258,920.00</w:t>
            </w:r>
          </w:p>
        </w:tc>
        <w:tc>
          <w:tcPr>
            <w:tcW w:w="1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7,131.00</w:t>
            </w:r>
          </w:p>
        </w:tc>
      </w:tr>
      <w:tr>
        <w:tblPrEx>
          <w:tblCellMar>
            <w:top w:w="0" w:type="dxa"/>
            <w:left w:w="0" w:type="dxa"/>
            <w:bottom w:w="0" w:type="dxa"/>
            <w:right w:w="0" w:type="dxa"/>
          </w:tblCellMar>
        </w:tblPrEx>
        <w:trPr>
          <w:trHeight w:val="672" w:hRule="atLeast"/>
        </w:trPr>
        <w:tc>
          <w:tcPr>
            <w:tcW w:w="15321"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F16"/>
    </w:p>
    <w:p>
      <w:pPr>
        <w:widowControl/>
        <w:jc w:val="center"/>
        <w:rPr>
          <w:rFonts w:ascii="Times New Roman" w:hAnsi="Times New Roman" w:eastAsia="方正小标宋_GBK" w:cs="Times New Roman"/>
          <w:kern w:val="0"/>
          <w:sz w:val="36"/>
          <w:szCs w:val="36"/>
        </w:rPr>
      </w:pPr>
    </w:p>
    <w:bookmarkEnd w:id="0"/>
    <w:p>
      <w:pPr>
        <w:widowControl/>
        <w:jc w:val="both"/>
        <w:rPr>
          <w:rFonts w:hint="eastAsia" w:ascii="Times New Roman" w:hAnsi="Times New Roman" w:eastAsia="方正小标宋_GBK" w:cs="Times New Roman"/>
          <w:color w:val="000000"/>
          <w:kern w:val="0"/>
          <w:sz w:val="36"/>
          <w:szCs w:val="36"/>
        </w:rPr>
      </w:pPr>
    </w:p>
    <w:p>
      <w:pPr>
        <w:widowControl/>
        <w:jc w:val="both"/>
        <w:rPr>
          <w:rFonts w:hint="eastAsia" w:ascii="Times New Roman" w:hAnsi="Times New Roman" w:eastAsia="方正小标宋_GBK" w:cs="Times New Roman"/>
          <w:color w:val="000000"/>
          <w:kern w:val="0"/>
          <w:sz w:val="36"/>
          <w:szCs w:val="36"/>
        </w:rPr>
      </w:pPr>
    </w:p>
    <w:p>
      <w:pPr>
        <w:widowControl/>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湘乡市人民法院</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湘乡市人民法院</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pStyle w:val="9"/>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w:t>
      </w:r>
      <w:r>
        <w:rPr>
          <w:rFonts w:hint="eastAsia"/>
          <w:sz w:val="70"/>
          <w:szCs w:val="70"/>
          <w:lang w:val="en-US" w:eastAsia="zh-CN"/>
        </w:rPr>
        <w:t>1</w:t>
      </w:r>
      <w:r>
        <w:rPr>
          <w:rFonts w:hint="eastAsia"/>
          <w:sz w:val="70"/>
          <w:szCs w:val="70"/>
        </w:rPr>
        <w:t>年度部门决算情况说明</w:t>
      </w:r>
    </w:p>
    <w:p>
      <w:pPr>
        <w:widowControl/>
        <w:jc w:val="left"/>
        <w:rPr>
          <w:rFonts w:asciiTheme="minorEastAsia" w:hAnsiTheme="minorEastAsia" w:eastAsiaTheme="minorEastAsia"/>
          <w:sz w:val="32"/>
          <w:szCs w:val="32"/>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3673.39万元</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312.47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地方财政拨款减少。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3227.63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3126.4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85.11</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130.4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3.54</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3209.71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2441.02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76.05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768.68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23.95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3227.63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178.65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5.86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主要是上年结余指标增加。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3161.26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,97.24</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222.03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7.55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项目支出增加。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3161.26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2723.35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86.15</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9.77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143.34</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4.53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lang w:eastAsia="zh-CN"/>
        </w:rPr>
        <w:t>万元，占</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187</w:t>
      </w:r>
      <w:r>
        <w:rPr>
          <w:rFonts w:hint="eastAsia" w:asciiTheme="minorEastAsia" w:hAnsiTheme="minorEastAsia" w:eastAsiaTheme="minorEastAsia"/>
          <w:sz w:val="32"/>
          <w:szCs w:val="32"/>
          <w:lang w:eastAsia="zh-CN"/>
        </w:rPr>
        <w:t>万元，占</w:t>
      </w:r>
      <w:r>
        <w:rPr>
          <w:rFonts w:hint="eastAsia" w:asciiTheme="minorEastAsia" w:hAnsiTheme="minorEastAsia" w:eastAsiaTheme="minorEastAsia"/>
          <w:sz w:val="32"/>
          <w:szCs w:val="32"/>
          <w:lang w:val="en-US" w:eastAsia="zh-CN"/>
        </w:rPr>
        <w:t>5.92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2996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3227.63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107.73</w:t>
      </w:r>
      <w:r>
        <w:rPr>
          <w:rFonts w:hint="eastAsia" w:asciiTheme="minorEastAsia" w:hAnsiTheme="minorEastAsia" w:eastAsiaTheme="minorEastAsia"/>
          <w:sz w:val="32"/>
          <w:szCs w:val="32"/>
        </w:rPr>
        <w:t>%，其中：</w:t>
      </w:r>
    </w:p>
    <w:p>
      <w:pPr>
        <w:pStyle w:val="9"/>
        <w:numPr>
          <w:ilvl w:val="0"/>
          <w:numId w:val="3"/>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公共安全支出类年初预算为</w:t>
      </w:r>
      <w:r>
        <w:rPr>
          <w:rFonts w:hint="eastAsia" w:asciiTheme="minorEastAsia" w:hAnsiTheme="minorEastAsia" w:eastAsiaTheme="minorEastAsia"/>
          <w:sz w:val="32"/>
          <w:szCs w:val="32"/>
          <w:lang w:val="en-US" w:eastAsia="zh-CN"/>
        </w:rPr>
        <w:t>2599.9万元，支出决算为2723.35万元，完成年初预算的104.75%，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年中进行了经费追加。</w:t>
      </w:r>
    </w:p>
    <w:p>
      <w:pPr>
        <w:pStyle w:val="9"/>
        <w:numPr>
          <w:ilvl w:val="0"/>
          <w:numId w:val="3"/>
        </w:numPr>
        <w:ind w:left="0" w:leftChars="0"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教育支出类年初预算为</w:t>
      </w:r>
      <w:r>
        <w:rPr>
          <w:rFonts w:hint="eastAsia" w:asciiTheme="minorEastAsia" w:hAnsiTheme="minorEastAsia" w:eastAsiaTheme="minorEastAsia"/>
          <w:sz w:val="32"/>
          <w:szCs w:val="32"/>
          <w:lang w:val="en-US" w:eastAsia="zh-CN"/>
        </w:rPr>
        <w:t>10万元，支出决算为9.77万元，完成年初预算的97.7%。</w:t>
      </w:r>
    </w:p>
    <w:p>
      <w:pPr>
        <w:pStyle w:val="9"/>
        <w:numPr>
          <w:ilvl w:val="0"/>
          <w:numId w:val="3"/>
        </w:numPr>
        <w:ind w:left="0" w:leftChars="0"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社会保障和就业支出类年初预算为144万元，支出决算为143.14万元，完成年初预算99.4%。</w:t>
      </w:r>
    </w:p>
    <w:p>
      <w:pPr>
        <w:pStyle w:val="9"/>
        <w:numPr>
          <w:ilvl w:val="0"/>
          <w:numId w:val="3"/>
        </w:numPr>
        <w:ind w:left="0" w:leftChars="0"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卫生健康支出类年初预算98万元，支出决算为98万元，100%完成年初预算。</w:t>
      </w:r>
    </w:p>
    <w:p>
      <w:pPr>
        <w:pStyle w:val="9"/>
        <w:numPr>
          <w:ilvl w:val="0"/>
          <w:numId w:val="3"/>
        </w:numPr>
        <w:ind w:left="0" w:leftChars="0"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住房保障支出类年初预算187万元，支出决算为187万元，完成年初预算100%。</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2392.58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1862.10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77.83</w:t>
      </w:r>
      <w:r>
        <w:rPr>
          <w:rFonts w:hint="eastAsia" w:asciiTheme="minorEastAsia" w:hAnsiTheme="minorEastAsia" w:eastAsiaTheme="minorEastAsia"/>
          <w:sz w:val="32"/>
          <w:szCs w:val="32"/>
        </w:rPr>
        <w:t>%,主要包括基本工资、津贴补贴、奖金、机关事业单位基本养老保险缴费</w:t>
      </w:r>
      <w:r>
        <w:rPr>
          <w:rFonts w:hint="eastAsia" w:asciiTheme="minorEastAsia" w:hAnsiTheme="minorEastAsia" w:eastAsiaTheme="minorEastAsia"/>
          <w:sz w:val="32"/>
          <w:szCs w:val="32"/>
          <w:lang w:eastAsia="zh-CN"/>
        </w:rPr>
        <w:t>、职工基本医疗保险缴费、其他社会保障缴费、住房公积金、其他工资福利支出、其他对个人和家庭的补助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530.48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22.17</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水费、电费、邮电费、物业管理费、差旅费、维修（护）费、培训费、公务接待费、劳务费、工会经费、福利费、公务用车运行维护费、其他交通费用、其他商品和服务支出</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60.9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56.61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92.96</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14.2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国家厉行节俭，当年接待减少。</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基本持衡</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25.9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25.89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99.96</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基本持衡。</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公务用车运行维护费支出预算</w:t>
      </w:r>
      <w:r>
        <w:rPr>
          <w:rFonts w:hint="eastAsia" w:asciiTheme="minorEastAsia" w:hAnsiTheme="minorEastAsia" w:eastAsiaTheme="minorEastAsia"/>
          <w:sz w:val="32"/>
          <w:szCs w:val="32"/>
          <w:lang w:val="en-US" w:eastAsia="zh-CN"/>
        </w:rPr>
        <w:t>30万元，支出决算为30万元，100%完成预算。</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25.89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98.73</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1、因公出国（境）费支出决算为0万元，全年安排因公出国（境）团组0次，累计0人次。</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0.71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7批</w:t>
      </w:r>
      <w:r>
        <w:rPr>
          <w:rFonts w:hint="eastAsia" w:asciiTheme="minorEastAsia" w:hAnsiTheme="minorEastAsia" w:eastAsiaTheme="minorEastAsia"/>
          <w:sz w:val="32"/>
          <w:szCs w:val="32"/>
        </w:rPr>
        <w:t>、来宾</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案件审判、重要会议等</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bookmarkStart w:id="1" w:name="_GoBack"/>
      <w:bookmarkEnd w:id="1"/>
      <w:r>
        <w:rPr>
          <w:rFonts w:hint="eastAsia" w:asciiTheme="minorEastAsia" w:hAnsiTheme="minorEastAsia"/>
          <w:sz w:val="32"/>
          <w:szCs w:val="32"/>
          <w:lang w:val="en-US" w:eastAsia="zh-CN"/>
        </w:rPr>
        <w:t>3</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55.89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25.89</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30</w:t>
      </w:r>
      <w:r>
        <w:rPr>
          <w:rFonts w:hint="eastAsia" w:asciiTheme="minorEastAsia" w:hAnsiTheme="minorEastAsia"/>
          <w:sz w:val="32"/>
          <w:szCs w:val="32"/>
        </w:rPr>
        <w:t>万元，主要是</w:t>
      </w:r>
      <w:r>
        <w:rPr>
          <w:rFonts w:hint="eastAsia" w:asciiTheme="minorEastAsia" w:hAnsiTheme="minorEastAsia"/>
          <w:sz w:val="32"/>
          <w:szCs w:val="32"/>
          <w:lang w:val="en-US" w:eastAsia="zh-CN"/>
        </w:rPr>
        <w:t>2台</w:t>
      </w:r>
      <w:r>
        <w:rPr>
          <w:rFonts w:hint="eastAsia" w:asciiTheme="minorEastAsia" w:hAnsiTheme="minorEastAsia"/>
          <w:sz w:val="32"/>
          <w:szCs w:val="32"/>
          <w:lang w:eastAsia="zh-CN"/>
        </w:rPr>
        <w:t>公车购置、公车定期保养、检修</w:t>
      </w:r>
      <w:r>
        <w:rPr>
          <w:rFonts w:hint="eastAsia" w:asciiTheme="minorEastAsia" w:hAnsiTheme="minorEastAsia"/>
          <w:sz w:val="32"/>
          <w:szCs w:val="32"/>
        </w:rPr>
        <w:t>支出，截止202</w:t>
      </w:r>
      <w:r>
        <w:rPr>
          <w:rFonts w:hint="eastAsia" w:asciiTheme="minorEastAsia" w:hAnsiTheme="minorEastAsia"/>
          <w:sz w:val="32"/>
          <w:szCs w:val="32"/>
          <w:lang w:val="en-US" w:eastAsia="zh-CN"/>
        </w:rPr>
        <w:t>1</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13</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w:t>
      </w:r>
      <w:r>
        <w:rPr>
          <w:rFonts w:hint="eastAsia" w:asciiTheme="minorEastAsia" w:hAnsiTheme="minorEastAsia" w:eastAsiaTheme="minorEastAsia"/>
          <w:sz w:val="32"/>
          <w:szCs w:val="32"/>
          <w:lang w:eastAsia="zh-CN"/>
        </w:rPr>
        <w:t>收支</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530.47</w:t>
      </w:r>
      <w:r>
        <w:rPr>
          <w:rFonts w:hint="eastAsia" w:asciiTheme="minorEastAsia" w:hAnsiTheme="minorEastAsia" w:eastAsiaTheme="minorEastAsia"/>
          <w:sz w:val="32"/>
          <w:szCs w:val="32"/>
        </w:rPr>
        <w:t>万元，比上年决算数</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96.07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15.33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国家压缩经费，厉行节约。</w:t>
      </w:r>
    </w:p>
    <w:p>
      <w:pPr>
        <w:pStyle w:val="9"/>
        <w:rPr>
          <w:rFonts w:hAnsi="黑体"/>
          <w:b/>
          <w:sz w:val="32"/>
          <w:szCs w:val="32"/>
        </w:rPr>
      </w:pPr>
      <w:r>
        <w:rPr>
          <w:rFonts w:hint="eastAsia" w:hAnsi="黑体"/>
          <w:b/>
          <w:sz w:val="32"/>
          <w:szCs w:val="32"/>
        </w:rPr>
        <w:t>十、一般性支出情况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年本部门开支培训费</w:t>
      </w:r>
      <w:r>
        <w:rPr>
          <w:rFonts w:hint="eastAsia" w:asciiTheme="minorEastAsia" w:hAnsiTheme="minorEastAsia" w:eastAsiaTheme="minorEastAsia"/>
          <w:sz w:val="32"/>
          <w:szCs w:val="32"/>
          <w:lang w:val="en-US" w:eastAsia="zh-CN"/>
        </w:rPr>
        <w:t>9.77</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法警技能</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、书记员技能提升</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176.27</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176.27</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其中，大部分授予小微企业合同采购。</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年12月31日，本单位共有车辆</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numPr>
          <w:ilvl w:val="0"/>
          <w:numId w:val="4"/>
        </w:numPr>
        <w:rPr>
          <w:rFonts w:hint="eastAsia" w:hAnsi="黑体"/>
          <w:b/>
          <w:sz w:val="32"/>
          <w:szCs w:val="32"/>
          <w:lang w:val="en-US" w:eastAsia="zh-CN"/>
        </w:rPr>
      </w:pPr>
      <w:r>
        <w:rPr>
          <w:rFonts w:hint="eastAsia" w:hAnsi="黑体"/>
          <w:b/>
          <w:sz w:val="32"/>
          <w:szCs w:val="32"/>
          <w:lang w:eastAsia="zh-CN"/>
        </w:rPr>
        <w:t>关于</w:t>
      </w:r>
      <w:r>
        <w:rPr>
          <w:rFonts w:hint="eastAsia" w:hAnsi="黑体"/>
          <w:b/>
          <w:sz w:val="32"/>
          <w:szCs w:val="32"/>
          <w:lang w:val="en-US" w:eastAsia="zh-CN"/>
        </w:rPr>
        <w:t>2021年度绩效情况的说明</w:t>
      </w:r>
    </w:p>
    <w:p>
      <w:pPr>
        <w:pStyle w:val="9"/>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在市委的正确领导，市人大、市政府、市政协和社会各界的监督、支持以及上级法院的指导下，我院全面贯彻习近平思想、习近平总书记“七一”重要讲话精神和考察湖南重要讲话精神，不断增强“四个意识”、坚定“四个自信”，做到“两个维护”，坚持党对法院工作的决定领导，紧紧围绕“努力让人民群众在每一个司法案件中感受到公平正义”的目标。我院全年累计收案</w:t>
      </w:r>
      <w:r>
        <w:rPr>
          <w:rFonts w:hint="eastAsia" w:asciiTheme="minorEastAsia" w:hAnsiTheme="minorEastAsia" w:eastAsiaTheme="minorEastAsia"/>
          <w:sz w:val="32"/>
          <w:szCs w:val="32"/>
          <w:lang w:val="en-US" w:eastAsia="zh-CN"/>
        </w:rPr>
        <w:t>8151件，结案7998件，结收比98.12%，审判质量、审判效率和公信力不断提升。</w:t>
      </w:r>
    </w:p>
    <w:p>
      <w:pPr>
        <w:pStyle w:val="9"/>
        <w:numPr>
          <w:ilvl w:val="0"/>
          <w:numId w:val="0"/>
        </w:numPr>
        <w:ind w:firstLine="640" w:firstLineChars="200"/>
        <w:rPr>
          <w:rFonts w:hint="eastAsia" w:asciiTheme="minorEastAsia" w:hAnsiTheme="minorEastAsia" w:eastAsiaTheme="minorEastAsia"/>
          <w:sz w:val="32"/>
          <w:szCs w:val="32"/>
          <w:lang w:eastAsia="zh-CN"/>
        </w:rPr>
      </w:pPr>
    </w:p>
    <w:p>
      <w:pPr>
        <w:pStyle w:val="9"/>
        <w:numPr>
          <w:ilvl w:val="0"/>
          <w:numId w:val="0"/>
        </w:numPr>
        <w:ind w:firstLine="640" w:firstLineChars="200"/>
        <w:rPr>
          <w:rFonts w:hint="eastAsia" w:asciiTheme="minorEastAsia" w:hAnsiTheme="minorEastAsia" w:eastAsiaTheme="minorEastAsia"/>
          <w:sz w:val="32"/>
          <w:szCs w:val="32"/>
          <w:lang w:eastAsia="zh-CN"/>
        </w:rPr>
      </w:pPr>
    </w:p>
    <w:p>
      <w:pPr>
        <w:pStyle w:val="9"/>
        <w:numPr>
          <w:ilvl w:val="0"/>
          <w:numId w:val="0"/>
        </w:numPr>
        <w:ind w:firstLine="640" w:firstLineChars="200"/>
        <w:rPr>
          <w:rFonts w:hint="eastAsia" w:asciiTheme="minorEastAsia" w:hAnsiTheme="minorEastAsia" w:eastAsiaTheme="minorEastAsia"/>
          <w:sz w:val="32"/>
          <w:szCs w:val="32"/>
          <w:lang w:eastAsia="zh-CN"/>
        </w:rPr>
      </w:pPr>
    </w:p>
    <w:p>
      <w:pPr>
        <w:pStyle w:val="9"/>
        <w:numPr>
          <w:ilvl w:val="0"/>
          <w:numId w:val="0"/>
        </w:numPr>
        <w:rPr>
          <w:rFonts w:hint="eastAsia" w:asciiTheme="minorEastAsia" w:hAnsiTheme="minorEastAsia" w:eastAsiaTheme="minorEastAsia"/>
          <w:sz w:val="32"/>
          <w:szCs w:val="32"/>
          <w:lang w:val="en-US" w:eastAsia="zh-CN"/>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eastAsia="仿宋_GB2312"/>
          <w:sz w:val="32"/>
          <w:szCs w:val="32"/>
          <w:u w:val="none"/>
        </w:rPr>
      </w:pPr>
    </w:p>
    <w:p>
      <w:pPr>
        <w:widowControl/>
        <w:jc w:val="left"/>
        <w:rPr>
          <w:rFonts w:eastAsia="仿宋_GB2312"/>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p>
    <w:p>
      <w:pPr>
        <w:widowControl/>
        <w:ind w:firstLine="640" w:firstLineChars="200"/>
        <w:jc w:val="left"/>
        <w:rPr>
          <w:rFonts w:hint="eastAsia" w:asciiTheme="minorEastAsia" w:hAnsiTheme="minorEastAsia" w:eastAsiaTheme="minorEastAsia" w:cstheme="minorEastAsia"/>
          <w:sz w:val="32"/>
          <w:szCs w:val="32"/>
          <w:u w:val="none"/>
        </w:rPr>
      </w:pPr>
      <w:r>
        <w:rPr>
          <w:rFonts w:hint="eastAsia" w:asciiTheme="minorEastAsia" w:hAnsiTheme="minorEastAsia" w:eastAsiaTheme="minorEastAsia" w:cstheme="minorEastAsia"/>
          <w:sz w:val="32"/>
          <w:szCs w:val="32"/>
          <w:u w:val="none"/>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ascii="黑体" w:eastAsia="黑体" w:cs="黑体"/>
          <w:color w:val="000000"/>
          <w:kern w:val="0"/>
          <w:sz w:val="70"/>
          <w:szCs w:val="70"/>
        </w:rPr>
      </w:pPr>
      <w:r>
        <w:rPr>
          <w:rFonts w:hint="eastAsia" w:asciiTheme="minorEastAsia" w:hAnsiTheme="minorEastAsia" w:eastAsiaTheme="minorEastAsia" w:cstheme="minorEastAsia"/>
          <w:sz w:val="32"/>
          <w:szCs w:val="32"/>
          <w:u w:val="none"/>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96181"/>
    <w:multiLevelType w:val="singleLevel"/>
    <w:tmpl w:val="AA196181"/>
    <w:lvl w:ilvl="0" w:tentative="0">
      <w:start w:val="1"/>
      <w:numFmt w:val="chineseCounting"/>
      <w:suff w:val="nothing"/>
      <w:lvlText w:val="（%1）"/>
      <w:lvlJc w:val="left"/>
      <w:pPr>
        <w:ind w:left="840" w:leftChars="0" w:firstLine="0" w:firstLineChars="0"/>
      </w:pPr>
      <w:rPr>
        <w:rFonts w:hint="eastAsia"/>
      </w:rPr>
    </w:lvl>
  </w:abstractNum>
  <w:abstractNum w:abstractNumId="1">
    <w:nsid w:val="FBE2280D"/>
    <w:multiLevelType w:val="singleLevel"/>
    <w:tmpl w:val="FBE2280D"/>
    <w:lvl w:ilvl="0" w:tentative="0">
      <w:start w:val="13"/>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ED07B7"/>
    <w:multiLevelType w:val="singleLevel"/>
    <w:tmpl w:val="39ED07B7"/>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N2I4N2U1NDlmYmRmNzg2NzgxOTI1NmU2NmMwZjc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851B9F"/>
    <w:rsid w:val="03031D3C"/>
    <w:rsid w:val="034C0D79"/>
    <w:rsid w:val="0373078A"/>
    <w:rsid w:val="04C1777A"/>
    <w:rsid w:val="054D26FD"/>
    <w:rsid w:val="063329E2"/>
    <w:rsid w:val="06701652"/>
    <w:rsid w:val="069B0B66"/>
    <w:rsid w:val="06CD6539"/>
    <w:rsid w:val="07200D1C"/>
    <w:rsid w:val="08206071"/>
    <w:rsid w:val="086A4CF0"/>
    <w:rsid w:val="088924CB"/>
    <w:rsid w:val="096B2701"/>
    <w:rsid w:val="097E349C"/>
    <w:rsid w:val="0A535383"/>
    <w:rsid w:val="0A8E7E52"/>
    <w:rsid w:val="0B4042F6"/>
    <w:rsid w:val="0BCD1BB2"/>
    <w:rsid w:val="0C270616"/>
    <w:rsid w:val="0C671F8C"/>
    <w:rsid w:val="0C6F5FFE"/>
    <w:rsid w:val="0C7B280C"/>
    <w:rsid w:val="0D3738F8"/>
    <w:rsid w:val="0D4822D1"/>
    <w:rsid w:val="0DB40FF3"/>
    <w:rsid w:val="0EDE33F0"/>
    <w:rsid w:val="1046556C"/>
    <w:rsid w:val="10557B53"/>
    <w:rsid w:val="11C43E5D"/>
    <w:rsid w:val="1214387C"/>
    <w:rsid w:val="129E7BBC"/>
    <w:rsid w:val="13987E98"/>
    <w:rsid w:val="14472267"/>
    <w:rsid w:val="16844043"/>
    <w:rsid w:val="17841E14"/>
    <w:rsid w:val="17CD7D86"/>
    <w:rsid w:val="1874495F"/>
    <w:rsid w:val="1A9C06C6"/>
    <w:rsid w:val="1B0A1923"/>
    <w:rsid w:val="1BA52F13"/>
    <w:rsid w:val="1BA7036F"/>
    <w:rsid w:val="1BAB3DCB"/>
    <w:rsid w:val="1C0604BA"/>
    <w:rsid w:val="1CE67BB1"/>
    <w:rsid w:val="1D4B5E30"/>
    <w:rsid w:val="1D62507F"/>
    <w:rsid w:val="1DD14FEE"/>
    <w:rsid w:val="1DF648F5"/>
    <w:rsid w:val="1E745C83"/>
    <w:rsid w:val="1EC73148"/>
    <w:rsid w:val="1EF2127A"/>
    <w:rsid w:val="1F563ACA"/>
    <w:rsid w:val="1FE31CCF"/>
    <w:rsid w:val="2048588F"/>
    <w:rsid w:val="21766333"/>
    <w:rsid w:val="218C3F32"/>
    <w:rsid w:val="21C4453D"/>
    <w:rsid w:val="22AE2BBA"/>
    <w:rsid w:val="23DD014F"/>
    <w:rsid w:val="24A92438"/>
    <w:rsid w:val="2590213E"/>
    <w:rsid w:val="25ED6930"/>
    <w:rsid w:val="268A7498"/>
    <w:rsid w:val="2693633F"/>
    <w:rsid w:val="26C768A9"/>
    <w:rsid w:val="27420531"/>
    <w:rsid w:val="27A47813"/>
    <w:rsid w:val="286E2DC3"/>
    <w:rsid w:val="29340E1F"/>
    <w:rsid w:val="293F3895"/>
    <w:rsid w:val="294B6E5D"/>
    <w:rsid w:val="29FF05DC"/>
    <w:rsid w:val="2A191D3D"/>
    <w:rsid w:val="2A1B5FF2"/>
    <w:rsid w:val="2A5B306F"/>
    <w:rsid w:val="2A5E614F"/>
    <w:rsid w:val="2A8E6D5E"/>
    <w:rsid w:val="2AA17E7F"/>
    <w:rsid w:val="2C4D3A16"/>
    <w:rsid w:val="2DDF0227"/>
    <w:rsid w:val="2E967627"/>
    <w:rsid w:val="2F1B2A5E"/>
    <w:rsid w:val="2FE715CA"/>
    <w:rsid w:val="303011E0"/>
    <w:rsid w:val="305A1545"/>
    <w:rsid w:val="30617333"/>
    <w:rsid w:val="3071588C"/>
    <w:rsid w:val="30E16C99"/>
    <w:rsid w:val="31461006"/>
    <w:rsid w:val="320B6138"/>
    <w:rsid w:val="320C2C2C"/>
    <w:rsid w:val="328F6651"/>
    <w:rsid w:val="32DE5D3C"/>
    <w:rsid w:val="332B6361"/>
    <w:rsid w:val="33644E61"/>
    <w:rsid w:val="33863856"/>
    <w:rsid w:val="33A731F9"/>
    <w:rsid w:val="33BE1462"/>
    <w:rsid w:val="3417022F"/>
    <w:rsid w:val="34401F63"/>
    <w:rsid w:val="353346F1"/>
    <w:rsid w:val="353E7717"/>
    <w:rsid w:val="354018E6"/>
    <w:rsid w:val="359C1F10"/>
    <w:rsid w:val="35DC57BC"/>
    <w:rsid w:val="36386EF8"/>
    <w:rsid w:val="369E27A2"/>
    <w:rsid w:val="36B220E3"/>
    <w:rsid w:val="36EB0EF5"/>
    <w:rsid w:val="38C93D0F"/>
    <w:rsid w:val="3AF45DD3"/>
    <w:rsid w:val="3B006455"/>
    <w:rsid w:val="3BFE61DC"/>
    <w:rsid w:val="3CD91B9E"/>
    <w:rsid w:val="3D334DE9"/>
    <w:rsid w:val="3D671069"/>
    <w:rsid w:val="3D8C5BA1"/>
    <w:rsid w:val="3E273EF4"/>
    <w:rsid w:val="3E8F7076"/>
    <w:rsid w:val="3EDA2FF5"/>
    <w:rsid w:val="3EDD4001"/>
    <w:rsid w:val="3F222FAA"/>
    <w:rsid w:val="3F645FD6"/>
    <w:rsid w:val="40DB77E9"/>
    <w:rsid w:val="40F424CA"/>
    <w:rsid w:val="420D6405"/>
    <w:rsid w:val="4236183B"/>
    <w:rsid w:val="42B02D9A"/>
    <w:rsid w:val="42B23C68"/>
    <w:rsid w:val="43413EFE"/>
    <w:rsid w:val="43A23352"/>
    <w:rsid w:val="443D6F13"/>
    <w:rsid w:val="44720562"/>
    <w:rsid w:val="44EB5561"/>
    <w:rsid w:val="456722E4"/>
    <w:rsid w:val="4573359D"/>
    <w:rsid w:val="45D83DFD"/>
    <w:rsid w:val="461D7DBA"/>
    <w:rsid w:val="467429CB"/>
    <w:rsid w:val="469B076C"/>
    <w:rsid w:val="46F40ACC"/>
    <w:rsid w:val="482A1216"/>
    <w:rsid w:val="483B6790"/>
    <w:rsid w:val="487B34BE"/>
    <w:rsid w:val="498519E5"/>
    <w:rsid w:val="4AAC395A"/>
    <w:rsid w:val="4B795DB4"/>
    <w:rsid w:val="4B8F2E23"/>
    <w:rsid w:val="4BEA07D3"/>
    <w:rsid w:val="4BED0BB1"/>
    <w:rsid w:val="4BFC0F25"/>
    <w:rsid w:val="4C307146"/>
    <w:rsid w:val="4CE063D1"/>
    <w:rsid w:val="4CFE5AB4"/>
    <w:rsid w:val="4D485B3C"/>
    <w:rsid w:val="4D4A2281"/>
    <w:rsid w:val="4D935BC9"/>
    <w:rsid w:val="4DF6377A"/>
    <w:rsid w:val="4E0E741B"/>
    <w:rsid w:val="4E4C3909"/>
    <w:rsid w:val="4EA329F8"/>
    <w:rsid w:val="4EA960F6"/>
    <w:rsid w:val="4F3C2F36"/>
    <w:rsid w:val="4FE002AB"/>
    <w:rsid w:val="50591087"/>
    <w:rsid w:val="50EE16AF"/>
    <w:rsid w:val="51A30CCA"/>
    <w:rsid w:val="51C735AE"/>
    <w:rsid w:val="520F750B"/>
    <w:rsid w:val="52BA0354"/>
    <w:rsid w:val="52BA0939"/>
    <w:rsid w:val="52DC0B26"/>
    <w:rsid w:val="5327655B"/>
    <w:rsid w:val="53E83665"/>
    <w:rsid w:val="546914A3"/>
    <w:rsid w:val="554E1BEB"/>
    <w:rsid w:val="55E824D2"/>
    <w:rsid w:val="5616182B"/>
    <w:rsid w:val="57155243"/>
    <w:rsid w:val="57235F6D"/>
    <w:rsid w:val="57C35D4E"/>
    <w:rsid w:val="58A226DD"/>
    <w:rsid w:val="59831B4D"/>
    <w:rsid w:val="599B5FE7"/>
    <w:rsid w:val="5A305072"/>
    <w:rsid w:val="5A7F4BF5"/>
    <w:rsid w:val="5B843CAC"/>
    <w:rsid w:val="5B911E22"/>
    <w:rsid w:val="5C096322"/>
    <w:rsid w:val="5C380554"/>
    <w:rsid w:val="5C393E44"/>
    <w:rsid w:val="5D701D14"/>
    <w:rsid w:val="5D87175C"/>
    <w:rsid w:val="5DE73B9E"/>
    <w:rsid w:val="5DEC0DAD"/>
    <w:rsid w:val="5E944B98"/>
    <w:rsid w:val="5F463F95"/>
    <w:rsid w:val="5FAF4AE6"/>
    <w:rsid w:val="5FBC5019"/>
    <w:rsid w:val="608F7132"/>
    <w:rsid w:val="60C30B5E"/>
    <w:rsid w:val="61897711"/>
    <w:rsid w:val="629C1B63"/>
    <w:rsid w:val="62AA327F"/>
    <w:rsid w:val="644137A6"/>
    <w:rsid w:val="6510520D"/>
    <w:rsid w:val="6572160D"/>
    <w:rsid w:val="65AC66F3"/>
    <w:rsid w:val="65EE5238"/>
    <w:rsid w:val="6607765A"/>
    <w:rsid w:val="66453600"/>
    <w:rsid w:val="6751506C"/>
    <w:rsid w:val="67AB70FC"/>
    <w:rsid w:val="6888053A"/>
    <w:rsid w:val="68B9600E"/>
    <w:rsid w:val="68C45AAC"/>
    <w:rsid w:val="69A25C7E"/>
    <w:rsid w:val="69B701BB"/>
    <w:rsid w:val="6A1E280E"/>
    <w:rsid w:val="6A6824D0"/>
    <w:rsid w:val="6AED5568"/>
    <w:rsid w:val="6B0B0C7B"/>
    <w:rsid w:val="6B6D0A74"/>
    <w:rsid w:val="6C470DD5"/>
    <w:rsid w:val="6D3D380F"/>
    <w:rsid w:val="6D8C36A5"/>
    <w:rsid w:val="6D9C6CDE"/>
    <w:rsid w:val="6DBF1291"/>
    <w:rsid w:val="6DD5027A"/>
    <w:rsid w:val="6E5833FA"/>
    <w:rsid w:val="6E767ED8"/>
    <w:rsid w:val="6EC11AC9"/>
    <w:rsid w:val="6F14548B"/>
    <w:rsid w:val="6F29072C"/>
    <w:rsid w:val="70857CB8"/>
    <w:rsid w:val="7164455F"/>
    <w:rsid w:val="721D14A2"/>
    <w:rsid w:val="725E26CF"/>
    <w:rsid w:val="72611377"/>
    <w:rsid w:val="729404FA"/>
    <w:rsid w:val="72AB0F50"/>
    <w:rsid w:val="72FA7D2E"/>
    <w:rsid w:val="731D1D27"/>
    <w:rsid w:val="73CA51FF"/>
    <w:rsid w:val="744C3734"/>
    <w:rsid w:val="74764AA7"/>
    <w:rsid w:val="74C23B5E"/>
    <w:rsid w:val="760F20DF"/>
    <w:rsid w:val="76324EA8"/>
    <w:rsid w:val="76A42FEE"/>
    <w:rsid w:val="78A701F4"/>
    <w:rsid w:val="791C1381"/>
    <w:rsid w:val="7AB506B1"/>
    <w:rsid w:val="7AD80BBA"/>
    <w:rsid w:val="7B1D073F"/>
    <w:rsid w:val="7B382635"/>
    <w:rsid w:val="7B5C4E46"/>
    <w:rsid w:val="7B834242"/>
    <w:rsid w:val="7C9B3310"/>
    <w:rsid w:val="7D776E34"/>
    <w:rsid w:val="7E4D063E"/>
    <w:rsid w:val="7E647282"/>
    <w:rsid w:val="7E704620"/>
    <w:rsid w:val="7E786DAE"/>
    <w:rsid w:val="7EAE7D0C"/>
    <w:rsid w:val="7EF047DB"/>
    <w:rsid w:val="7F78510E"/>
    <w:rsid w:val="7FA5306B"/>
    <w:rsid w:val="7FCE249B"/>
    <w:rsid w:val="7FF5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7085</Words>
  <Characters>11383</Characters>
  <Lines>61</Lines>
  <Paragraphs>17</Paragraphs>
  <TotalTime>23</TotalTime>
  <ScaleCrop>false</ScaleCrop>
  <LinksUpToDate>false</LinksUpToDate>
  <CharactersWithSpaces>11829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2021-08-05T08:54:00Z</cp:lastPrinted>
  <dcterms:modified xsi:type="dcterms:W3CDTF">2023-10-18T08:15:48Z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F57C162E1A4A4BFE9B0ED873445E4F55_13</vt:lpwstr>
  </property>
</Properties>
</file>