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30"/>
        </w:rPr>
      </w:pPr>
      <w:r>
        <w:rPr>
          <w:rFonts w:hint="eastAsia"/>
          <w:sz w:val="28"/>
          <w:szCs w:val="30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华文中宋" w:hAnsi="华文中宋" w:eastAsia="华文中宋"/>
          <w:sz w:val="44"/>
          <w:szCs w:val="44"/>
        </w:rPr>
        <w:t>关于建立</w:t>
      </w:r>
      <w:r>
        <w:rPr>
          <w:rFonts w:ascii="华文中宋" w:hAnsi="华文中宋" w:eastAsia="华文中宋"/>
          <w:sz w:val="44"/>
          <w:szCs w:val="44"/>
        </w:rPr>
        <w:t>曲靖市</w:t>
      </w:r>
      <w:r>
        <w:rPr>
          <w:rFonts w:hint="eastAsia" w:ascii="华文中宋" w:hAnsi="华文中宋" w:eastAsia="华文中宋"/>
          <w:sz w:val="44"/>
          <w:szCs w:val="44"/>
        </w:rPr>
        <w:t>企业破产专项资金管理</w:t>
      </w:r>
      <w:r>
        <w:rPr>
          <w:rFonts w:ascii="华文中宋" w:hAnsi="华文中宋" w:eastAsia="华文中宋"/>
          <w:sz w:val="44"/>
          <w:szCs w:val="44"/>
        </w:rPr>
        <w:t>和使用办法</w:t>
      </w:r>
      <w:r>
        <w:rPr>
          <w:rFonts w:hint="eastAsia" w:ascii="华文中宋" w:hAnsi="华文中宋" w:eastAsia="华文中宋"/>
          <w:sz w:val="44"/>
          <w:szCs w:val="44"/>
        </w:rPr>
        <w:t>的起草说明</w:t>
      </w:r>
    </w:p>
    <w:p>
      <w:pPr>
        <w:autoSpaceDE w:val="0"/>
        <w:spacing w:line="58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根据优化营商环境</w:t>
      </w:r>
      <w:r>
        <w:rPr>
          <w:rFonts w:ascii="仿宋_GB2312" w:eastAsia="仿宋_GB2312"/>
          <w:sz w:val="32"/>
          <w:szCs w:val="32"/>
        </w:rPr>
        <w:t>考核</w:t>
      </w:r>
      <w:r>
        <w:rPr>
          <w:rFonts w:hint="eastAsia" w:ascii="仿宋_GB2312" w:eastAsia="仿宋_GB2312"/>
          <w:sz w:val="32"/>
          <w:szCs w:val="32"/>
        </w:rPr>
        <w:t>工作</w:t>
      </w:r>
      <w:r>
        <w:rPr>
          <w:rFonts w:ascii="仿宋_GB2312" w:eastAsia="仿宋_GB2312"/>
          <w:sz w:val="32"/>
          <w:szCs w:val="32"/>
        </w:rPr>
        <w:t>需要</w:t>
      </w:r>
      <w:r>
        <w:rPr>
          <w:rFonts w:hint="eastAsia" w:ascii="仿宋_GB2312" w:eastAsia="仿宋_GB2312"/>
          <w:sz w:val="32"/>
          <w:szCs w:val="32"/>
        </w:rPr>
        <w:t>，现将《曲靖市企业破产专项资金管理</w:t>
      </w:r>
      <w:r>
        <w:rPr>
          <w:rFonts w:ascii="仿宋_GB2312" w:eastAsia="仿宋_GB2312"/>
          <w:sz w:val="32"/>
          <w:szCs w:val="32"/>
        </w:rPr>
        <w:t>和使用办法（</w:t>
      </w:r>
      <w:r>
        <w:rPr>
          <w:rFonts w:hint="eastAsia" w:ascii="仿宋_GB2312" w:eastAsia="仿宋_GB2312"/>
          <w:sz w:val="32"/>
          <w:szCs w:val="32"/>
        </w:rPr>
        <w:t>征求意见稿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》起草情况作</w:t>
      </w:r>
      <w:r>
        <w:rPr>
          <w:rFonts w:ascii="仿宋_GB2312" w:eastAsia="仿宋_GB2312"/>
          <w:sz w:val="32"/>
          <w:szCs w:val="32"/>
        </w:rPr>
        <w:t>如下说明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autoSpaceDE w:val="0"/>
        <w:spacing w:line="58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一、背景情况说明</w:t>
      </w:r>
    </w:p>
    <w:p>
      <w:pPr>
        <w:autoSpaceDE w:val="0"/>
        <w:spacing w:line="58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为贯彻落实《优化营商环境条例》(国务院令第722号)、《云南省</w:t>
      </w:r>
      <w:r>
        <w:rPr>
          <w:rFonts w:ascii="仿宋_GB2312" w:eastAsia="仿宋_GB2312"/>
          <w:sz w:val="32"/>
          <w:szCs w:val="32"/>
        </w:rPr>
        <w:t>优化营商环境</w:t>
      </w:r>
      <w:r>
        <w:rPr>
          <w:rFonts w:hint="eastAsia" w:ascii="仿宋_GB2312" w:eastAsia="仿宋_GB2312"/>
          <w:sz w:val="32"/>
          <w:szCs w:val="32"/>
        </w:rPr>
        <w:t>2022年</w:t>
      </w:r>
      <w:r>
        <w:rPr>
          <w:rFonts w:ascii="仿宋_GB2312" w:eastAsia="仿宋_GB2312"/>
          <w:sz w:val="32"/>
          <w:szCs w:val="32"/>
        </w:rPr>
        <w:t>重点任务清单</w:t>
      </w:r>
      <w:r>
        <w:rPr>
          <w:rFonts w:hint="eastAsia" w:ascii="仿宋_GB2312" w:eastAsia="仿宋_GB2312"/>
          <w:sz w:val="32"/>
          <w:szCs w:val="32"/>
        </w:rPr>
        <w:t>》、省委、省政府的部署要求，以及落实《2</w:t>
      </w:r>
      <w:r>
        <w:rPr>
          <w:rFonts w:ascii="仿宋_GB2312" w:eastAsia="仿宋_GB2312"/>
          <w:sz w:val="32"/>
          <w:szCs w:val="32"/>
        </w:rPr>
        <w:t>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云南省营商环境评价指标体系</w:t>
      </w:r>
      <w:r>
        <w:rPr>
          <w:rFonts w:hint="eastAsia" w:ascii="仿宋_GB2312" w:eastAsia="仿宋_GB2312"/>
          <w:sz w:val="32"/>
          <w:szCs w:val="32"/>
        </w:rPr>
        <w:t>》中“办理破产”一级指标下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hint="eastAsia" w:ascii="仿宋_GB2312" w:eastAsia="仿宋_GB2312"/>
          <w:sz w:val="32"/>
          <w:szCs w:val="32"/>
        </w:rPr>
        <w:t>破产法律框架质量指数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hint="eastAsia" w:ascii="仿宋_GB2312" w:eastAsia="仿宋_GB2312"/>
          <w:sz w:val="32"/>
          <w:szCs w:val="32"/>
        </w:rPr>
        <w:t>二级指标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</w:rPr>
        <w:t>“评价内容”【衡量是否</w:t>
      </w:r>
      <w:r>
        <w:rPr>
          <w:rFonts w:ascii="仿宋_GB2312" w:eastAsia="仿宋_GB2312"/>
          <w:sz w:val="32"/>
          <w:szCs w:val="32"/>
        </w:rPr>
        <w:t>建立州（</w:t>
      </w:r>
      <w:r>
        <w:rPr>
          <w:rFonts w:hint="eastAsia" w:ascii="仿宋_GB2312" w:eastAsia="仿宋_GB2312"/>
          <w:sz w:val="32"/>
          <w:szCs w:val="32"/>
        </w:rPr>
        <w:t>市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级企业破产</w:t>
      </w:r>
      <w:r>
        <w:rPr>
          <w:rFonts w:ascii="仿宋_GB2312" w:eastAsia="仿宋_GB2312"/>
          <w:sz w:val="32"/>
          <w:szCs w:val="32"/>
        </w:rPr>
        <w:t>处置府院联动机制和企业破产保障项目资金，机制是否实际运作并协同办理过企业破产处置案件，是否实际使用项目资金帮助无财产破产企业支付破产费用</w:t>
      </w:r>
      <w:r>
        <w:rPr>
          <w:rFonts w:hint="eastAsia" w:ascii="仿宋_GB2312" w:eastAsia="仿宋_GB2312"/>
          <w:sz w:val="32"/>
          <w:szCs w:val="32"/>
        </w:rPr>
        <w:t>】和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hint="eastAsia" w:ascii="仿宋_GB2312" w:eastAsia="仿宋_GB2312"/>
          <w:sz w:val="32"/>
          <w:szCs w:val="32"/>
        </w:rPr>
        <w:t>考核细则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hint="eastAsia" w:ascii="仿宋_GB2312" w:eastAsia="仿宋_GB2312"/>
          <w:sz w:val="32"/>
          <w:szCs w:val="32"/>
        </w:rPr>
        <w:t>【 4.预重整机制</w:t>
      </w:r>
      <w:r>
        <w:rPr>
          <w:rFonts w:ascii="仿宋_GB2312" w:eastAsia="仿宋_GB2312"/>
          <w:sz w:val="32"/>
          <w:szCs w:val="32"/>
        </w:rPr>
        <w:t>、资金监管系统、信用修复、设立州（</w:t>
      </w:r>
      <w:r>
        <w:rPr>
          <w:rFonts w:hint="eastAsia" w:ascii="仿宋_GB2312" w:eastAsia="仿宋_GB2312"/>
          <w:sz w:val="32"/>
          <w:szCs w:val="32"/>
        </w:rPr>
        <w:t>市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级</w:t>
      </w:r>
      <w:r>
        <w:rPr>
          <w:rFonts w:ascii="仿宋_GB2312" w:eastAsia="仿宋_GB2312"/>
          <w:sz w:val="32"/>
          <w:szCs w:val="32"/>
        </w:rPr>
        <w:t>企业清算破产保障项目经费情况</w:t>
      </w:r>
      <w:r>
        <w:rPr>
          <w:rFonts w:hint="eastAsia" w:ascii="仿宋_GB2312" w:eastAsia="仿宋_GB2312"/>
          <w:sz w:val="32"/>
          <w:szCs w:val="32"/>
        </w:rPr>
        <w:t>】的</w:t>
      </w:r>
      <w:r>
        <w:rPr>
          <w:rFonts w:ascii="仿宋_GB2312" w:eastAsia="仿宋_GB2312"/>
          <w:sz w:val="32"/>
          <w:szCs w:val="32"/>
        </w:rPr>
        <w:t>指标要求，</w:t>
      </w:r>
      <w:r>
        <w:rPr>
          <w:rFonts w:hint="eastAsia" w:ascii="仿宋_GB2312" w:eastAsia="仿宋_GB2312"/>
          <w:sz w:val="32"/>
          <w:szCs w:val="32"/>
        </w:rPr>
        <w:t>防范化解金融领域风险，统筹推进全市企业破产处置工作，在市政府</w:t>
      </w:r>
      <w:r>
        <w:rPr>
          <w:rFonts w:ascii="仿宋_GB2312" w:eastAsia="仿宋_GB2312"/>
          <w:sz w:val="32"/>
          <w:szCs w:val="32"/>
        </w:rPr>
        <w:t>前期已经出台</w:t>
      </w:r>
      <w:r>
        <w:rPr>
          <w:rFonts w:hint="eastAsia" w:ascii="仿宋_GB2312" w:eastAsia="仿宋_GB2312"/>
          <w:sz w:val="32"/>
          <w:szCs w:val="32"/>
        </w:rPr>
        <w:t>《曲靖市人民政府</w:t>
      </w:r>
      <w:r>
        <w:rPr>
          <w:rFonts w:ascii="仿宋_GB2312" w:eastAsia="仿宋_GB2312"/>
          <w:sz w:val="32"/>
          <w:szCs w:val="32"/>
        </w:rPr>
        <w:t>关于印发建立企业破产处置府院联动机制实施方案的通知</w:t>
      </w:r>
      <w:r>
        <w:rPr>
          <w:rFonts w:hint="eastAsia" w:ascii="仿宋_GB2312" w:eastAsia="仿宋_GB2312"/>
          <w:sz w:val="32"/>
          <w:szCs w:val="32"/>
        </w:rPr>
        <w:t>》（曲</w:t>
      </w:r>
      <w:r>
        <w:rPr>
          <w:rFonts w:ascii="仿宋_GB2312" w:eastAsia="仿宋_GB2312"/>
          <w:sz w:val="32"/>
          <w:szCs w:val="32"/>
        </w:rPr>
        <w:t>政</w:t>
      </w:r>
      <w:r>
        <w:rPr>
          <w:rFonts w:hint="eastAsia" w:ascii="仿宋_GB2312" w:eastAsia="仿宋_GB2312"/>
          <w:sz w:val="32"/>
          <w:szCs w:val="32"/>
        </w:rPr>
        <w:t>发</w:t>
      </w:r>
      <w:r>
        <w:rPr>
          <w:rFonts w:hint="eastAsia" w:ascii="仿宋" w:hAnsi="仿宋" w:eastAsia="仿宋"/>
          <w:sz w:val="32"/>
          <w:szCs w:val="32"/>
        </w:rPr>
        <w:t>﹝2022﹞60号</w:t>
      </w:r>
      <w:r>
        <w:rPr>
          <w:rFonts w:hint="eastAsia" w:ascii="仿宋_GB2312" w:eastAsia="仿宋_GB2312"/>
          <w:sz w:val="32"/>
          <w:szCs w:val="32"/>
        </w:rPr>
        <w:t>）的</w:t>
      </w:r>
      <w:r>
        <w:rPr>
          <w:rFonts w:ascii="仿宋_GB2312" w:eastAsia="仿宋_GB2312"/>
          <w:sz w:val="32"/>
          <w:szCs w:val="32"/>
        </w:rPr>
        <w:t>基础上，</w:t>
      </w:r>
      <w:r>
        <w:rPr>
          <w:rFonts w:hint="eastAsia" w:ascii="仿宋_GB2312" w:eastAsia="仿宋_GB2312"/>
          <w:sz w:val="32"/>
          <w:szCs w:val="32"/>
        </w:rPr>
        <w:t>进一步设立</w:t>
      </w:r>
      <w:r>
        <w:rPr>
          <w:rFonts w:ascii="仿宋_GB2312" w:eastAsia="仿宋_GB2312"/>
          <w:sz w:val="32"/>
          <w:szCs w:val="32"/>
        </w:rPr>
        <w:t>企业破产保障项目资金</w:t>
      </w:r>
      <w:r>
        <w:rPr>
          <w:rFonts w:hint="eastAsia" w:ascii="仿宋_GB2312" w:eastAsia="仿宋_GB2312"/>
          <w:sz w:val="32"/>
          <w:szCs w:val="32"/>
        </w:rPr>
        <w:t>并</w:t>
      </w:r>
      <w:r>
        <w:rPr>
          <w:rFonts w:ascii="仿宋_GB2312" w:eastAsia="仿宋_GB2312"/>
          <w:sz w:val="32"/>
          <w:szCs w:val="32"/>
        </w:rPr>
        <w:t>健全</w:t>
      </w:r>
      <w:r>
        <w:rPr>
          <w:rFonts w:hint="eastAsia" w:ascii="仿宋_GB2312" w:eastAsia="仿宋_GB2312"/>
          <w:sz w:val="32"/>
          <w:szCs w:val="32"/>
        </w:rPr>
        <w:t>相关</w:t>
      </w:r>
      <w:r>
        <w:rPr>
          <w:rFonts w:ascii="仿宋_GB2312" w:eastAsia="仿宋_GB2312"/>
          <w:sz w:val="32"/>
          <w:szCs w:val="32"/>
        </w:rPr>
        <w:t>管理和使用办法</w:t>
      </w:r>
      <w:r>
        <w:rPr>
          <w:rFonts w:hint="eastAsia" w:ascii="仿宋_GB2312" w:eastAsia="仿宋_GB2312"/>
          <w:sz w:val="32"/>
          <w:szCs w:val="32"/>
        </w:rPr>
        <w:t>，确保</w:t>
      </w:r>
      <w:r>
        <w:rPr>
          <w:rFonts w:ascii="仿宋_GB2312" w:eastAsia="仿宋_GB2312"/>
          <w:sz w:val="32"/>
          <w:szCs w:val="32"/>
        </w:rPr>
        <w:t>该项指标</w:t>
      </w:r>
      <w:r>
        <w:rPr>
          <w:rFonts w:hint="eastAsia" w:ascii="仿宋_GB2312" w:eastAsia="仿宋_GB2312"/>
          <w:sz w:val="32"/>
          <w:szCs w:val="32"/>
        </w:rPr>
        <w:t>在营商环境</w:t>
      </w:r>
      <w:r>
        <w:rPr>
          <w:rFonts w:ascii="仿宋_GB2312" w:eastAsia="仿宋_GB2312"/>
          <w:sz w:val="32"/>
          <w:szCs w:val="32"/>
        </w:rPr>
        <w:t>国评</w:t>
      </w:r>
      <w:r>
        <w:rPr>
          <w:rFonts w:hint="eastAsia" w:ascii="仿宋_GB2312" w:eastAsia="仿宋_GB2312"/>
          <w:sz w:val="32"/>
          <w:szCs w:val="32"/>
        </w:rPr>
        <w:t>工作</w:t>
      </w:r>
      <w:r>
        <w:rPr>
          <w:rFonts w:ascii="仿宋_GB2312" w:eastAsia="仿宋_GB2312"/>
          <w:sz w:val="32"/>
          <w:szCs w:val="32"/>
        </w:rPr>
        <w:t>中不丢分，</w:t>
      </w:r>
      <w:r>
        <w:rPr>
          <w:rFonts w:hint="eastAsia" w:ascii="仿宋_GB2312" w:eastAsia="仿宋_GB2312"/>
          <w:sz w:val="32"/>
          <w:szCs w:val="32"/>
        </w:rPr>
        <w:t>以助力</w:t>
      </w:r>
      <w:r>
        <w:rPr>
          <w:rFonts w:ascii="仿宋_GB2312" w:eastAsia="仿宋_GB2312"/>
          <w:sz w:val="32"/>
          <w:szCs w:val="32"/>
        </w:rPr>
        <w:t>全市优化营商环境</w:t>
      </w:r>
      <w:r>
        <w:rPr>
          <w:rFonts w:hint="eastAsia" w:ascii="仿宋_GB2312" w:eastAsia="仿宋_GB2312"/>
          <w:sz w:val="32"/>
          <w:szCs w:val="32"/>
        </w:rPr>
        <w:t>综合排名</w:t>
      </w:r>
      <w:r>
        <w:rPr>
          <w:rFonts w:ascii="仿宋_GB2312" w:eastAsia="仿宋_GB2312"/>
          <w:sz w:val="32"/>
          <w:szCs w:val="32"/>
        </w:rPr>
        <w:t>和得分</w:t>
      </w:r>
      <w:r>
        <w:rPr>
          <w:rFonts w:hint="eastAsia" w:ascii="仿宋_GB2312" w:eastAsia="仿宋_GB2312"/>
          <w:sz w:val="32"/>
          <w:szCs w:val="32"/>
        </w:rPr>
        <w:t>提升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本院</w:t>
      </w:r>
      <w:r>
        <w:rPr>
          <w:rFonts w:ascii="仿宋_GB2312" w:eastAsia="仿宋_GB2312"/>
          <w:sz w:val="32"/>
          <w:szCs w:val="32"/>
        </w:rPr>
        <w:t>营商办草拟了《</w:t>
      </w:r>
      <w:r>
        <w:rPr>
          <w:rFonts w:hint="eastAsia" w:ascii="仿宋_GB2312" w:eastAsia="仿宋_GB2312"/>
          <w:sz w:val="32"/>
          <w:szCs w:val="32"/>
        </w:rPr>
        <w:t>曲靖市</w:t>
      </w:r>
      <w:r>
        <w:rPr>
          <w:rFonts w:ascii="仿宋_GB2312" w:eastAsia="仿宋_GB2312"/>
          <w:sz w:val="32"/>
          <w:szCs w:val="32"/>
        </w:rPr>
        <w:t>企业破产专项资金管理和使用办法</w:t>
      </w:r>
      <w:r>
        <w:rPr>
          <w:rFonts w:hint="eastAsia" w:ascii="仿宋_GB2312" w:eastAsia="仿宋_GB2312"/>
          <w:sz w:val="32"/>
          <w:szCs w:val="32"/>
        </w:rPr>
        <w:t>（征求意见稿）</w:t>
      </w:r>
      <w:r>
        <w:rPr>
          <w:rFonts w:ascii="仿宋_GB2312" w:eastAsia="仿宋_GB2312"/>
          <w:sz w:val="32"/>
          <w:szCs w:val="32"/>
        </w:rPr>
        <w:t>》</w:t>
      </w:r>
      <w:r>
        <w:rPr>
          <w:rFonts w:hint="eastAsia" w:ascii="仿宋_GB2312" w:eastAsia="仿宋_GB2312"/>
          <w:sz w:val="32"/>
          <w:szCs w:val="32"/>
        </w:rPr>
        <w:t>（以下简称</w:t>
      </w:r>
      <w:r>
        <w:rPr>
          <w:rFonts w:ascii="仿宋_GB2312" w:eastAsia="仿宋_GB2312"/>
          <w:sz w:val="32"/>
          <w:szCs w:val="32"/>
        </w:rPr>
        <w:t>《</w:t>
      </w:r>
      <w:r>
        <w:rPr>
          <w:rFonts w:hint="eastAsia" w:ascii="仿宋_GB2312" w:eastAsia="仿宋_GB2312"/>
          <w:sz w:val="32"/>
          <w:szCs w:val="32"/>
        </w:rPr>
        <w:t>办法</w:t>
      </w:r>
      <w:r>
        <w:rPr>
          <w:rFonts w:ascii="仿宋_GB2312" w:eastAsia="仿宋_GB2312"/>
          <w:sz w:val="32"/>
          <w:szCs w:val="32"/>
        </w:rPr>
        <w:t>》</w:t>
      </w:r>
      <w:r>
        <w:rPr>
          <w:rFonts w:hint="eastAsia" w:ascii="仿宋_GB2312" w:eastAsia="仿宋_GB2312"/>
          <w:sz w:val="32"/>
          <w:szCs w:val="32"/>
        </w:rPr>
        <w:t>）。</w:t>
      </w:r>
    </w:p>
    <w:p>
      <w:pPr>
        <w:autoSpaceDE w:val="0"/>
        <w:spacing w:line="58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二、《办法》的主要内容</w:t>
      </w:r>
    </w:p>
    <w:p>
      <w:pPr>
        <w:autoSpaceDE w:val="0"/>
        <w:spacing w:line="58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《办法》（征求意见稿）共由六个部分内容组成：</w:t>
      </w:r>
    </w:p>
    <w:p>
      <w:pPr>
        <w:autoSpaceDE w:val="0"/>
        <w:spacing w:line="58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第一部分</w:t>
      </w:r>
      <w:r>
        <w:rPr>
          <w:rFonts w:ascii="仿宋_GB2312" w:eastAsia="仿宋_GB2312"/>
          <w:b/>
          <w:sz w:val="32"/>
          <w:szCs w:val="32"/>
        </w:rPr>
        <w:t>，总则。</w:t>
      </w:r>
      <w:r>
        <w:rPr>
          <w:rFonts w:ascii="仿宋_GB2312" w:eastAsia="仿宋_GB2312"/>
          <w:sz w:val="32"/>
          <w:szCs w:val="32"/>
        </w:rPr>
        <w:t>规定</w:t>
      </w:r>
      <w:r>
        <w:rPr>
          <w:rFonts w:hint="eastAsia" w:ascii="仿宋_GB2312" w:eastAsia="仿宋_GB2312"/>
          <w:sz w:val="32"/>
          <w:szCs w:val="32"/>
        </w:rPr>
        <w:t>制定本</w:t>
      </w:r>
      <w:r>
        <w:rPr>
          <w:rFonts w:ascii="仿宋_GB2312" w:eastAsia="仿宋_GB2312"/>
          <w:sz w:val="32"/>
          <w:szCs w:val="32"/>
        </w:rPr>
        <w:t>办法的目的，企业破产专项资金的定义，企业破产专项资金的管理和使用原则</w:t>
      </w:r>
      <w:r>
        <w:rPr>
          <w:rFonts w:hint="eastAsia" w:ascii="仿宋_GB2312" w:eastAsia="仿宋_GB2312"/>
          <w:sz w:val="32"/>
          <w:szCs w:val="32"/>
        </w:rPr>
        <w:t>等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autoSpaceDE w:val="0"/>
        <w:spacing w:line="58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第二部分</w:t>
      </w:r>
      <w:r>
        <w:rPr>
          <w:rFonts w:ascii="仿宋_GB2312" w:eastAsia="仿宋_GB2312"/>
          <w:b/>
          <w:sz w:val="32"/>
          <w:szCs w:val="32"/>
        </w:rPr>
        <w:t>，资金来源和适用范围。</w:t>
      </w:r>
      <w:r>
        <w:rPr>
          <w:rFonts w:ascii="仿宋_GB2312" w:eastAsia="仿宋_GB2312"/>
          <w:sz w:val="32"/>
          <w:szCs w:val="32"/>
        </w:rPr>
        <w:t>规定</w:t>
      </w:r>
      <w:r>
        <w:rPr>
          <w:rFonts w:hint="eastAsia" w:ascii="仿宋_GB2312" w:eastAsia="仿宋_GB2312"/>
          <w:sz w:val="32"/>
          <w:szCs w:val="32"/>
        </w:rPr>
        <w:t>企业破产</w:t>
      </w:r>
      <w:r>
        <w:rPr>
          <w:rFonts w:ascii="仿宋_GB2312" w:eastAsia="仿宋_GB2312"/>
          <w:sz w:val="32"/>
          <w:szCs w:val="32"/>
        </w:rPr>
        <w:t>资金（</w:t>
      </w:r>
      <w:r>
        <w:rPr>
          <w:rFonts w:hint="eastAsia" w:ascii="仿宋_GB2312" w:eastAsia="仿宋_GB2312"/>
          <w:sz w:val="32"/>
          <w:szCs w:val="32"/>
        </w:rPr>
        <w:t>250万元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由</w:t>
      </w:r>
      <w:r>
        <w:rPr>
          <w:rFonts w:ascii="仿宋_GB2312" w:eastAsia="仿宋_GB2312"/>
          <w:sz w:val="32"/>
          <w:szCs w:val="32"/>
        </w:rPr>
        <w:t>市财政部门安排，</w:t>
      </w:r>
      <w:r>
        <w:rPr>
          <w:rFonts w:hint="eastAsia" w:ascii="仿宋_GB2312" w:eastAsia="仿宋_GB2312"/>
          <w:sz w:val="32"/>
          <w:szCs w:val="32"/>
        </w:rPr>
        <w:t>并设立</w:t>
      </w:r>
      <w:r>
        <w:rPr>
          <w:rFonts w:ascii="仿宋_GB2312" w:eastAsia="仿宋_GB2312"/>
          <w:sz w:val="32"/>
          <w:szCs w:val="32"/>
        </w:rPr>
        <w:t>专门资金账户于市财政部门，由市中院对资金使用</w:t>
      </w:r>
      <w:r>
        <w:rPr>
          <w:rFonts w:hint="eastAsia" w:ascii="仿宋_GB2312" w:eastAsia="仿宋_GB2312"/>
          <w:sz w:val="32"/>
          <w:szCs w:val="32"/>
        </w:rPr>
        <w:t>进行</w:t>
      </w:r>
      <w:r>
        <w:rPr>
          <w:rFonts w:ascii="仿宋_GB2312" w:eastAsia="仿宋_GB2312"/>
          <w:sz w:val="32"/>
          <w:szCs w:val="32"/>
        </w:rPr>
        <w:t>审批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同时</w:t>
      </w:r>
      <w:r>
        <w:rPr>
          <w:rFonts w:hint="eastAsia" w:ascii="仿宋_GB2312" w:eastAsia="仿宋_GB2312"/>
          <w:sz w:val="32"/>
          <w:szCs w:val="32"/>
        </w:rPr>
        <w:t>规定</w:t>
      </w:r>
      <w:r>
        <w:rPr>
          <w:rFonts w:ascii="仿宋_GB2312" w:eastAsia="仿宋_GB2312"/>
          <w:sz w:val="32"/>
          <w:szCs w:val="32"/>
        </w:rPr>
        <w:t>了资金的适用范围</w:t>
      </w:r>
      <w:r>
        <w:rPr>
          <w:rFonts w:hint="eastAsia" w:ascii="仿宋_GB2312" w:eastAsia="仿宋_GB2312"/>
          <w:sz w:val="32"/>
          <w:szCs w:val="32"/>
        </w:rPr>
        <w:t>和</w:t>
      </w:r>
      <w:r>
        <w:rPr>
          <w:rFonts w:ascii="仿宋_GB2312" w:eastAsia="仿宋_GB2312"/>
          <w:sz w:val="32"/>
          <w:szCs w:val="32"/>
        </w:rPr>
        <w:t>情形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autoSpaceDE w:val="0"/>
        <w:spacing w:line="58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第三部分</w:t>
      </w:r>
      <w:r>
        <w:rPr>
          <w:rFonts w:ascii="仿宋_GB2312" w:eastAsia="仿宋_GB2312"/>
          <w:b/>
          <w:sz w:val="32"/>
          <w:szCs w:val="32"/>
        </w:rPr>
        <w:t>，</w:t>
      </w:r>
      <w:r>
        <w:rPr>
          <w:rFonts w:hint="eastAsia" w:ascii="仿宋_GB2312" w:eastAsia="仿宋_GB2312"/>
          <w:b/>
          <w:sz w:val="32"/>
          <w:szCs w:val="32"/>
        </w:rPr>
        <w:t>资金</w:t>
      </w:r>
      <w:r>
        <w:rPr>
          <w:rFonts w:ascii="仿宋_GB2312" w:eastAsia="仿宋_GB2312"/>
          <w:b/>
          <w:sz w:val="32"/>
          <w:szCs w:val="32"/>
        </w:rPr>
        <w:t>的使用标准。</w:t>
      </w:r>
      <w:r>
        <w:rPr>
          <w:rFonts w:hint="eastAsia" w:ascii="仿宋_GB2312" w:eastAsia="仿宋_GB2312"/>
          <w:sz w:val="32"/>
          <w:szCs w:val="32"/>
        </w:rPr>
        <w:t>规定</w:t>
      </w:r>
      <w:r>
        <w:rPr>
          <w:rFonts w:ascii="仿宋_GB2312" w:eastAsia="仿宋_GB2312"/>
          <w:sz w:val="32"/>
          <w:szCs w:val="32"/>
        </w:rPr>
        <w:t>资金在何种情形下可以审批使用的</w:t>
      </w:r>
      <w:r>
        <w:rPr>
          <w:rFonts w:hint="eastAsia" w:ascii="仿宋_GB2312" w:eastAsia="仿宋_GB2312"/>
          <w:sz w:val="32"/>
          <w:szCs w:val="32"/>
        </w:rPr>
        <w:t>数额</w:t>
      </w:r>
      <w:r>
        <w:rPr>
          <w:rFonts w:ascii="仿宋_GB2312" w:eastAsia="仿宋_GB2312"/>
          <w:sz w:val="32"/>
          <w:szCs w:val="32"/>
        </w:rPr>
        <w:t>标准。</w:t>
      </w:r>
    </w:p>
    <w:p>
      <w:pPr>
        <w:autoSpaceDE w:val="0"/>
        <w:spacing w:line="58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第四部分</w:t>
      </w:r>
      <w:r>
        <w:rPr>
          <w:rFonts w:ascii="仿宋_GB2312" w:eastAsia="仿宋_GB2312"/>
          <w:b/>
          <w:sz w:val="32"/>
          <w:szCs w:val="32"/>
        </w:rPr>
        <w:t>，资金管理和审批。</w:t>
      </w:r>
      <w:r>
        <w:rPr>
          <w:rFonts w:hint="eastAsia" w:ascii="仿宋_GB2312" w:eastAsia="仿宋_GB2312"/>
          <w:sz w:val="32"/>
          <w:szCs w:val="32"/>
        </w:rPr>
        <w:t>规定市中院专门</w:t>
      </w:r>
      <w:r>
        <w:rPr>
          <w:rFonts w:ascii="仿宋_GB2312" w:eastAsia="仿宋_GB2312"/>
          <w:sz w:val="32"/>
          <w:szCs w:val="32"/>
        </w:rPr>
        <w:t>成立</w:t>
      </w:r>
      <w:r>
        <w:rPr>
          <w:rFonts w:hint="eastAsia" w:ascii="仿宋_GB2312" w:eastAsia="仿宋_GB2312"/>
          <w:sz w:val="32"/>
          <w:szCs w:val="32"/>
        </w:rPr>
        <w:t>企业破产专项资金</w:t>
      </w:r>
      <w:r>
        <w:rPr>
          <w:rFonts w:ascii="仿宋_GB2312" w:eastAsia="仿宋_GB2312"/>
          <w:sz w:val="32"/>
          <w:szCs w:val="32"/>
        </w:rPr>
        <w:t>审核小组负责对资金的</w:t>
      </w:r>
      <w:r>
        <w:rPr>
          <w:rFonts w:hint="eastAsia" w:ascii="仿宋_GB2312" w:eastAsia="仿宋_GB2312"/>
          <w:sz w:val="32"/>
          <w:szCs w:val="32"/>
        </w:rPr>
        <w:t>管理和</w:t>
      </w:r>
      <w:r>
        <w:rPr>
          <w:rFonts w:ascii="仿宋_GB2312" w:eastAsia="仿宋_GB2312"/>
          <w:sz w:val="32"/>
          <w:szCs w:val="32"/>
        </w:rPr>
        <w:t>审核</w:t>
      </w:r>
      <w:r>
        <w:rPr>
          <w:rFonts w:hint="eastAsia" w:ascii="仿宋_GB2312" w:eastAsia="仿宋_GB2312"/>
          <w:sz w:val="32"/>
          <w:szCs w:val="32"/>
        </w:rPr>
        <w:t>，及</w:t>
      </w:r>
      <w:r>
        <w:rPr>
          <w:rFonts w:ascii="仿宋_GB2312" w:eastAsia="仿宋_GB2312"/>
          <w:sz w:val="32"/>
          <w:szCs w:val="32"/>
        </w:rPr>
        <w:t>资金审批流程</w:t>
      </w:r>
      <w:r>
        <w:rPr>
          <w:rFonts w:hint="eastAsia" w:ascii="仿宋_GB2312" w:eastAsia="仿宋_GB2312"/>
          <w:sz w:val="32"/>
          <w:szCs w:val="32"/>
        </w:rPr>
        <w:t>、审批</w:t>
      </w:r>
      <w:r>
        <w:rPr>
          <w:rFonts w:ascii="仿宋_GB2312" w:eastAsia="仿宋_GB2312"/>
          <w:sz w:val="32"/>
          <w:szCs w:val="32"/>
        </w:rPr>
        <w:t>材料要求、</w:t>
      </w:r>
      <w:r>
        <w:rPr>
          <w:rFonts w:hint="eastAsia" w:ascii="仿宋_GB2312" w:eastAsia="仿宋_GB2312"/>
          <w:sz w:val="32"/>
          <w:szCs w:val="32"/>
        </w:rPr>
        <w:t>资金核销流程</w:t>
      </w:r>
      <w:r>
        <w:rPr>
          <w:rFonts w:ascii="仿宋_GB2312" w:eastAsia="仿宋_GB2312"/>
          <w:sz w:val="32"/>
          <w:szCs w:val="32"/>
        </w:rPr>
        <w:t>和核销</w:t>
      </w:r>
      <w:r>
        <w:rPr>
          <w:rFonts w:hint="eastAsia" w:ascii="仿宋_GB2312" w:eastAsia="仿宋_GB2312"/>
          <w:sz w:val="32"/>
          <w:szCs w:val="32"/>
        </w:rPr>
        <w:t>材料</w:t>
      </w:r>
      <w:r>
        <w:rPr>
          <w:rFonts w:ascii="仿宋_GB2312" w:eastAsia="仿宋_GB2312"/>
          <w:sz w:val="32"/>
          <w:szCs w:val="32"/>
        </w:rPr>
        <w:t>要求</w:t>
      </w:r>
      <w:r>
        <w:rPr>
          <w:rFonts w:hint="eastAsia" w:ascii="仿宋_GB2312" w:eastAsia="仿宋_GB2312"/>
          <w:sz w:val="32"/>
          <w:szCs w:val="32"/>
        </w:rPr>
        <w:t>等。</w:t>
      </w:r>
    </w:p>
    <w:p>
      <w:pPr>
        <w:autoSpaceDE w:val="0"/>
        <w:spacing w:line="58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第五部分</w:t>
      </w:r>
      <w:r>
        <w:rPr>
          <w:rFonts w:ascii="仿宋_GB2312" w:eastAsia="仿宋_GB2312"/>
          <w:b/>
          <w:sz w:val="32"/>
          <w:szCs w:val="32"/>
        </w:rPr>
        <w:t>，资金使用监督和法律责任。</w:t>
      </w:r>
      <w:r>
        <w:rPr>
          <w:rFonts w:ascii="仿宋_GB2312" w:eastAsia="仿宋_GB2312"/>
          <w:sz w:val="32"/>
          <w:szCs w:val="32"/>
        </w:rPr>
        <w:t>规定</w:t>
      </w:r>
      <w:r>
        <w:rPr>
          <w:rFonts w:hint="eastAsia" w:ascii="仿宋_GB2312" w:eastAsia="仿宋_GB2312"/>
          <w:sz w:val="32"/>
          <w:szCs w:val="32"/>
        </w:rPr>
        <w:t>资金</w:t>
      </w:r>
      <w:r>
        <w:rPr>
          <w:rFonts w:ascii="仿宋_GB2312" w:eastAsia="仿宋_GB2312"/>
          <w:sz w:val="32"/>
          <w:szCs w:val="32"/>
        </w:rPr>
        <w:t>的监管应接受财政部</w:t>
      </w:r>
      <w:r>
        <w:rPr>
          <w:rFonts w:hint="eastAsia" w:ascii="仿宋_GB2312" w:eastAsia="仿宋_GB2312"/>
          <w:sz w:val="32"/>
          <w:szCs w:val="32"/>
          <w:lang w:eastAsia="zh-CN"/>
        </w:rPr>
        <w:t>门</w:t>
      </w:r>
      <w:r>
        <w:rPr>
          <w:rFonts w:ascii="仿宋_GB2312" w:eastAsia="仿宋_GB2312"/>
          <w:sz w:val="32"/>
          <w:szCs w:val="32"/>
        </w:rPr>
        <w:t>监督检查和审计部门的审计，</w:t>
      </w:r>
      <w:r>
        <w:rPr>
          <w:rFonts w:hint="eastAsia" w:ascii="仿宋_GB2312" w:eastAsia="仿宋_GB2312"/>
          <w:sz w:val="32"/>
          <w:szCs w:val="32"/>
        </w:rPr>
        <w:t>使用</w:t>
      </w:r>
      <w:r>
        <w:rPr>
          <w:rFonts w:ascii="仿宋_GB2312" w:eastAsia="仿宋_GB2312"/>
          <w:sz w:val="32"/>
          <w:szCs w:val="32"/>
        </w:rPr>
        <w:t>情况</w:t>
      </w:r>
      <w:r>
        <w:rPr>
          <w:rFonts w:hint="eastAsia" w:ascii="仿宋_GB2312" w:eastAsia="仿宋_GB2312"/>
          <w:sz w:val="32"/>
          <w:szCs w:val="32"/>
        </w:rPr>
        <w:t>应向社会</w:t>
      </w:r>
      <w:r>
        <w:rPr>
          <w:rFonts w:ascii="仿宋_GB2312" w:eastAsia="仿宋_GB2312"/>
          <w:sz w:val="32"/>
          <w:szCs w:val="32"/>
        </w:rPr>
        <w:t>公开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接受各方监督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及</w:t>
      </w:r>
      <w:r>
        <w:rPr>
          <w:rFonts w:hint="eastAsia" w:ascii="仿宋_GB2312" w:eastAsia="仿宋_GB2312"/>
          <w:sz w:val="32"/>
          <w:szCs w:val="32"/>
        </w:rPr>
        <w:t>出现违纪违规情形</w:t>
      </w:r>
      <w:r>
        <w:rPr>
          <w:rFonts w:ascii="仿宋_GB2312" w:eastAsia="仿宋_GB2312"/>
          <w:sz w:val="32"/>
          <w:szCs w:val="32"/>
        </w:rPr>
        <w:t>应当承担的相应法律责任。</w:t>
      </w:r>
    </w:p>
    <w:p>
      <w:pPr>
        <w:autoSpaceDE w:val="0"/>
        <w:spacing w:line="58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第六部分</w:t>
      </w:r>
      <w:r>
        <w:rPr>
          <w:rFonts w:ascii="仿宋_GB2312" w:eastAsia="仿宋_GB2312"/>
          <w:b/>
          <w:sz w:val="32"/>
          <w:szCs w:val="32"/>
        </w:rPr>
        <w:t>，附表两份。</w:t>
      </w:r>
      <w:r>
        <w:rPr>
          <w:rFonts w:ascii="仿宋_GB2312" w:eastAsia="仿宋_GB2312"/>
          <w:sz w:val="32"/>
          <w:szCs w:val="32"/>
        </w:rPr>
        <w:t>破产专项资金使用审批表和破产专项资金</w:t>
      </w:r>
      <w:r>
        <w:rPr>
          <w:rFonts w:hint="eastAsia" w:ascii="仿宋_GB2312" w:eastAsia="仿宋_GB2312"/>
          <w:sz w:val="32"/>
          <w:szCs w:val="32"/>
        </w:rPr>
        <w:t>核销</w:t>
      </w:r>
      <w:r>
        <w:rPr>
          <w:rFonts w:ascii="仿宋_GB2312" w:eastAsia="仿宋_GB2312"/>
          <w:sz w:val="32"/>
          <w:szCs w:val="32"/>
        </w:rPr>
        <w:t>审批表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3"/>
        <w:shd w:val="clear" w:color="auto" w:fill="FFFFFF"/>
        <w:spacing w:before="0" w:beforeAutospacing="0" w:after="0" w:afterAutospacing="0" w:line="640" w:lineRule="atLeast"/>
        <w:ind w:firstLine="480"/>
        <w:jc w:val="both"/>
        <w:rPr>
          <w:rFonts w:hint="default" w:ascii="仿宋" w:hAnsi="仿宋" w:eastAsia="仿宋"/>
          <w:color w:val="22222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850" w:h="16783"/>
      <w:pgMar w:top="1440" w:right="1797" w:bottom="851" w:left="179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— 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— </w:t>
                    </w: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1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sz w:val="22"/>
                        <w:szCs w:val="2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1MjRhYjgyNTkzZmFmYmM2NjYwZjhjYmZkMmRlOTQifQ=="/>
  </w:docVars>
  <w:rsids>
    <w:rsidRoot w:val="40B473D8"/>
    <w:rsid w:val="1F0F2AF3"/>
    <w:rsid w:val="40B4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2023-10-25T09:11:00Z</dcterms:created>
  <dc:creator>WPS_1465178398</dc:creator>
  <cp:lastModifiedBy>WPS_1465178398</cp:lastModifiedBy>
  <dcterms:modified xsi:type="dcterms:W3CDTF">2023-10-25T09:11:52Z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F59791709ACD46F1AEAFB356D277EF8A_11</vt:lpwstr>
  </property>
</Properties>
</file>