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widowControl/>
        <w:spacing w:line="1200" w:lineRule="exact"/>
        <w:jc w:val="center"/>
        <w:rPr>
          <w:rFonts w:hAnsi="宋体" w:asciiTheme="minorEastAsia" w:eastAsiaTheme="minorEastAsia"/>
          <w:color w:val="000000" w:themeColor="text1"/>
          <w:sz w:val="96"/>
          <w:szCs w:val="96"/>
        </w:rPr>
      </w:pPr>
    </w:p>
    <w:p>
      <w:pPr>
        <w:widowControl/>
        <w:spacing w:line="1200" w:lineRule="exact"/>
        <w:jc w:val="center"/>
        <w:rPr>
          <w:rFonts w:hAnsi="宋体" w:asciiTheme="minorEastAsia" w:eastAsiaTheme="minorEastAsia"/>
          <w:color w:val="000000" w:themeColor="text1"/>
          <w:sz w:val="96"/>
          <w:szCs w:val="96"/>
        </w:rPr>
      </w:pPr>
    </w:p>
    <w:p>
      <w:pPr>
        <w:widowControl/>
        <w:spacing w:line="1200" w:lineRule="exact"/>
        <w:jc w:val="center"/>
        <w:rPr>
          <w:color w:val="000000" w:themeColor="text1"/>
          <w:sz w:val="96"/>
          <w:szCs w:val="96"/>
        </w:rPr>
      </w:pPr>
      <w:r>
        <w:rPr>
          <w:sz w:val="84"/>
          <w:szCs w:val="84"/>
        </w:rPr>
        <w:t>201</w:t>
      </w:r>
      <w:r>
        <w:rPr>
          <w:rFonts w:hint="eastAsia"/>
          <w:sz w:val="84"/>
          <w:szCs w:val="84"/>
        </w:rPr>
        <w:t>8</w:t>
      </w:r>
      <w:r>
        <w:rPr>
          <w:sz w:val="84"/>
          <w:szCs w:val="84"/>
        </w:rPr>
        <w:t>年度部门决算公开</w:t>
      </w:r>
    </w:p>
    <w:p>
      <w:pPr>
        <w:widowControl/>
        <w:jc w:val="center"/>
        <w:rPr>
          <w:rFonts w:hAnsi="宋体" w:asciiTheme="minorEastAsia" w:eastAsiaTheme="minorEastAsia"/>
          <w:color w:val="002060"/>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hint="eastAsia" w:ascii="楷体" w:hAnsi="楷体" w:eastAsia="楷体" w:cs="楷体"/>
          <w:b/>
          <w:sz w:val="44"/>
          <w:szCs w:val="44"/>
          <w:lang w:val="en-US" w:eastAsia="zh-CN"/>
        </w:rPr>
        <w:sectPr>
          <w:pgSz w:w="11906" w:h="16838"/>
          <w:pgMar w:top="2098" w:right="1474" w:bottom="1985" w:left="1588" w:header="851" w:footer="992" w:gutter="0"/>
          <w:cols w:space="425" w:num="1"/>
          <w:docGrid w:type="lines" w:linePitch="312" w:charSpace="0"/>
        </w:sectPr>
      </w:pPr>
      <w:r>
        <w:rPr>
          <w:rFonts w:hint="eastAsia" w:ascii="楷体" w:hAnsi="楷体" w:eastAsia="楷体" w:cs="楷体"/>
          <w:b/>
          <w:sz w:val="44"/>
          <w:szCs w:val="44"/>
          <w:lang w:val="en-US" w:eastAsia="zh-CN"/>
        </w:rPr>
        <w:t>大厂回族自治县人民法院</w:t>
      </w:r>
    </w:p>
    <w:p>
      <w:pPr>
        <w:spacing w:beforeLines="200" w:after="0" w:line="1000" w:lineRule="exact"/>
        <w:jc w:val="center"/>
        <w:rPr>
          <w:rFonts w:ascii="黑体" w:eastAsia="黑体"/>
          <w:sz w:val="48"/>
          <w:szCs w:val="48"/>
        </w:rPr>
      </w:pPr>
      <w:r>
        <w:rPr>
          <w:rFonts w:hint="eastAsia" w:ascii="黑体" w:eastAsia="黑体"/>
          <w:sz w:val="48"/>
          <w:szCs w:val="48"/>
        </w:rPr>
        <w:t>目    录</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仿宋_GB2312"/>
          <w:sz w:val="24"/>
          <w:szCs w:val="32"/>
        </w:rPr>
      </w:pPr>
      <w:r>
        <w:rPr>
          <w:rFonts w:eastAsia="黑体"/>
          <w:sz w:val="32"/>
          <w:szCs w:val="32"/>
        </w:rPr>
        <w:t>第一部分</w:t>
      </w:r>
      <w:r>
        <w:rPr>
          <w:rFonts w:hint="eastAsia" w:eastAsia="黑体"/>
          <w:sz w:val="32"/>
          <w:szCs w:val="32"/>
          <w:lang w:val="en-US" w:eastAsia="zh-CN"/>
        </w:rPr>
        <w:t xml:space="preserve"> </w:t>
      </w:r>
      <w:r>
        <w:rPr>
          <w:rFonts w:eastAsia="黑体"/>
          <w:sz w:val="32"/>
          <w:szCs w:val="32"/>
        </w:rPr>
        <w:t>部门概况</w:t>
      </w:r>
    </w:p>
    <w:p>
      <w:pPr>
        <w:widowControl/>
        <w:spacing w:line="580" w:lineRule="exact"/>
        <w:ind w:firstLine="1273" w:firstLineChars="398"/>
        <w:rPr>
          <w:rFonts w:eastAsia="仿宋_GB2312"/>
          <w:sz w:val="32"/>
          <w:szCs w:val="32"/>
        </w:rPr>
      </w:pPr>
      <w:r>
        <w:rPr>
          <w:rFonts w:eastAsia="仿宋_GB2312"/>
          <w:sz w:val="32"/>
          <w:szCs w:val="32"/>
        </w:rPr>
        <w:t>一、部门</w:t>
      </w:r>
      <w:r>
        <w:rPr>
          <w:rFonts w:hint="eastAsia" w:eastAsia="仿宋_GB2312"/>
          <w:sz w:val="32"/>
          <w:szCs w:val="32"/>
        </w:rPr>
        <w:t>职责</w:t>
      </w:r>
    </w:p>
    <w:p>
      <w:pPr>
        <w:widowControl/>
        <w:spacing w:line="580" w:lineRule="exact"/>
        <w:ind w:firstLine="1273" w:firstLineChars="398"/>
        <w:rPr>
          <w:rFonts w:eastAsia="仿宋_GB2312"/>
          <w:sz w:val="32"/>
          <w:szCs w:val="32"/>
        </w:rPr>
      </w:pPr>
      <w:r>
        <w:rPr>
          <w:rFonts w:eastAsia="仿宋_GB2312"/>
          <w:sz w:val="32"/>
          <w:szCs w:val="32"/>
        </w:rPr>
        <w:t>二、</w:t>
      </w:r>
      <w:r>
        <w:rPr>
          <w:rFonts w:hint="eastAsia" w:eastAsia="仿宋_GB2312"/>
          <w:sz w:val="32"/>
          <w:szCs w:val="32"/>
        </w:rPr>
        <w:t>机构设置</w:t>
      </w: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r>
        <w:rPr>
          <w:rFonts w:eastAsia="黑体"/>
          <w:sz w:val="32"/>
          <w:szCs w:val="32"/>
        </w:rPr>
        <w:t xml:space="preserve">第三部分  </w:t>
      </w:r>
      <w:r>
        <w:rPr>
          <w:rFonts w:hint="eastAsia" w:eastAsia="黑体"/>
          <w:sz w:val="32"/>
          <w:szCs w:val="32"/>
          <w:lang w:eastAsia="zh-CN"/>
        </w:rPr>
        <w:t>大厂回族自治县人民法院</w:t>
      </w:r>
      <w:r>
        <w:rPr>
          <w:rFonts w:eastAsia="黑体"/>
          <w:sz w:val="32"/>
          <w:szCs w:val="32"/>
        </w:rPr>
        <w:t>201</w:t>
      </w:r>
      <w:r>
        <w:rPr>
          <w:rFonts w:hint="eastAsia" w:eastAsia="黑体"/>
          <w:sz w:val="32"/>
          <w:szCs w:val="32"/>
        </w:rPr>
        <w:t>8</w:t>
      </w:r>
      <w:r>
        <w:rPr>
          <w:rFonts w:eastAsia="黑体"/>
          <w:sz w:val="32"/>
          <w:szCs w:val="32"/>
        </w:rPr>
        <w:t>年部门决算情况说明</w:t>
      </w:r>
    </w:p>
    <w:p>
      <w:pPr>
        <w:widowControl/>
        <w:spacing w:line="580" w:lineRule="exact"/>
        <w:ind w:left="640" w:firstLine="640" w:firstLineChars="200"/>
        <w:rPr>
          <w:rFonts w:eastAsia="仿宋_GB2312"/>
          <w:sz w:val="32"/>
          <w:szCs w:val="32"/>
        </w:rPr>
      </w:pPr>
      <w:r>
        <w:rPr>
          <w:rFonts w:eastAsia="仿宋_GB2312"/>
          <w:sz w:val="32"/>
          <w:szCs w:val="32"/>
        </w:rPr>
        <w:t>一、收入支出决算总体情况说明</w:t>
      </w:r>
    </w:p>
    <w:p>
      <w:pPr>
        <w:widowControl/>
        <w:spacing w:line="580" w:lineRule="exact"/>
        <w:ind w:left="640" w:firstLine="640" w:firstLineChars="200"/>
        <w:rPr>
          <w:rFonts w:eastAsia="仿宋_GB2312"/>
          <w:sz w:val="32"/>
          <w:szCs w:val="32"/>
        </w:rPr>
      </w:pPr>
      <w:r>
        <w:rPr>
          <w:rFonts w:eastAsia="仿宋_GB2312"/>
          <w:sz w:val="32"/>
          <w:szCs w:val="32"/>
        </w:rPr>
        <w:t>二、收入决算情况说明</w:t>
      </w:r>
    </w:p>
    <w:p>
      <w:pPr>
        <w:widowControl/>
        <w:spacing w:line="580" w:lineRule="exact"/>
        <w:ind w:left="640" w:firstLine="640" w:firstLineChars="200"/>
        <w:rPr>
          <w:rFonts w:eastAsia="仿宋_GB2312"/>
          <w:sz w:val="32"/>
          <w:szCs w:val="32"/>
        </w:rPr>
      </w:pPr>
      <w:r>
        <w:rPr>
          <w:rFonts w:eastAsia="仿宋_GB2312"/>
          <w:sz w:val="32"/>
          <w:szCs w:val="32"/>
        </w:rPr>
        <w:t>三、支出决算情况说明</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五、一般公共预算财政拨款</w:t>
      </w:r>
      <w:r>
        <w:rPr>
          <w:rFonts w:eastAsia="仿宋_GB2312"/>
          <w:sz w:val="32"/>
          <w:szCs w:val="32"/>
        </w:rPr>
        <w:t>“三公”经费支出决算情况说明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六</w:t>
      </w:r>
      <w:r>
        <w:rPr>
          <w:rFonts w:eastAsia="仿宋_GB2312"/>
          <w:sz w:val="32"/>
          <w:szCs w:val="32"/>
        </w:rPr>
        <w:t>、预算绩效情况说明</w:t>
      </w:r>
    </w:p>
    <w:p>
      <w:pPr>
        <w:widowControl/>
        <w:spacing w:line="580" w:lineRule="exact"/>
        <w:ind w:left="640" w:firstLine="640" w:firstLineChars="200"/>
        <w:rPr>
          <w:rFonts w:eastAsia="仿宋_GB2312"/>
          <w:sz w:val="32"/>
          <w:szCs w:val="32"/>
        </w:rPr>
      </w:pPr>
      <w:r>
        <w:rPr>
          <w:rFonts w:hint="eastAsia" w:eastAsia="仿宋_GB2312"/>
          <w:sz w:val="32"/>
          <w:szCs w:val="32"/>
        </w:rPr>
        <w:t>七</w:t>
      </w:r>
      <w:r>
        <w:rPr>
          <w:rFonts w:eastAsia="仿宋_GB2312"/>
          <w:sz w:val="32"/>
          <w:szCs w:val="32"/>
        </w:rPr>
        <w:t>、其他重要事项的说明</w:t>
      </w:r>
    </w:p>
    <w:p>
      <w:pPr>
        <w:widowControl/>
        <w:spacing w:line="580" w:lineRule="exact"/>
        <w:ind w:firstLine="640" w:firstLineChars="200"/>
        <w:rPr>
          <w:rFonts w:eastAsia="黑体"/>
          <w:sz w:val="32"/>
          <w:szCs w:val="32"/>
        </w:rPr>
      </w:pPr>
      <w:r>
        <w:rPr>
          <w:rFonts w:eastAsia="黑体"/>
          <w:sz w:val="32"/>
          <w:szCs w:val="32"/>
        </w:rPr>
        <w:t>第四部分名词解释</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br w:type="page"/>
      </w:r>
    </w:p>
    <w:p/>
    <w:p/>
    <w:p/>
    <w:p/>
    <w:p/>
    <w:p/>
    <w:p>
      <w:pPr>
        <w:widowControl/>
        <w:jc w:val="center"/>
        <w:rPr>
          <w:color w:val="000000" w:themeColor="text1"/>
          <w:sz w:val="96"/>
          <w:szCs w:val="96"/>
        </w:rPr>
      </w:pPr>
      <w:r>
        <w:rPr>
          <w:rFonts w:hint="eastAsia" w:hAnsi="宋体" w:asciiTheme="minorEastAsia" w:eastAsiaTheme="minorEastAsia"/>
          <w:color w:val="000000" w:themeColor="text1"/>
          <w:sz w:val="96"/>
          <w:szCs w:val="96"/>
        </w:rPr>
        <w:t>第一部分  部门概况</w:t>
      </w:r>
    </w:p>
    <w:p/>
    <w:p/>
    <w:p/>
    <w:p/>
    <w:p/>
    <w:p/>
    <w:p/>
    <w:p/>
    <w:p>
      <w:pPr>
        <w:pStyle w:val="2"/>
        <w:spacing w:before="0" w:after="0" w:line="600" w:lineRule="exact"/>
        <w:jc w:val="left"/>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一、部门职责</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大厂回族自治县人民法院是国家的审判机关，在县委领导下，依法独立行使审判权，对县人民代表大会及其常务委员会负责并报告工作。主要职责是：</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（1）审判法律规定由基层人民法院管辖的刑事、民事、行政等一审案件。</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（2）审判上级人民法院指定、同级人民法院移送的刑事、民事、行政等一审案件。</w:t>
      </w:r>
    </w:p>
    <w:p>
      <w:pPr>
        <w:autoSpaceDE w:val="0"/>
        <w:autoSpaceDN w:val="0"/>
        <w:adjustRightInd w:val="0"/>
        <w:ind w:firstLine="640" w:firstLineChars="200"/>
        <w:jc w:val="left"/>
        <w:rPr>
          <w:rFonts w:hint="eastAsia" w:ascii="仿宋" w:hAnsi="仿宋" w:eastAsia="仿宋" w:cs="宋体"/>
          <w:sz w:val="32"/>
          <w:szCs w:val="32"/>
        </w:rPr>
      </w:pPr>
      <w:r>
        <w:rPr>
          <w:rFonts w:hint="eastAsia" w:ascii="仿宋" w:hAnsi="仿宋" w:eastAsia="仿宋" w:cs="宋体"/>
          <w:sz w:val="32"/>
          <w:szCs w:val="32"/>
        </w:rPr>
        <w:t>（3）审查和受理各类告诉申诉案件，审判各类再审案件，处理来信来访。</w:t>
      </w:r>
    </w:p>
    <w:p>
      <w:pPr>
        <w:autoSpaceDE w:val="0"/>
        <w:autoSpaceDN w:val="0"/>
        <w:adjustRightInd w:val="0"/>
        <w:ind w:firstLine="640" w:firstLineChars="200"/>
        <w:jc w:val="left"/>
        <w:rPr>
          <w:rFonts w:hint="eastAsia" w:ascii="仿宋" w:hAnsi="仿宋" w:eastAsia="仿宋" w:cs="宋体"/>
          <w:sz w:val="32"/>
          <w:szCs w:val="32"/>
        </w:rPr>
      </w:pPr>
      <w:r>
        <w:rPr>
          <w:rFonts w:hint="eastAsia" w:ascii="仿宋" w:hAnsi="仿宋" w:eastAsia="仿宋" w:cs="宋体"/>
          <w:sz w:val="32"/>
          <w:szCs w:val="32"/>
        </w:rPr>
        <w:t>（4）依法办理发生法律效力的民事、行政案件判决和裁定执行事项及刑事案件判决和裁定中关于财产部分的执行事项；办理法律规定由基层人民法院执行的其他法律文书的执行事项。</w:t>
      </w:r>
    </w:p>
    <w:p>
      <w:pPr>
        <w:autoSpaceDE w:val="0"/>
        <w:autoSpaceDN w:val="0"/>
        <w:adjustRightInd w:val="0"/>
        <w:ind w:firstLine="640" w:firstLineChars="200"/>
        <w:jc w:val="left"/>
        <w:rPr>
          <w:rFonts w:hint="eastAsia" w:ascii="仿宋" w:hAnsi="仿宋" w:eastAsia="仿宋" w:cs="宋体"/>
          <w:sz w:val="32"/>
          <w:szCs w:val="32"/>
        </w:rPr>
      </w:pPr>
      <w:r>
        <w:rPr>
          <w:rFonts w:hint="eastAsia" w:ascii="仿宋" w:hAnsi="仿宋" w:eastAsia="仿宋" w:cs="宋体"/>
          <w:sz w:val="32"/>
          <w:szCs w:val="32"/>
        </w:rPr>
        <w:t>（5）负责本院审判工作的调查研究，总结审判工作经验。</w:t>
      </w:r>
    </w:p>
    <w:p>
      <w:pPr>
        <w:autoSpaceDE w:val="0"/>
        <w:autoSpaceDN w:val="0"/>
        <w:adjustRightInd w:val="0"/>
        <w:ind w:firstLine="640" w:firstLineChars="200"/>
        <w:jc w:val="left"/>
        <w:rPr>
          <w:rFonts w:hint="eastAsia" w:ascii="仿宋" w:hAnsi="仿宋" w:eastAsia="仿宋" w:cs="宋体"/>
          <w:sz w:val="32"/>
          <w:szCs w:val="32"/>
        </w:rPr>
      </w:pPr>
      <w:r>
        <w:rPr>
          <w:rFonts w:hint="eastAsia" w:ascii="仿宋" w:hAnsi="仿宋" w:eastAsia="仿宋" w:cs="宋体"/>
          <w:sz w:val="32"/>
          <w:szCs w:val="32"/>
        </w:rPr>
        <w:t>（6）负责本院干警思想政治教育和业务培训工作；按照权限管理法官、执行员、书记员、司法警察、司法鉴定人员及司法行政人员；协同上级法院及县主管部门管理全院的机构设置、人员编制工作。</w:t>
      </w:r>
    </w:p>
    <w:p>
      <w:pPr>
        <w:autoSpaceDE w:val="0"/>
        <w:autoSpaceDN w:val="0"/>
        <w:adjustRightInd w:val="0"/>
        <w:ind w:firstLine="640" w:firstLineChars="200"/>
        <w:jc w:val="left"/>
        <w:rPr>
          <w:rFonts w:hint="eastAsia" w:ascii="仿宋" w:hAnsi="仿宋" w:eastAsia="仿宋" w:cs="宋体"/>
          <w:sz w:val="32"/>
          <w:szCs w:val="32"/>
        </w:rPr>
      </w:pPr>
      <w:r>
        <w:rPr>
          <w:rFonts w:hint="eastAsia" w:ascii="仿宋" w:hAnsi="仿宋" w:eastAsia="仿宋" w:cs="宋体"/>
          <w:sz w:val="32"/>
          <w:szCs w:val="32"/>
        </w:rPr>
        <w:t>（7）负责本院的法医工作。</w:t>
      </w:r>
    </w:p>
    <w:p>
      <w:pPr>
        <w:autoSpaceDE w:val="0"/>
        <w:autoSpaceDN w:val="0"/>
        <w:adjustRightInd w:val="0"/>
        <w:ind w:firstLine="640" w:firstLineChars="200"/>
        <w:jc w:val="left"/>
        <w:rPr>
          <w:rFonts w:hint="eastAsia" w:ascii="仿宋" w:hAnsi="仿宋" w:eastAsia="仿宋" w:cs="宋体"/>
          <w:sz w:val="32"/>
          <w:szCs w:val="32"/>
        </w:rPr>
      </w:pPr>
      <w:r>
        <w:rPr>
          <w:rFonts w:hint="eastAsia" w:ascii="仿宋" w:hAnsi="仿宋" w:eastAsia="仿宋" w:cs="宋体"/>
          <w:sz w:val="32"/>
          <w:szCs w:val="32"/>
        </w:rPr>
        <w:t>（8）负责本院的监察工作。</w:t>
      </w:r>
    </w:p>
    <w:p>
      <w:pPr>
        <w:autoSpaceDE w:val="0"/>
        <w:autoSpaceDN w:val="0"/>
        <w:adjustRightInd w:val="0"/>
        <w:ind w:firstLine="640" w:firstLineChars="200"/>
        <w:jc w:val="left"/>
        <w:rPr>
          <w:rFonts w:hint="eastAsia" w:ascii="仿宋" w:hAnsi="仿宋" w:eastAsia="仿宋" w:cs="宋体"/>
          <w:sz w:val="32"/>
          <w:szCs w:val="32"/>
        </w:rPr>
      </w:pPr>
      <w:r>
        <w:rPr>
          <w:rFonts w:hint="eastAsia" w:ascii="仿宋" w:hAnsi="仿宋" w:eastAsia="仿宋" w:cs="宋体"/>
          <w:sz w:val="32"/>
          <w:szCs w:val="32"/>
        </w:rPr>
        <w:t>（9）管理本院的有关经费及物资装备。</w:t>
      </w:r>
    </w:p>
    <w:p>
      <w:pPr>
        <w:autoSpaceDE w:val="0"/>
        <w:autoSpaceDN w:val="0"/>
        <w:adjustRightInd w:val="0"/>
        <w:ind w:firstLine="640" w:firstLineChars="200"/>
        <w:jc w:val="left"/>
        <w:rPr>
          <w:rFonts w:hint="eastAsia" w:ascii="仿宋" w:hAnsi="仿宋" w:eastAsia="仿宋" w:cs="宋体"/>
          <w:sz w:val="32"/>
          <w:szCs w:val="32"/>
        </w:rPr>
      </w:pPr>
      <w:r>
        <w:rPr>
          <w:rFonts w:hint="eastAsia" w:ascii="仿宋" w:hAnsi="仿宋" w:eastAsia="仿宋" w:cs="宋体"/>
          <w:sz w:val="32"/>
          <w:szCs w:val="32"/>
        </w:rPr>
        <w:t>（10）在审判工作中宣传法制；教育公民忠于社会主义祖国，自觉遵守宪法、法律和社会公德。</w:t>
      </w:r>
    </w:p>
    <w:p>
      <w:pPr>
        <w:autoSpaceDE w:val="0"/>
        <w:autoSpaceDN w:val="0"/>
        <w:adjustRightInd w:val="0"/>
        <w:ind w:firstLine="640" w:firstLineChars="200"/>
        <w:jc w:val="left"/>
        <w:rPr>
          <w:rFonts w:hint="eastAsia" w:ascii="仿宋" w:hAnsi="仿宋" w:eastAsia="仿宋" w:cs="宋体"/>
          <w:sz w:val="32"/>
          <w:szCs w:val="32"/>
        </w:rPr>
      </w:pPr>
      <w:r>
        <w:rPr>
          <w:rFonts w:hint="eastAsia" w:ascii="仿宋" w:hAnsi="仿宋" w:eastAsia="仿宋" w:cs="宋体"/>
          <w:sz w:val="32"/>
          <w:szCs w:val="32"/>
        </w:rPr>
        <w:t>（11）负责本院的党群工作。</w:t>
      </w:r>
    </w:p>
    <w:p>
      <w:pPr>
        <w:autoSpaceDE w:val="0"/>
        <w:autoSpaceDN w:val="0"/>
        <w:adjustRightInd w:val="0"/>
        <w:ind w:firstLine="640" w:firstLineChars="200"/>
        <w:jc w:val="left"/>
        <w:rPr>
          <w:rFonts w:hint="eastAsia" w:ascii="仿宋" w:hAnsi="仿宋" w:eastAsia="仿宋" w:cs="宋体"/>
          <w:sz w:val="32"/>
          <w:szCs w:val="32"/>
        </w:rPr>
      </w:pPr>
      <w:r>
        <w:rPr>
          <w:rFonts w:hint="eastAsia" w:ascii="仿宋" w:hAnsi="仿宋" w:eastAsia="仿宋" w:cs="宋体"/>
          <w:sz w:val="32"/>
          <w:szCs w:val="32"/>
        </w:rPr>
        <w:t>（12）完成上级法院和县委、县人大交办的其他工作。</w:t>
      </w:r>
    </w:p>
    <w:p>
      <w:pPr>
        <w:autoSpaceDE w:val="0"/>
        <w:autoSpaceDN w:val="0"/>
        <w:adjustRightInd w:val="0"/>
        <w:ind w:firstLine="640" w:firstLineChars="200"/>
        <w:jc w:val="left"/>
        <w:rPr>
          <w:rFonts w:hint="eastAsia" w:ascii="仿宋" w:hAnsi="仿宋" w:eastAsia="仿宋" w:cs="宋体"/>
          <w:sz w:val="32"/>
          <w:szCs w:val="32"/>
        </w:rPr>
      </w:pPr>
      <w:r>
        <w:rPr>
          <w:rFonts w:hint="eastAsia" w:ascii="仿宋" w:hAnsi="仿宋" w:eastAsia="仿宋" w:cs="宋体"/>
          <w:sz w:val="32"/>
          <w:szCs w:val="32"/>
        </w:rPr>
        <w:t>（13）承办其他应由基层人民法院负责的工作。</w:t>
      </w:r>
    </w:p>
    <w:p>
      <w:pPr>
        <w:pStyle w:val="2"/>
        <w:spacing w:before="0" w:after="0" w:line="600" w:lineRule="exact"/>
        <w:jc w:val="left"/>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二、机构设置</w:t>
      </w:r>
    </w:p>
    <w:p>
      <w:pPr>
        <w:spacing w:after="0" w:line="560" w:lineRule="exact"/>
        <w:rPr>
          <w:rFonts w:ascii="仿宋_GB2312" w:eastAsia="仿宋_GB2312" w:cs="ArialUnicodeMS" w:hAnsiTheme="minorHAnsi"/>
          <w:kern w:val="0"/>
          <w:sz w:val="32"/>
          <w:szCs w:val="32"/>
        </w:rPr>
      </w:pPr>
      <w:r>
        <w:rPr>
          <w:rFonts w:hint="eastAsia" w:ascii="仿宋_GB2312" w:eastAsia="仿宋_GB2312" w:cs="ArialUnicodeMS" w:hAnsiTheme="minorHAnsi"/>
          <w:kern w:val="0"/>
          <w:sz w:val="32"/>
          <w:szCs w:val="32"/>
        </w:rPr>
        <w:t>从决算编报单位构成看，纳入2018 年度本部门决算汇编范围的独立核算单位（以下简称“单位”）共</w:t>
      </w:r>
      <w:r>
        <w:rPr>
          <w:rFonts w:hint="eastAsia" w:ascii="仿宋_GB2312" w:eastAsia="仿宋_GB2312" w:cs="ArialUnicodeMS" w:hAnsiTheme="minorHAnsi"/>
          <w:kern w:val="0"/>
          <w:sz w:val="32"/>
          <w:szCs w:val="32"/>
          <w:lang w:val="en-US" w:eastAsia="zh-CN"/>
        </w:rPr>
        <w:t>1</w:t>
      </w:r>
      <w:r>
        <w:rPr>
          <w:rFonts w:hint="eastAsia" w:ascii="仿宋_GB2312" w:eastAsia="仿宋_GB2312" w:cs="ArialUnicodeMS" w:hAnsiTheme="minorHAnsi"/>
          <w:kern w:val="0"/>
          <w:sz w:val="32"/>
          <w:szCs w:val="32"/>
        </w:rPr>
        <w:t>个，具体情况如下：</w:t>
      </w:r>
    </w:p>
    <w:tbl>
      <w:tblPr>
        <w:tblStyle w:val="13"/>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1" w:hRule="atLeast"/>
          <w:jc w:val="center"/>
        </w:trPr>
        <w:tc>
          <w:tcPr>
            <w:tcW w:w="9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序号</w:t>
            </w:r>
          </w:p>
        </w:tc>
        <w:tc>
          <w:tcPr>
            <w:tcW w:w="34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单位名称</w:t>
            </w:r>
          </w:p>
        </w:tc>
        <w:tc>
          <w:tcPr>
            <w:tcW w:w="244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单位基本性质</w:t>
            </w:r>
          </w:p>
        </w:tc>
        <w:tc>
          <w:tcPr>
            <w:tcW w:w="266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1</w:t>
            </w:r>
          </w:p>
        </w:tc>
        <w:tc>
          <w:tcPr>
            <w:tcW w:w="3485" w:type="dxa"/>
          </w:tcPr>
          <w:p>
            <w:pPr>
              <w:spacing w:after="0" w:line="560" w:lineRule="exact"/>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lang w:eastAsia="zh-CN"/>
              </w:rPr>
              <w:t>大厂回族自治县人民法院</w:t>
            </w:r>
            <w:r>
              <w:rPr>
                <w:rFonts w:hint="eastAsia" w:ascii="仿宋_GB2312" w:eastAsia="仿宋_GB2312" w:cs="ArialUnicodeMS" w:hAnsiTheme="minorHAnsi"/>
                <w:kern w:val="0"/>
                <w:sz w:val="28"/>
                <w:szCs w:val="28"/>
              </w:rPr>
              <w:t>(本级)</w:t>
            </w:r>
          </w:p>
        </w:tc>
        <w:tc>
          <w:tcPr>
            <w:tcW w:w="2445" w:type="dxa"/>
          </w:tcPr>
          <w:p>
            <w:pPr>
              <w:spacing w:after="0" w:line="560" w:lineRule="exact"/>
              <w:jc w:val="center"/>
              <w:rPr>
                <w:rFonts w:hint="eastAsia" w:ascii="仿宋_GB2312" w:eastAsia="仿宋_GB2312" w:cs="ArialUnicodeMS" w:hAnsiTheme="minorHAnsi"/>
                <w:kern w:val="0"/>
                <w:sz w:val="28"/>
                <w:szCs w:val="28"/>
                <w:lang w:eastAsia="zh-CN"/>
              </w:rPr>
            </w:pPr>
            <w:r>
              <w:rPr>
                <w:rFonts w:hint="eastAsia" w:ascii="仿宋_GB2312" w:eastAsia="仿宋_GB2312" w:cs="ArialUnicodeMS" w:hAnsiTheme="minorHAnsi"/>
                <w:kern w:val="0"/>
                <w:sz w:val="28"/>
                <w:szCs w:val="28"/>
                <w:lang w:eastAsia="zh-CN"/>
              </w:rPr>
              <w:t>行政单位</w:t>
            </w:r>
          </w:p>
        </w:tc>
        <w:tc>
          <w:tcPr>
            <w:tcW w:w="2665" w:type="dxa"/>
          </w:tcPr>
          <w:p>
            <w:pPr>
              <w:spacing w:after="0" w:line="560" w:lineRule="exact"/>
              <w:jc w:val="center"/>
              <w:rPr>
                <w:rFonts w:hint="eastAsia" w:ascii="仿宋_GB2312" w:eastAsia="仿宋_GB2312" w:cs="ArialUnicodeMS" w:hAnsiTheme="minorHAnsi"/>
                <w:kern w:val="0"/>
                <w:sz w:val="28"/>
                <w:szCs w:val="28"/>
                <w:lang w:eastAsia="zh-CN"/>
              </w:rPr>
            </w:pPr>
            <w:r>
              <w:rPr>
                <w:rFonts w:hint="eastAsia" w:ascii="仿宋_GB2312" w:eastAsia="仿宋_GB2312" w:cs="ArialUnicodeMS" w:hAnsiTheme="minorHAnsi"/>
                <w:kern w:val="0"/>
                <w:sz w:val="28"/>
                <w:szCs w:val="2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after="0" w:line="560" w:lineRule="exact"/>
              <w:ind w:firstLine="560" w:firstLineChars="200"/>
              <w:jc w:val="left"/>
              <w:rPr>
                <w:rFonts w:ascii="仿宋_GB2312" w:eastAsia="仿宋_GB2312" w:cs="ArialUnicodeMS" w:hAnsiTheme="minorHAnsi"/>
                <w:kern w:val="0"/>
                <w:sz w:val="28"/>
                <w:szCs w:val="28"/>
              </w:rPr>
            </w:pPr>
          </w:p>
        </w:tc>
      </w:tr>
    </w:tbl>
    <w:p>
      <w:pPr>
        <w:widowControl/>
        <w:spacing w:line="560" w:lineRule="exact"/>
        <w:rPr>
          <w:rFonts w:ascii="黑体" w:eastAsia="黑体" w:cs="MS-UIGothic,Bold" w:hAnsiTheme="minorHAnsi"/>
          <w:bCs/>
          <w:kern w:val="0"/>
          <w:sz w:val="52"/>
          <w:szCs w:val="52"/>
        </w:rPr>
      </w:pPr>
    </w:p>
    <w:p>
      <w:pPr>
        <w:widowControl/>
        <w:spacing w:line="560" w:lineRule="exact"/>
        <w:jc w:val="center"/>
        <w:rPr>
          <w:rFonts w:ascii="黑体" w:eastAsia="黑体" w:cs="MS-UIGothic,Bold" w:hAnsiTheme="minorHAnsi"/>
          <w:bCs/>
          <w:kern w:val="0"/>
          <w:sz w:val="52"/>
          <w:szCs w:val="52"/>
        </w:rPr>
        <w:sectPr>
          <w:pgSz w:w="11906" w:h="16838"/>
          <w:pgMar w:top="2098" w:right="1474" w:bottom="1984" w:left="1588" w:header="851" w:footer="992" w:gutter="0"/>
          <w:cols w:space="0" w:num="1"/>
          <w:docGrid w:type="lines" w:linePitch="312" w:charSpace="0"/>
        </w:sectPr>
      </w:pPr>
    </w:p>
    <w:p>
      <w:pPr>
        <w:widowControl/>
        <w:spacing w:line="1200" w:lineRule="exact"/>
        <w:jc w:val="center"/>
        <w:rPr>
          <w:rFonts w:hAnsi="宋体" w:asciiTheme="minorEastAsia" w:eastAsiaTheme="minorEastAsia"/>
          <w:color w:val="000000" w:themeColor="text1"/>
          <w:sz w:val="72"/>
          <w:szCs w:val="96"/>
        </w:rPr>
      </w:pPr>
    </w:p>
    <w:p>
      <w:pPr>
        <w:widowControl/>
        <w:spacing w:line="1200" w:lineRule="exact"/>
        <w:jc w:val="center"/>
        <w:rPr>
          <w:rFonts w:hAnsi="宋体" w:asciiTheme="minorEastAsia" w:eastAsiaTheme="minorEastAsia"/>
          <w:color w:val="000000" w:themeColor="text1"/>
          <w:sz w:val="72"/>
          <w:szCs w:val="96"/>
        </w:rPr>
      </w:pPr>
    </w:p>
    <w:p>
      <w:pPr>
        <w:widowControl/>
        <w:spacing w:line="1200" w:lineRule="exact"/>
        <w:jc w:val="center"/>
        <w:rPr>
          <w:rFonts w:hAnsi="宋体" w:asciiTheme="minorEastAsia" w:eastAsiaTheme="minorEastAsia"/>
          <w:color w:val="000000" w:themeColor="text1"/>
          <w:sz w:val="72"/>
          <w:szCs w:val="96"/>
        </w:rPr>
      </w:pPr>
    </w:p>
    <w:p>
      <w:pPr>
        <w:widowControl/>
        <w:spacing w:line="1200" w:lineRule="exact"/>
        <w:jc w:val="center"/>
        <w:rPr>
          <w:rFonts w:hAnsi="宋体" w:asciiTheme="minorEastAsia" w:eastAsiaTheme="minorEastAsia"/>
          <w:color w:val="000000" w:themeColor="text1"/>
          <w:sz w:val="72"/>
          <w:szCs w:val="96"/>
        </w:rPr>
      </w:pPr>
      <w:r>
        <w:rPr>
          <w:rFonts w:hint="eastAsia" w:hAnsi="宋体" w:asciiTheme="minorEastAsia" w:eastAsiaTheme="minorEastAsia"/>
          <w:color w:val="000000" w:themeColor="text1"/>
          <w:sz w:val="72"/>
          <w:szCs w:val="96"/>
        </w:rPr>
        <w:t>第二部分</w:t>
      </w:r>
    </w:p>
    <w:p>
      <w:pPr>
        <w:widowControl/>
        <w:spacing w:line="1200" w:lineRule="exact"/>
        <w:jc w:val="center"/>
        <w:rPr>
          <w:color w:val="000000" w:themeColor="text1"/>
          <w:sz w:val="72"/>
          <w:szCs w:val="96"/>
        </w:rPr>
      </w:pPr>
      <w:r>
        <w:rPr>
          <w:rFonts w:hint="eastAsia" w:hAnsi="宋体" w:asciiTheme="minorEastAsia" w:eastAsiaTheme="minorEastAsia"/>
          <w:color w:val="000000" w:themeColor="text1"/>
          <w:sz w:val="72"/>
          <w:szCs w:val="96"/>
        </w:rPr>
        <w:t>2018年度部门决算报表</w:t>
      </w:r>
    </w:p>
    <w:p>
      <w:pPr>
        <w:widowControl/>
        <w:spacing w:line="560" w:lineRule="exact"/>
        <w:jc w:val="center"/>
        <w:rPr>
          <w:rFonts w:ascii="黑体" w:eastAsia="黑体" w:cs="MS-UIGothic,Bold" w:hAnsiTheme="minorHAnsi"/>
          <w:bCs/>
          <w:kern w:val="0"/>
          <w:sz w:val="52"/>
          <w:szCs w:val="52"/>
        </w:rPr>
      </w:pPr>
    </w:p>
    <w:p>
      <w:pPr>
        <w:widowControl/>
        <w:spacing w:line="560" w:lineRule="exact"/>
        <w:jc w:val="center"/>
        <w:rPr>
          <w:rFonts w:ascii="黑体" w:eastAsia="黑体" w:cs="MS-UIGothic,Bold" w:hAnsiTheme="minorHAnsi"/>
          <w:bCs/>
          <w:kern w:val="0"/>
          <w:sz w:val="52"/>
          <w:szCs w:val="52"/>
        </w:rPr>
      </w:pPr>
    </w:p>
    <w:p>
      <w:pPr>
        <w:rPr>
          <w:rFonts w:ascii="宋体" w:hAnsi="宋体" w:cs="ArialUnicodeMS"/>
          <w:color w:val="000000"/>
          <w:kern w:val="0"/>
        </w:r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p>
    <w:tbl>
      <w:tblPr>
        <w:tblStyle w:val="12"/>
        <w:tblW w:w="9300" w:type="dxa"/>
        <w:jc w:val="center"/>
        <w:tblLayout w:type="fixed"/>
        <w:tblCellMar>
          <w:top w:w="0" w:type="dxa"/>
          <w:left w:w="0" w:type="dxa"/>
          <w:bottom w:w="0" w:type="dxa"/>
          <w:right w:w="0" w:type="dxa"/>
        </w:tblCellMar>
      </w:tblPr>
      <w:tblGrid>
        <w:gridCol w:w="2700"/>
        <w:gridCol w:w="567"/>
        <w:gridCol w:w="1336"/>
        <w:gridCol w:w="2700"/>
        <w:gridCol w:w="567"/>
        <w:gridCol w:w="1430"/>
      </w:tblGrid>
      <w:tr>
        <w:tblPrEx>
          <w:tblCellMar>
            <w:top w:w="0" w:type="dxa"/>
            <w:left w:w="0" w:type="dxa"/>
            <w:bottom w:w="0" w:type="dxa"/>
            <w:right w:w="0" w:type="dxa"/>
          </w:tblCellMar>
        </w:tblPrEx>
        <w:trPr>
          <w:trHeight w:val="567" w:hRule="atLeast"/>
          <w:jc w:val="center"/>
        </w:trPr>
        <w:tc>
          <w:tcPr>
            <w:tcW w:w="9300" w:type="dxa"/>
            <w:gridSpan w:val="6"/>
            <w:tcBorders>
              <w:top w:val="nil"/>
              <w:left w:val="nil"/>
              <w:bottom w:val="nil"/>
              <w:right w:val="nil"/>
            </w:tcBorders>
            <w:shd w:val="clear" w:color="auto" w:fill="auto"/>
            <w:tcMar>
              <w:top w:w="15" w:type="dxa"/>
              <w:left w:w="15" w:type="dxa"/>
              <w:right w:w="15" w:type="dxa"/>
            </w:tcMar>
            <w:vAlign w:val="center"/>
          </w:tcPr>
          <w:p>
            <w:pPr>
              <w:widowControl/>
              <w:spacing w:after="0" w:line="440" w:lineRule="exact"/>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收入支出决算总表</w:t>
            </w:r>
          </w:p>
        </w:tc>
      </w:tr>
      <w:tr>
        <w:tblPrEx>
          <w:tblCellMar>
            <w:top w:w="0" w:type="dxa"/>
            <w:left w:w="0" w:type="dxa"/>
            <w:bottom w:w="0" w:type="dxa"/>
            <w:right w:w="0" w:type="dxa"/>
          </w:tblCellMar>
        </w:tblPrEx>
        <w:trPr>
          <w:trHeight w:val="321" w:hRule="atLeast"/>
          <w:jc w:val="center"/>
        </w:trPr>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1336"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143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jc w:val="right"/>
              <w:textAlignment w:val="center"/>
              <w:rPr>
                <w:rFonts w:ascii="宋体" w:hAnsi="宋体" w:cs="宋体"/>
                <w:color w:val="000000"/>
                <w:sz w:val="20"/>
                <w:szCs w:val="20"/>
              </w:rPr>
            </w:pPr>
            <w:r>
              <w:rPr>
                <w:rFonts w:hint="eastAsia" w:ascii="宋体" w:hAnsi="宋体" w:cs="宋体"/>
                <w:color w:val="000000"/>
                <w:kern w:val="0"/>
                <w:sz w:val="20"/>
                <w:szCs w:val="20"/>
              </w:rPr>
              <w:t>公开01表</w:t>
            </w:r>
          </w:p>
        </w:tc>
      </w:tr>
      <w:tr>
        <w:tblPrEx>
          <w:tblCellMar>
            <w:top w:w="0" w:type="dxa"/>
            <w:left w:w="0" w:type="dxa"/>
            <w:bottom w:w="0" w:type="dxa"/>
            <w:right w:w="0" w:type="dxa"/>
          </w:tblCellMar>
        </w:tblPrEx>
        <w:trPr>
          <w:trHeight w:val="418" w:hRule="atLeast"/>
          <w:jc w:val="center"/>
        </w:trPr>
        <w:tc>
          <w:tcPr>
            <w:tcW w:w="4603" w:type="dxa"/>
            <w:gridSpan w:val="3"/>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jc w:val="left"/>
              <w:textAlignment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廊坊市大厂回族自治县人民法院（本级）</w:t>
            </w:r>
          </w:p>
          <w:p>
            <w:pPr>
              <w:widowControl/>
              <w:spacing w:after="0" w:line="240" w:lineRule="exact"/>
              <w:rPr>
                <w:rFonts w:ascii="宋体" w:hAnsi="宋体" w:cs="宋体"/>
                <w:color w:val="000000"/>
                <w:sz w:val="20"/>
                <w:szCs w:val="20"/>
              </w:rPr>
            </w:pPr>
          </w:p>
        </w:tc>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宋体" w:hAnsi="宋体" w:cs="宋体"/>
                <w:color w:val="000000"/>
                <w:sz w:val="20"/>
                <w:szCs w:val="20"/>
              </w:rPr>
            </w:pPr>
          </w:p>
        </w:tc>
        <w:tc>
          <w:tcPr>
            <w:tcW w:w="56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宋体" w:hAnsi="宋体" w:cs="宋体"/>
                <w:color w:val="000000"/>
                <w:sz w:val="20"/>
                <w:szCs w:val="20"/>
              </w:rPr>
            </w:pPr>
          </w:p>
        </w:tc>
        <w:tc>
          <w:tcPr>
            <w:tcW w:w="143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295" w:hRule="atLeast"/>
          <w:jc w:val="center"/>
        </w:trPr>
        <w:tc>
          <w:tcPr>
            <w:tcW w:w="46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收入</w:t>
            </w:r>
          </w:p>
        </w:tc>
        <w:tc>
          <w:tcPr>
            <w:tcW w:w="469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支出</w:t>
            </w:r>
          </w:p>
        </w:tc>
      </w:tr>
      <w:tr>
        <w:tblPrEx>
          <w:tblCellMar>
            <w:top w:w="0" w:type="dxa"/>
            <w:left w:w="0" w:type="dxa"/>
            <w:bottom w:w="0" w:type="dxa"/>
            <w:right w:w="0" w:type="dxa"/>
          </w:tblCellMar>
        </w:tblPrEx>
        <w:trPr>
          <w:trHeight w:val="29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r>
      <w:tr>
        <w:tblPrEx>
          <w:tblCellMar>
            <w:top w:w="0" w:type="dxa"/>
            <w:left w:w="0" w:type="dxa"/>
            <w:bottom w:w="0" w:type="dxa"/>
            <w:right w:w="0" w:type="dxa"/>
          </w:tblCellMar>
        </w:tblPrEx>
        <w:trPr>
          <w:trHeight w:val="29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rPr>
                <w:rFonts w:ascii="宋体" w:hAnsi="宋体" w:cs="宋体"/>
                <w:color w:val="000000"/>
                <w:sz w:val="20"/>
                <w:szCs w:val="20"/>
              </w:rPr>
            </w:pP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rPr>
                <w:rFonts w:ascii="宋体" w:hAnsi="宋体" w:cs="宋体"/>
                <w:color w:val="000000"/>
                <w:sz w:val="20"/>
                <w:szCs w:val="20"/>
              </w:rPr>
            </w:pP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r>
      <w:tr>
        <w:tblPrEx>
          <w:tblCellMar>
            <w:top w:w="0" w:type="dxa"/>
            <w:left w:w="0" w:type="dxa"/>
            <w:bottom w:w="0" w:type="dxa"/>
            <w:right w:w="0" w:type="dxa"/>
          </w:tblCellMar>
        </w:tblPrEx>
        <w:trPr>
          <w:trHeight w:val="36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一、财政拨款收入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2165</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一、一般公共服务支出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二、上级补助收入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二、外交支出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29</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三、事业收入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三、国防支出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30</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四、经营收入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四、公共安全支出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31</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r>
              <w:rPr>
                <w:rFonts w:hint="eastAsia" w:ascii="宋体" w:hAnsi="宋体" w:cs="宋体"/>
                <w:color w:val="000000"/>
                <w:sz w:val="20"/>
                <w:szCs w:val="20"/>
              </w:rPr>
              <w:t>1953.95</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五、附属单位上缴收入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五、教育支出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32</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六、其他收入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六、科学技术支出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七、文化体育与传媒支出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34</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八、社会保障和就业支出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r>
              <w:rPr>
                <w:rFonts w:hint="eastAsia" w:ascii="宋体" w:hAnsi="宋体" w:cs="宋体"/>
                <w:color w:val="000000"/>
                <w:sz w:val="20"/>
                <w:szCs w:val="20"/>
              </w:rPr>
              <w:t>120.23</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九、医疗卫生与计划生育支出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36</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r>
              <w:rPr>
                <w:rFonts w:hint="eastAsia" w:ascii="宋体" w:hAnsi="宋体" w:cs="宋体"/>
                <w:color w:val="000000"/>
                <w:sz w:val="20"/>
                <w:szCs w:val="20"/>
              </w:rPr>
              <w:t>43.02</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十、节能环保支出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37</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十一、城乡社区支出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38</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十二、农林水支出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39</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十三、交通运输支出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40</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十四、资源勘探信息等支出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41</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十五、商业服务业等支出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42</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十六、金融支出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43</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十七、援助其他地区支出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44</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十八、国土海洋气象等支出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45</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十九、住房保障支出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46</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r>
              <w:rPr>
                <w:rFonts w:hint="eastAsia" w:ascii="宋体" w:hAnsi="宋体" w:cs="宋体"/>
                <w:color w:val="000000"/>
                <w:sz w:val="20"/>
                <w:szCs w:val="20"/>
              </w:rPr>
              <w:t>78.66</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二十、粮油物资储备支出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47</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二十一、其他支出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48</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二十二、债务还本支出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49</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二十三、债务付息支出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50</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本年收入合计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2165</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本年支出合计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51</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r>
              <w:rPr>
                <w:rFonts w:hint="eastAsia" w:ascii="宋体" w:hAnsi="宋体" w:cs="宋体"/>
                <w:color w:val="000000"/>
                <w:sz w:val="20"/>
                <w:szCs w:val="20"/>
              </w:rPr>
              <w:t>2195.86</w:t>
            </w:r>
          </w:p>
        </w:tc>
      </w:tr>
      <w:tr>
        <w:tblPrEx>
          <w:tblCellMar>
            <w:top w:w="0" w:type="dxa"/>
            <w:left w:w="0" w:type="dxa"/>
            <w:bottom w:w="0" w:type="dxa"/>
            <w:right w:w="0" w:type="dxa"/>
          </w:tblCellMar>
        </w:tblPrEx>
        <w:trPr>
          <w:trHeight w:val="38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用事业基金弥补收支差额</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18"/>
                <w:szCs w:val="18"/>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结余分配</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52</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年初结转和结余</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90.17</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年末结转和结余</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53</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r>
              <w:rPr>
                <w:rFonts w:hint="eastAsia" w:ascii="宋体" w:hAnsi="宋体" w:cs="宋体"/>
                <w:color w:val="000000"/>
                <w:sz w:val="20"/>
                <w:szCs w:val="20"/>
              </w:rPr>
              <w:t>59.32</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27</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2255.17</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54</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r>
              <w:rPr>
                <w:rFonts w:hint="eastAsia" w:ascii="宋体" w:hAnsi="宋体" w:cs="宋体"/>
                <w:color w:val="000000"/>
                <w:sz w:val="20"/>
                <w:szCs w:val="20"/>
              </w:rPr>
              <w:t>2255.17</w:t>
            </w:r>
          </w:p>
        </w:tc>
      </w:tr>
      <w:tr>
        <w:tblPrEx>
          <w:tblCellMar>
            <w:top w:w="0" w:type="dxa"/>
            <w:left w:w="0" w:type="dxa"/>
            <w:bottom w:w="0" w:type="dxa"/>
            <w:right w:w="0" w:type="dxa"/>
          </w:tblCellMar>
        </w:tblPrEx>
        <w:trPr>
          <w:trHeight w:val="417" w:hRule="atLeast"/>
          <w:jc w:val="center"/>
        </w:trPr>
        <w:tc>
          <w:tcPr>
            <w:tcW w:w="9300" w:type="dxa"/>
            <w:gridSpan w:val="6"/>
            <w:tcBorders>
              <w:top w:val="nil"/>
              <w:left w:val="nil"/>
              <w:bottom w:val="nil"/>
              <w:right w:val="nil"/>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color w:val="000000"/>
                <w:kern w:val="0"/>
                <w:szCs w:val="21"/>
              </w:rPr>
              <w:t>注：本表反映部门本年度的总收支和年末结转结余情况。</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00" w:type="dxa"/>
        <w:jc w:val="center"/>
        <w:tblLayout w:type="fixed"/>
        <w:tblCellMar>
          <w:top w:w="0" w:type="dxa"/>
          <w:left w:w="0" w:type="dxa"/>
          <w:bottom w:w="0" w:type="dxa"/>
          <w:right w:w="0" w:type="dxa"/>
        </w:tblCellMar>
      </w:tblPr>
      <w:tblGrid>
        <w:gridCol w:w="335"/>
        <w:gridCol w:w="179"/>
        <w:gridCol w:w="520"/>
        <w:gridCol w:w="1318"/>
        <w:gridCol w:w="533"/>
        <w:gridCol w:w="260"/>
        <w:gridCol w:w="127"/>
        <w:gridCol w:w="688"/>
        <w:gridCol w:w="232"/>
        <w:gridCol w:w="584"/>
        <w:gridCol w:w="337"/>
        <w:gridCol w:w="478"/>
        <w:gridCol w:w="442"/>
        <w:gridCol w:w="373"/>
        <w:gridCol w:w="548"/>
        <w:gridCol w:w="920"/>
        <w:gridCol w:w="926"/>
      </w:tblGrid>
      <w:tr>
        <w:tblPrEx>
          <w:tblCellMar>
            <w:top w:w="0" w:type="dxa"/>
            <w:left w:w="0" w:type="dxa"/>
            <w:bottom w:w="0" w:type="dxa"/>
            <w:right w:w="0" w:type="dxa"/>
          </w:tblCellMar>
        </w:tblPrEx>
        <w:trPr>
          <w:trHeight w:val="770" w:hRule="atLeast"/>
          <w:jc w:val="center"/>
        </w:trPr>
        <w:tc>
          <w:tcPr>
            <w:tcW w:w="8800" w:type="dxa"/>
            <w:gridSpan w:val="17"/>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hAnsi="宋体" w:eastAsia="黑体" w:cs="黑体"/>
                <w:color w:val="000000"/>
                <w:sz w:val="40"/>
                <w:szCs w:val="40"/>
              </w:rPr>
            </w:pPr>
            <w:r>
              <w:rPr>
                <w:rFonts w:hint="eastAsia" w:ascii="黑体" w:hAnsi="宋体" w:eastAsia="黑体" w:cs="黑体"/>
                <w:color w:val="000000"/>
                <w:kern w:val="0"/>
                <w:sz w:val="40"/>
                <w:szCs w:val="40"/>
              </w:rPr>
              <w:t>收入决算表</w:t>
            </w:r>
          </w:p>
        </w:tc>
      </w:tr>
      <w:tr>
        <w:tblPrEx>
          <w:tblCellMar>
            <w:top w:w="0" w:type="dxa"/>
            <w:left w:w="0" w:type="dxa"/>
            <w:bottom w:w="0" w:type="dxa"/>
            <w:right w:w="0" w:type="dxa"/>
          </w:tblCellMar>
        </w:tblPrEx>
        <w:trPr>
          <w:trHeight w:val="362" w:hRule="atLeast"/>
          <w:jc w:val="center"/>
        </w:trPr>
        <w:tc>
          <w:tcPr>
            <w:tcW w:w="335"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7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52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318"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533"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6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6"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394" w:type="dxa"/>
            <w:gridSpan w:val="3"/>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公开02表</w:t>
            </w:r>
          </w:p>
        </w:tc>
      </w:tr>
      <w:tr>
        <w:tblPrEx>
          <w:tblCellMar>
            <w:top w:w="0" w:type="dxa"/>
            <w:left w:w="0" w:type="dxa"/>
            <w:bottom w:w="0" w:type="dxa"/>
            <w:right w:w="0" w:type="dxa"/>
          </w:tblCellMar>
        </w:tblPrEx>
        <w:trPr>
          <w:trHeight w:val="362" w:hRule="atLeast"/>
          <w:jc w:val="center"/>
        </w:trPr>
        <w:tc>
          <w:tcPr>
            <w:tcW w:w="3960" w:type="dxa"/>
            <w:gridSpan w:val="8"/>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r>
              <w:rPr>
                <w:rFonts w:hint="eastAsia" w:ascii="宋体" w:hAnsi="宋体" w:cs="宋体"/>
                <w:color w:val="000000"/>
                <w:kern w:val="0"/>
                <w:szCs w:val="21"/>
              </w:rPr>
              <w:t>部门：</w:t>
            </w:r>
            <w:r>
              <w:rPr>
                <w:rFonts w:hint="eastAsia" w:ascii="宋体" w:hAnsi="宋体" w:cs="宋体"/>
                <w:color w:val="000000"/>
                <w:kern w:val="0"/>
                <w:sz w:val="20"/>
                <w:szCs w:val="20"/>
                <w:lang w:eastAsia="zh-CN"/>
              </w:rPr>
              <w:t>廊坊市大厂回族自治县人民法院（本级）</w:t>
            </w:r>
          </w:p>
        </w:tc>
        <w:tc>
          <w:tcPr>
            <w:tcW w:w="816"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394" w:type="dxa"/>
            <w:gridSpan w:val="3"/>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325" w:hRule="atLeast"/>
          <w:jc w:val="center"/>
        </w:trPr>
        <w:tc>
          <w:tcPr>
            <w:tcW w:w="2352" w:type="dxa"/>
            <w:gridSpan w:val="4"/>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项目</w:t>
            </w:r>
          </w:p>
        </w:tc>
        <w:tc>
          <w:tcPr>
            <w:tcW w:w="920" w:type="dxa"/>
            <w:gridSpan w:val="3"/>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本年收入合计</w:t>
            </w:r>
          </w:p>
        </w:tc>
        <w:tc>
          <w:tcPr>
            <w:tcW w:w="920"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财政拨款收入</w:t>
            </w:r>
          </w:p>
        </w:tc>
        <w:tc>
          <w:tcPr>
            <w:tcW w:w="921"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上级补助收入</w:t>
            </w:r>
          </w:p>
        </w:tc>
        <w:tc>
          <w:tcPr>
            <w:tcW w:w="920"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事业收入</w:t>
            </w:r>
          </w:p>
        </w:tc>
        <w:tc>
          <w:tcPr>
            <w:tcW w:w="921"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经营收入</w:t>
            </w:r>
          </w:p>
        </w:tc>
        <w:tc>
          <w:tcPr>
            <w:tcW w:w="920"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附属单位上缴收入</w:t>
            </w:r>
          </w:p>
        </w:tc>
        <w:tc>
          <w:tcPr>
            <w:tcW w:w="926" w:type="dxa"/>
            <w:vMerge w:val="restar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其他收入</w:t>
            </w:r>
          </w:p>
        </w:tc>
      </w:tr>
      <w:tr>
        <w:tblPrEx>
          <w:tblCellMar>
            <w:top w:w="0" w:type="dxa"/>
            <w:left w:w="0" w:type="dxa"/>
            <w:bottom w:w="0" w:type="dxa"/>
            <w:right w:w="0" w:type="dxa"/>
          </w:tblCellMar>
        </w:tblPrEx>
        <w:trPr>
          <w:trHeight w:val="626"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功能分类科目编码</w:t>
            </w:r>
          </w:p>
        </w:tc>
        <w:tc>
          <w:tcPr>
            <w:tcW w:w="1318"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920" w:type="dxa"/>
            <w:gridSpan w:val="3"/>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 w:val="20"/>
                <w:szCs w:val="20"/>
              </w:rPr>
            </w:pPr>
          </w:p>
        </w:tc>
        <w:tc>
          <w:tcPr>
            <w:tcW w:w="920" w:type="dxa"/>
            <w:gridSpan w:val="2"/>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921" w:type="dxa"/>
            <w:gridSpan w:val="2"/>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920" w:type="dxa"/>
            <w:gridSpan w:val="2"/>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921" w:type="dxa"/>
            <w:gridSpan w:val="2"/>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920" w:type="dxa"/>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926" w:type="dxa"/>
            <w:vMerge w:val="continue"/>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r>
      <w:tr>
        <w:tblPrEx>
          <w:tblCellMar>
            <w:top w:w="0" w:type="dxa"/>
            <w:left w:w="0" w:type="dxa"/>
            <w:bottom w:w="0" w:type="dxa"/>
            <w:right w:w="0" w:type="dxa"/>
          </w:tblCellMar>
        </w:tblPrEx>
        <w:trPr>
          <w:trHeight w:val="391" w:hRule="atLeast"/>
          <w:jc w:val="center"/>
        </w:trPr>
        <w:tc>
          <w:tcPr>
            <w:tcW w:w="235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9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r>
      <w:tr>
        <w:tblPrEx>
          <w:tblCellMar>
            <w:top w:w="0" w:type="dxa"/>
            <w:left w:w="0" w:type="dxa"/>
            <w:bottom w:w="0" w:type="dxa"/>
            <w:right w:w="0" w:type="dxa"/>
          </w:tblCellMar>
        </w:tblPrEx>
        <w:trPr>
          <w:trHeight w:val="90" w:hRule="atLeast"/>
          <w:jc w:val="center"/>
        </w:trPr>
        <w:tc>
          <w:tcPr>
            <w:tcW w:w="235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920"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r>
              <w:rPr>
                <w:rFonts w:hint="eastAsia" w:ascii="宋体" w:hAnsi="宋体" w:cs="宋体"/>
                <w:b/>
                <w:color w:val="000000"/>
                <w:sz w:val="18"/>
                <w:szCs w:val="18"/>
              </w:rPr>
              <w:t>2165</w:t>
            </w:r>
          </w:p>
        </w:tc>
        <w:tc>
          <w:tcPr>
            <w:tcW w:w="92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r>
              <w:rPr>
                <w:rFonts w:hint="eastAsia" w:ascii="宋体" w:hAnsi="宋体" w:cs="宋体"/>
                <w:b/>
                <w:color w:val="000000"/>
                <w:sz w:val="18"/>
                <w:szCs w:val="18"/>
              </w:rPr>
              <w:t>2165</w:t>
            </w:r>
          </w:p>
        </w:tc>
        <w:tc>
          <w:tcPr>
            <w:tcW w:w="92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92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92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9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92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204</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公共安全支出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1923.09</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1923.09</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20405</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法院</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1923.09</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1923.09</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2040501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行政运行</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1765.09</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1765.09</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2040599</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其他法院支出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158</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158</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社会保障和就业支出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120.23</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120.23</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20805</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行政事业单位离退休</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120.23</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120.23</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2080505</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机关事业单位基本养老保险缴费支出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120.23</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120.23</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210</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医疗卫生与计划生育支出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43.02</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43.02</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21011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行政事业单位医疗</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43.02</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43.02</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2101101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行政单位医疗</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43.02</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43.02</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221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住房保障支出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78.66</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78.66</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22102</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住房改革支出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78.66</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78.66</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2210201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住房公积金</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78.66</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78.66</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81" w:hRule="atLeast"/>
          <w:jc w:val="center"/>
        </w:trPr>
        <w:tc>
          <w:tcPr>
            <w:tcW w:w="8800" w:type="dxa"/>
            <w:gridSpan w:val="17"/>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注：本表反映部门本年度取得的各项收入情况。</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9000" w:type="dxa"/>
        <w:tblInd w:w="0" w:type="dxa"/>
        <w:tblLayout w:type="fixed"/>
        <w:tblCellMar>
          <w:top w:w="0" w:type="dxa"/>
          <w:left w:w="0" w:type="dxa"/>
          <w:bottom w:w="0" w:type="dxa"/>
          <w:right w:w="0" w:type="dxa"/>
        </w:tblCellMar>
      </w:tblPr>
      <w:tblGrid>
        <w:gridCol w:w="290"/>
        <w:gridCol w:w="289"/>
        <w:gridCol w:w="803"/>
        <w:gridCol w:w="1312"/>
        <w:gridCol w:w="452"/>
        <w:gridCol w:w="436"/>
        <w:gridCol w:w="682"/>
        <w:gridCol w:w="402"/>
        <w:gridCol w:w="718"/>
        <w:gridCol w:w="365"/>
        <w:gridCol w:w="753"/>
        <w:gridCol w:w="331"/>
        <w:gridCol w:w="789"/>
        <w:gridCol w:w="294"/>
        <w:gridCol w:w="1084"/>
      </w:tblGrid>
      <w:tr>
        <w:tblPrEx>
          <w:tblCellMar>
            <w:top w:w="0" w:type="dxa"/>
            <w:left w:w="0" w:type="dxa"/>
            <w:bottom w:w="0" w:type="dxa"/>
            <w:right w:w="0" w:type="dxa"/>
          </w:tblCellMar>
        </w:tblPrEx>
        <w:trPr>
          <w:trHeight w:val="798" w:hRule="atLeast"/>
        </w:trPr>
        <w:tc>
          <w:tcPr>
            <w:tcW w:w="9000" w:type="dxa"/>
            <w:gridSpan w:val="1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center"/>
              <w:rPr>
                <w:rFonts w:ascii="黑体" w:hAnsi="宋体" w:eastAsia="黑体" w:cs="黑体"/>
                <w:color w:val="000000"/>
                <w:sz w:val="40"/>
                <w:szCs w:val="40"/>
              </w:rPr>
            </w:pPr>
            <w:r>
              <w:rPr>
                <w:rFonts w:hint="eastAsia" w:ascii="黑体" w:hAnsi="宋体" w:eastAsia="黑体" w:cs="黑体"/>
                <w:color w:val="000000"/>
                <w:kern w:val="0"/>
                <w:sz w:val="40"/>
                <w:szCs w:val="40"/>
              </w:rPr>
              <w:t>支出决算表</w:t>
            </w:r>
          </w:p>
        </w:tc>
      </w:tr>
      <w:tr>
        <w:tblPrEx>
          <w:tblCellMar>
            <w:top w:w="0" w:type="dxa"/>
            <w:left w:w="0" w:type="dxa"/>
            <w:bottom w:w="0" w:type="dxa"/>
            <w:right w:w="0" w:type="dxa"/>
          </w:tblCellMar>
        </w:tblPrEx>
        <w:trPr>
          <w:trHeight w:val="404" w:hRule="atLeast"/>
        </w:trPr>
        <w:tc>
          <w:tcPr>
            <w:tcW w:w="29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8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03"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312"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452"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37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公开03表</w:t>
            </w:r>
          </w:p>
        </w:tc>
      </w:tr>
      <w:tr>
        <w:tblPrEx>
          <w:tblCellMar>
            <w:top w:w="0" w:type="dxa"/>
            <w:left w:w="0" w:type="dxa"/>
            <w:bottom w:w="0" w:type="dxa"/>
            <w:right w:w="0" w:type="dxa"/>
          </w:tblCellMar>
        </w:tblPrEx>
        <w:trPr>
          <w:trHeight w:val="380" w:hRule="atLeast"/>
        </w:trPr>
        <w:tc>
          <w:tcPr>
            <w:tcW w:w="4264" w:type="dxa"/>
            <w:gridSpan w:val="7"/>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r>
              <w:rPr>
                <w:rFonts w:hint="eastAsia" w:ascii="宋体" w:hAnsi="宋体" w:cs="宋体"/>
                <w:color w:val="000000"/>
                <w:kern w:val="0"/>
                <w:szCs w:val="21"/>
              </w:rPr>
              <w:t>部门：</w:t>
            </w:r>
            <w:r>
              <w:rPr>
                <w:rFonts w:hint="eastAsia" w:ascii="宋体" w:hAnsi="宋体" w:cs="宋体"/>
                <w:color w:val="000000"/>
                <w:kern w:val="0"/>
                <w:sz w:val="20"/>
                <w:szCs w:val="20"/>
                <w:lang w:eastAsia="zh-CN"/>
              </w:rPr>
              <w:t>廊坊市大厂回族自治县人民法院（本级）</w:t>
            </w: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498" w:type="dxa"/>
            <w:gridSpan w:val="4"/>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837" w:hRule="atLeast"/>
        </w:trPr>
        <w:tc>
          <w:tcPr>
            <w:tcW w:w="269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888"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本年支出合计</w:t>
            </w:r>
          </w:p>
        </w:tc>
        <w:tc>
          <w:tcPr>
            <w:tcW w:w="1084"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基本支出</w:t>
            </w:r>
          </w:p>
        </w:tc>
        <w:tc>
          <w:tcPr>
            <w:tcW w:w="1083"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项目支出</w:t>
            </w:r>
          </w:p>
        </w:tc>
        <w:tc>
          <w:tcPr>
            <w:tcW w:w="1084"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上缴上级支出</w:t>
            </w:r>
          </w:p>
        </w:tc>
        <w:tc>
          <w:tcPr>
            <w:tcW w:w="1083"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经营支出</w:t>
            </w:r>
          </w:p>
        </w:tc>
        <w:tc>
          <w:tcPr>
            <w:tcW w:w="1084" w:type="dxa"/>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对附属单位补助支出</w:t>
            </w:r>
          </w:p>
        </w:tc>
      </w:tr>
      <w:tr>
        <w:tblPrEx>
          <w:tblCellMar>
            <w:top w:w="0" w:type="dxa"/>
            <w:left w:w="0" w:type="dxa"/>
            <w:bottom w:w="0" w:type="dxa"/>
            <w:right w:w="0" w:type="dxa"/>
          </w:tblCellMar>
        </w:tblPrEx>
        <w:trPr>
          <w:trHeight w:val="782" w:hRule="atLeast"/>
        </w:trPr>
        <w:tc>
          <w:tcPr>
            <w:tcW w:w="138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功能分类科目编码</w:t>
            </w:r>
          </w:p>
        </w:tc>
        <w:tc>
          <w:tcPr>
            <w:tcW w:w="1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888"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84"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83"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84"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83"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84" w:type="dxa"/>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trHeight w:val="395" w:hRule="atLeast"/>
        </w:trPr>
        <w:tc>
          <w:tcPr>
            <w:tcW w:w="269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88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CellMar>
            <w:top w:w="0" w:type="dxa"/>
            <w:left w:w="0" w:type="dxa"/>
            <w:bottom w:w="0" w:type="dxa"/>
            <w:right w:w="0" w:type="dxa"/>
          </w:tblCellMar>
        </w:tblPrEx>
        <w:trPr>
          <w:trHeight w:val="440" w:hRule="atLeast"/>
        </w:trPr>
        <w:tc>
          <w:tcPr>
            <w:tcW w:w="269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88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Cs w:val="21"/>
              </w:rPr>
            </w:pPr>
            <w:r>
              <w:rPr>
                <w:rFonts w:hint="eastAsia" w:ascii="宋体" w:hAnsi="宋体" w:cs="宋体"/>
                <w:b/>
                <w:color w:val="000000"/>
                <w:szCs w:val="21"/>
              </w:rPr>
              <w:t>2195.86</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Cs w:val="21"/>
              </w:rPr>
            </w:pPr>
            <w:r>
              <w:rPr>
                <w:rFonts w:hint="eastAsia" w:ascii="宋体" w:hAnsi="宋体" w:cs="宋体"/>
                <w:b/>
                <w:color w:val="000000"/>
                <w:szCs w:val="21"/>
              </w:rPr>
              <w:t>1623.71</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Cs w:val="21"/>
              </w:rPr>
            </w:pPr>
            <w:r>
              <w:rPr>
                <w:rFonts w:hint="eastAsia" w:ascii="宋体" w:hAnsi="宋体" w:cs="宋体"/>
                <w:b/>
                <w:color w:val="000000"/>
                <w:szCs w:val="21"/>
              </w:rPr>
              <w:t>572.15</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204</w:t>
            </w:r>
          </w:p>
        </w:tc>
        <w:tc>
          <w:tcPr>
            <w:tcW w:w="1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公共安全支出</w:t>
            </w:r>
          </w:p>
        </w:tc>
        <w:tc>
          <w:tcPr>
            <w:tcW w:w="88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1953.95</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1381.8</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572.15</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20405</w:t>
            </w:r>
          </w:p>
        </w:tc>
        <w:tc>
          <w:tcPr>
            <w:tcW w:w="1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法院</w:t>
            </w:r>
          </w:p>
        </w:tc>
        <w:tc>
          <w:tcPr>
            <w:tcW w:w="88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1953.95</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1381.8</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572.15</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2040501</w:t>
            </w:r>
          </w:p>
        </w:tc>
        <w:tc>
          <w:tcPr>
            <w:tcW w:w="1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行政运行</w:t>
            </w:r>
          </w:p>
        </w:tc>
        <w:tc>
          <w:tcPr>
            <w:tcW w:w="88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1782.37</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1381.8</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400.57</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2040599</w:t>
            </w:r>
          </w:p>
        </w:tc>
        <w:tc>
          <w:tcPr>
            <w:tcW w:w="1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其他法院支出</w:t>
            </w:r>
          </w:p>
        </w:tc>
        <w:tc>
          <w:tcPr>
            <w:tcW w:w="88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171.58</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171.58</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208</w:t>
            </w:r>
          </w:p>
        </w:tc>
        <w:tc>
          <w:tcPr>
            <w:tcW w:w="1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社会保障和就业支出</w:t>
            </w:r>
          </w:p>
        </w:tc>
        <w:tc>
          <w:tcPr>
            <w:tcW w:w="88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120.23</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120.23</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20805</w:t>
            </w:r>
          </w:p>
        </w:tc>
        <w:tc>
          <w:tcPr>
            <w:tcW w:w="1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行政事业单位离退休</w:t>
            </w:r>
          </w:p>
        </w:tc>
        <w:tc>
          <w:tcPr>
            <w:tcW w:w="88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120.23</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120.23</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2080505</w:t>
            </w:r>
          </w:p>
        </w:tc>
        <w:tc>
          <w:tcPr>
            <w:tcW w:w="1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机关事业单位基本养老保险缴费支出</w:t>
            </w:r>
          </w:p>
        </w:tc>
        <w:tc>
          <w:tcPr>
            <w:tcW w:w="88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120.23</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120.23</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210</w:t>
            </w:r>
          </w:p>
        </w:tc>
        <w:tc>
          <w:tcPr>
            <w:tcW w:w="1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医疗卫生与计划生育支出</w:t>
            </w:r>
          </w:p>
        </w:tc>
        <w:tc>
          <w:tcPr>
            <w:tcW w:w="88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43.02</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43.02</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21011</w:t>
            </w:r>
          </w:p>
        </w:tc>
        <w:tc>
          <w:tcPr>
            <w:tcW w:w="1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行政事业单位医疗</w:t>
            </w:r>
          </w:p>
        </w:tc>
        <w:tc>
          <w:tcPr>
            <w:tcW w:w="88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43.02</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43.02</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2101101</w:t>
            </w:r>
          </w:p>
        </w:tc>
        <w:tc>
          <w:tcPr>
            <w:tcW w:w="1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行政单位医疗</w:t>
            </w:r>
          </w:p>
        </w:tc>
        <w:tc>
          <w:tcPr>
            <w:tcW w:w="88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43.02</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43.02</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221</w:t>
            </w:r>
          </w:p>
        </w:tc>
        <w:tc>
          <w:tcPr>
            <w:tcW w:w="1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住房保障支出</w:t>
            </w:r>
          </w:p>
        </w:tc>
        <w:tc>
          <w:tcPr>
            <w:tcW w:w="88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78.66</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78.66</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22102</w:t>
            </w:r>
          </w:p>
        </w:tc>
        <w:tc>
          <w:tcPr>
            <w:tcW w:w="1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住房改革支出</w:t>
            </w:r>
          </w:p>
        </w:tc>
        <w:tc>
          <w:tcPr>
            <w:tcW w:w="88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78.66</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78.66</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2210201</w:t>
            </w:r>
          </w:p>
        </w:tc>
        <w:tc>
          <w:tcPr>
            <w:tcW w:w="1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住房公积金</w:t>
            </w:r>
          </w:p>
        </w:tc>
        <w:tc>
          <w:tcPr>
            <w:tcW w:w="88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78.66</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r>
              <w:rPr>
                <w:rFonts w:hint="eastAsia" w:ascii="宋体" w:hAnsi="宋体" w:cs="宋体"/>
                <w:color w:val="000000"/>
                <w:szCs w:val="21"/>
              </w:rPr>
              <w:t>78.66</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trHeight w:val="748" w:hRule="atLeast"/>
        </w:trPr>
        <w:tc>
          <w:tcPr>
            <w:tcW w:w="9000" w:type="dxa"/>
            <w:gridSpan w:val="1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注：本表反映部门本年度各项支出情况。</w:t>
            </w:r>
          </w:p>
        </w:tc>
      </w:tr>
    </w:tbl>
    <w:p>
      <w:pPr>
        <w:widowControl/>
        <w:spacing w:after="0" w:line="560" w:lineRule="exact"/>
        <w:ind w:firstLine="562" w:firstLineChars="200"/>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940" w:type="dxa"/>
        <w:tblInd w:w="0" w:type="dxa"/>
        <w:tblLayout w:type="fixed"/>
        <w:tblCellMar>
          <w:top w:w="0" w:type="dxa"/>
          <w:left w:w="0" w:type="dxa"/>
          <w:bottom w:w="0" w:type="dxa"/>
          <w:right w:w="0" w:type="dxa"/>
        </w:tblCellMar>
      </w:tblPr>
      <w:tblGrid>
        <w:gridCol w:w="1717"/>
        <w:gridCol w:w="745"/>
        <w:gridCol w:w="325"/>
        <w:gridCol w:w="850"/>
        <w:gridCol w:w="2124"/>
        <w:gridCol w:w="191"/>
        <w:gridCol w:w="360"/>
        <w:gridCol w:w="650"/>
        <w:gridCol w:w="226"/>
        <w:gridCol w:w="599"/>
        <w:gridCol w:w="277"/>
        <w:gridCol w:w="876"/>
      </w:tblGrid>
      <w:tr>
        <w:tblPrEx>
          <w:tblCellMar>
            <w:top w:w="0" w:type="dxa"/>
            <w:left w:w="0" w:type="dxa"/>
            <w:bottom w:w="0" w:type="dxa"/>
            <w:right w:w="0" w:type="dxa"/>
          </w:tblCellMar>
        </w:tblPrEx>
        <w:trPr>
          <w:trHeight w:val="152" w:hRule="atLeast"/>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财政拨款收入支出决算总表</w:t>
            </w:r>
          </w:p>
        </w:tc>
      </w:tr>
      <w:tr>
        <w:tblPrEx>
          <w:tblCellMar>
            <w:top w:w="0" w:type="dxa"/>
            <w:left w:w="0" w:type="dxa"/>
            <w:bottom w:w="0" w:type="dxa"/>
            <w:right w:w="0" w:type="dxa"/>
          </w:tblCellMar>
        </w:tblPrEx>
        <w:trPr>
          <w:trHeight w:val="90" w:hRule="atLeast"/>
        </w:trPr>
        <w:tc>
          <w:tcPr>
            <w:tcW w:w="171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745"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325"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2974"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551"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65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82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1153"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 w:val="20"/>
                <w:szCs w:val="20"/>
              </w:rPr>
            </w:pPr>
            <w:r>
              <w:rPr>
                <w:rFonts w:hint="eastAsia" w:ascii="宋体" w:hAnsi="宋体" w:cs="宋体"/>
                <w:color w:val="000000"/>
                <w:kern w:val="0"/>
                <w:sz w:val="20"/>
                <w:szCs w:val="20"/>
              </w:rPr>
              <w:t>公开04表</w:t>
            </w:r>
          </w:p>
        </w:tc>
      </w:tr>
      <w:tr>
        <w:tblPrEx>
          <w:tblCellMar>
            <w:top w:w="0" w:type="dxa"/>
            <w:left w:w="0" w:type="dxa"/>
            <w:bottom w:w="0" w:type="dxa"/>
            <w:right w:w="0" w:type="dxa"/>
          </w:tblCellMar>
        </w:tblPrEx>
        <w:trPr>
          <w:trHeight w:val="152" w:hRule="atLeast"/>
        </w:trPr>
        <w:tc>
          <w:tcPr>
            <w:tcW w:w="6312" w:type="dxa"/>
            <w:gridSpan w:val="7"/>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廊坊市大厂回族自治县人民法院（本级）</w:t>
            </w:r>
          </w:p>
        </w:tc>
        <w:tc>
          <w:tcPr>
            <w:tcW w:w="65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1978" w:type="dxa"/>
            <w:gridSpan w:val="4"/>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90" w:hRule="atLeast"/>
        </w:trPr>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收     入</w:t>
            </w:r>
          </w:p>
        </w:tc>
        <w:tc>
          <w:tcPr>
            <w:tcW w:w="6153" w:type="dxa"/>
            <w:gridSpan w:val="9"/>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支     出</w:t>
            </w:r>
          </w:p>
        </w:tc>
      </w:tr>
      <w:tr>
        <w:tblPrEx>
          <w:tblCellMar>
            <w:top w:w="0" w:type="dxa"/>
            <w:left w:w="0" w:type="dxa"/>
            <w:bottom w:w="0" w:type="dxa"/>
            <w:right w:w="0" w:type="dxa"/>
          </w:tblCellMar>
        </w:tblPrEx>
        <w:trPr>
          <w:trHeight w:val="17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行次</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金额</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行次</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一般公共预算财政拨款</w:t>
            </w: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政府性基金预算财政拨款</w:t>
            </w: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2165</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二、政府性基金预算财政拨款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二、外交支出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三、国防支出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四、公共安全支出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1953.95</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1953.95</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五、教育支出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六、科学技术支出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七、文化体育与传媒支出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120.23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120.23</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6"/>
                <w:szCs w:val="16"/>
              </w:rPr>
              <w:t>九、医疗卫生与计划生育支出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37</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43.02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43.02</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十、节能环保支出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十一、城乡社区支出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39</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十二、农林水支出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十三、交通运输支出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十四、资源勘探信息等支出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十五、商业服务业等支出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十六、金融支出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十七、援助其他地区支出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45</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十八、国土海洋气象等支出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十九、住房保障支出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47</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78.66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78.66</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二十、粮油物资储备支出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48</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二十一、其他支出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49</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二十二、债务还本支出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二十三、债务付息支出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本年收入合计</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2165</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本年支出合计</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2195.86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2195.86</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年初财政拨款结转和结余</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90.17</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年末财政拨款结转和结余</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59.32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59.32</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一般公共预算财政拨款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90.17</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政府性基金预算财政拨款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55</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总计</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2255.17</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总计</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2255.17</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r>
              <w:rPr>
                <w:rFonts w:hint="eastAsia" w:ascii="宋体" w:hAnsi="宋体" w:cs="宋体"/>
                <w:color w:val="000000"/>
                <w:sz w:val="18"/>
                <w:szCs w:val="18"/>
              </w:rPr>
              <w:t>2255.17</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r>
      <w:tr>
        <w:tblPrEx>
          <w:tblCellMar>
            <w:top w:w="0" w:type="dxa"/>
            <w:left w:w="0" w:type="dxa"/>
            <w:bottom w:w="0" w:type="dxa"/>
            <w:right w:w="0" w:type="dxa"/>
          </w:tblCellMar>
        </w:tblPrEx>
        <w:trPr>
          <w:trHeight w:val="155" w:hRule="atLeast"/>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注：本表反映部门本年度一般公共预算财政拨款和政府性基金预算财政拨款的总收支和年末结转结余情况。</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60" w:type="dxa"/>
        <w:tblInd w:w="0" w:type="dxa"/>
        <w:tblLayout w:type="fixed"/>
        <w:tblCellMar>
          <w:top w:w="0" w:type="dxa"/>
          <w:left w:w="0" w:type="dxa"/>
          <w:bottom w:w="0" w:type="dxa"/>
          <w:right w:w="0" w:type="dxa"/>
        </w:tblCellMar>
      </w:tblPr>
      <w:tblGrid>
        <w:gridCol w:w="317"/>
        <w:gridCol w:w="319"/>
        <w:gridCol w:w="357"/>
        <w:gridCol w:w="2109"/>
        <w:gridCol w:w="745"/>
        <w:gridCol w:w="1174"/>
        <w:gridCol w:w="718"/>
        <w:gridCol w:w="1201"/>
        <w:gridCol w:w="1920"/>
      </w:tblGrid>
      <w:tr>
        <w:tblPrEx>
          <w:tblCellMar>
            <w:top w:w="0" w:type="dxa"/>
            <w:left w:w="0" w:type="dxa"/>
            <w:bottom w:w="0" w:type="dxa"/>
            <w:right w:w="0" w:type="dxa"/>
          </w:tblCellMar>
        </w:tblPrEx>
        <w:trPr>
          <w:trHeight w:val="600" w:hRule="atLeast"/>
        </w:trPr>
        <w:tc>
          <w:tcPr>
            <w:tcW w:w="8860" w:type="dxa"/>
            <w:gridSpan w:val="9"/>
            <w:tcBorders>
              <w:top w:val="nil"/>
              <w:left w:val="nil"/>
              <w:bottom w:val="nil"/>
              <w:right w:val="nil"/>
            </w:tcBorders>
            <w:shd w:val="clear" w:color="auto" w:fill="auto"/>
            <w:noWrap/>
            <w:tcMar>
              <w:top w:w="15" w:type="dxa"/>
              <w:left w:w="15" w:type="dxa"/>
              <w:right w:w="15" w:type="dxa"/>
            </w:tcMar>
            <w:vAlign w:val="bottom"/>
          </w:tcPr>
          <w:p>
            <w:pPr>
              <w:widowControl/>
              <w:spacing w:after="0" w:line="240" w:lineRule="auto"/>
              <w:jc w:val="center"/>
              <w:textAlignment w:val="bottom"/>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一般公共预算财政拨款支出决算表</w:t>
            </w:r>
          </w:p>
        </w:tc>
      </w:tr>
      <w:tr>
        <w:tblPrEx>
          <w:tblCellMar>
            <w:top w:w="0" w:type="dxa"/>
            <w:left w:w="0" w:type="dxa"/>
            <w:bottom w:w="0" w:type="dxa"/>
            <w:right w:w="0" w:type="dxa"/>
          </w:tblCellMar>
        </w:tblPrEx>
        <w:trPr>
          <w:trHeight w:val="334" w:hRule="atLeast"/>
        </w:trPr>
        <w:tc>
          <w:tcPr>
            <w:tcW w:w="31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31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35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10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745"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892"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公开05表</w:t>
            </w:r>
          </w:p>
        </w:tc>
      </w:tr>
      <w:tr>
        <w:tblPrEx>
          <w:tblCellMar>
            <w:top w:w="0" w:type="dxa"/>
            <w:left w:w="0" w:type="dxa"/>
            <w:bottom w:w="0" w:type="dxa"/>
            <w:right w:w="0" w:type="dxa"/>
          </w:tblCellMar>
        </w:tblPrEx>
        <w:trPr>
          <w:trHeight w:val="334" w:hRule="atLeast"/>
        </w:trPr>
        <w:tc>
          <w:tcPr>
            <w:tcW w:w="5739" w:type="dxa"/>
            <w:gridSpan w:val="7"/>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r>
              <w:rPr>
                <w:rFonts w:hint="eastAsia" w:ascii="宋体" w:hAnsi="宋体" w:cs="宋体"/>
                <w:color w:val="000000"/>
                <w:kern w:val="0"/>
                <w:szCs w:val="21"/>
              </w:rPr>
              <w:t>部门：</w:t>
            </w:r>
            <w:r>
              <w:rPr>
                <w:rFonts w:hint="eastAsia" w:ascii="宋体" w:hAnsi="宋体" w:cs="宋体"/>
                <w:color w:val="000000"/>
                <w:kern w:val="0"/>
                <w:sz w:val="20"/>
                <w:szCs w:val="20"/>
                <w:lang w:eastAsia="zh-CN"/>
              </w:rPr>
              <w:t>廊坊市大厂回族自治县人民法院（本级）</w:t>
            </w:r>
          </w:p>
        </w:tc>
        <w:tc>
          <w:tcPr>
            <w:tcW w:w="3121"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351" w:hRule="atLeast"/>
        </w:trPr>
        <w:tc>
          <w:tcPr>
            <w:tcW w:w="31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5758"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本年支出</w:t>
            </w:r>
          </w:p>
        </w:tc>
      </w:tr>
      <w:tr>
        <w:tblPrEx>
          <w:tblCellMar>
            <w:top w:w="0" w:type="dxa"/>
            <w:left w:w="0" w:type="dxa"/>
            <w:bottom w:w="0" w:type="dxa"/>
            <w:right w:w="0" w:type="dxa"/>
          </w:tblCellMar>
        </w:tblPrEx>
        <w:trPr>
          <w:trHeight w:val="334" w:hRule="atLeast"/>
        </w:trPr>
        <w:tc>
          <w:tcPr>
            <w:tcW w:w="993"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功能分类科目编码</w:t>
            </w:r>
          </w:p>
        </w:tc>
        <w:tc>
          <w:tcPr>
            <w:tcW w:w="210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191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91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基本支出</w:t>
            </w:r>
          </w:p>
        </w:tc>
        <w:tc>
          <w:tcPr>
            <w:tcW w:w="19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项目支出</w:t>
            </w:r>
          </w:p>
        </w:tc>
      </w:tr>
      <w:tr>
        <w:tblPrEx>
          <w:tblCellMar>
            <w:top w:w="0" w:type="dxa"/>
            <w:left w:w="0" w:type="dxa"/>
            <w:bottom w:w="0" w:type="dxa"/>
            <w:right w:w="0" w:type="dxa"/>
          </w:tblCellMar>
        </w:tblPrEx>
        <w:trPr>
          <w:trHeight w:val="334" w:hRule="atLeast"/>
        </w:trPr>
        <w:tc>
          <w:tcPr>
            <w:tcW w:w="99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210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trHeight w:val="312" w:hRule="atLeast"/>
        </w:trPr>
        <w:tc>
          <w:tcPr>
            <w:tcW w:w="99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210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trHeight w:val="368" w:hRule="atLeast"/>
        </w:trPr>
        <w:tc>
          <w:tcPr>
            <w:tcW w:w="310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3</w:t>
            </w:r>
          </w:p>
        </w:tc>
      </w:tr>
      <w:tr>
        <w:tblPrEx>
          <w:tblCellMar>
            <w:top w:w="0" w:type="dxa"/>
            <w:left w:w="0" w:type="dxa"/>
            <w:bottom w:w="0" w:type="dxa"/>
            <w:right w:w="0" w:type="dxa"/>
          </w:tblCellMar>
        </w:tblPrEx>
        <w:trPr>
          <w:trHeight w:val="368" w:hRule="atLeast"/>
        </w:trPr>
        <w:tc>
          <w:tcPr>
            <w:tcW w:w="310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b/>
                <w:color w:val="000000"/>
                <w:kern w:val="2"/>
                <w:sz w:val="21"/>
                <w:szCs w:val="21"/>
                <w:lang w:val="en-US" w:eastAsia="zh-CN" w:bidi="ar-SA"/>
              </w:rPr>
            </w:pPr>
            <w:r>
              <w:rPr>
                <w:rFonts w:hint="eastAsia" w:ascii="宋体" w:hAnsi="宋体" w:cs="宋体"/>
                <w:b/>
                <w:color w:val="000000"/>
                <w:szCs w:val="21"/>
              </w:rPr>
              <w:t>2195.86</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b/>
                <w:color w:val="000000"/>
                <w:kern w:val="2"/>
                <w:sz w:val="21"/>
                <w:szCs w:val="21"/>
                <w:lang w:val="en-US" w:eastAsia="zh-CN" w:bidi="ar-SA"/>
              </w:rPr>
            </w:pPr>
            <w:r>
              <w:rPr>
                <w:rFonts w:hint="eastAsia" w:ascii="宋体" w:hAnsi="宋体" w:cs="宋体"/>
                <w:b/>
                <w:color w:val="000000"/>
                <w:szCs w:val="21"/>
              </w:rPr>
              <w:t>1623.71</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b/>
                <w:color w:val="000000"/>
                <w:kern w:val="2"/>
                <w:sz w:val="21"/>
                <w:szCs w:val="21"/>
                <w:lang w:val="en-US" w:eastAsia="zh-CN" w:bidi="ar-SA"/>
              </w:rPr>
            </w:pPr>
            <w:r>
              <w:rPr>
                <w:rFonts w:hint="eastAsia" w:ascii="宋体" w:hAnsi="宋体" w:cs="宋体"/>
                <w:b/>
                <w:color w:val="000000"/>
                <w:szCs w:val="21"/>
              </w:rPr>
              <w:t>572.15</w:t>
            </w: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204</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公共安全支出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1953.95</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1381.8</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572.15</w:t>
            </w: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20405</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法院</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1953.95</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1381.8</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572.15</w:t>
            </w: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2040501</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行政运行</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1782.37</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1381.8</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400.57</w:t>
            </w: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2040599</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其他法院支出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171.58</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171.58</w:t>
            </w: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208</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社会保障和就业支出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120.23</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120.23</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20805</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行政事业单位离退休</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120.23</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120.23</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2080505</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机关事业单位基本养老保险缴费支出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120.23</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120.23</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210</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医疗卫生与计划生育支出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43.02</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43.02</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21011</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行政事业单位医疗</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43.02</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43.02</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2101101</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行政单位医疗</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43.02</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43.02</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221</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住房保障支出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78.66</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78.66</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22102</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住房改革支出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78.66</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78.66</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2210201</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住房公积金</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78.66</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r>
              <w:rPr>
                <w:rFonts w:hint="eastAsia" w:ascii="宋体" w:hAnsi="宋体" w:cs="宋体"/>
                <w:color w:val="000000"/>
                <w:szCs w:val="21"/>
              </w:rPr>
              <w:t>78.66</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eastAsia="宋体" w:cs="宋体"/>
                <w:color w:val="000000"/>
                <w:kern w:val="2"/>
                <w:sz w:val="21"/>
                <w:szCs w:val="21"/>
                <w:lang w:val="en-US" w:eastAsia="zh-CN" w:bidi="ar-SA"/>
              </w:rPr>
            </w:pPr>
          </w:p>
        </w:tc>
      </w:tr>
      <w:tr>
        <w:tblPrEx>
          <w:tblCellMar>
            <w:top w:w="0" w:type="dxa"/>
            <w:left w:w="0" w:type="dxa"/>
            <w:bottom w:w="0" w:type="dxa"/>
            <w:right w:w="0" w:type="dxa"/>
          </w:tblCellMar>
        </w:tblPrEx>
        <w:trPr>
          <w:trHeight w:val="368" w:hRule="atLeast"/>
        </w:trPr>
        <w:tc>
          <w:tcPr>
            <w:tcW w:w="8860" w:type="dxa"/>
            <w:gridSpan w:val="9"/>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注：本表反映部门本年度一般公共预算财政拨款收入及支出情况。      </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9180" w:type="dxa"/>
        <w:jc w:val="center"/>
        <w:tblLayout w:type="fixed"/>
        <w:tblCellMar>
          <w:top w:w="0" w:type="dxa"/>
          <w:left w:w="0" w:type="dxa"/>
          <w:bottom w:w="0" w:type="dxa"/>
          <w:right w:w="0" w:type="dxa"/>
        </w:tblCellMar>
      </w:tblPr>
      <w:tblGrid>
        <w:gridCol w:w="558"/>
        <w:gridCol w:w="1597"/>
        <w:gridCol w:w="840"/>
        <w:gridCol w:w="477"/>
        <w:gridCol w:w="1763"/>
        <w:gridCol w:w="740"/>
        <w:gridCol w:w="560"/>
        <w:gridCol w:w="1788"/>
        <w:gridCol w:w="857"/>
      </w:tblGrid>
      <w:tr>
        <w:tblPrEx>
          <w:tblCellMar>
            <w:top w:w="0" w:type="dxa"/>
            <w:left w:w="0" w:type="dxa"/>
            <w:bottom w:w="0" w:type="dxa"/>
            <w:right w:w="0" w:type="dxa"/>
          </w:tblCellMar>
        </w:tblPrEx>
        <w:trPr>
          <w:trHeight w:val="526" w:hRule="atLeast"/>
          <w:jc w:val="center"/>
        </w:trPr>
        <w:tc>
          <w:tcPr>
            <w:tcW w:w="9180" w:type="dxa"/>
            <w:gridSpan w:val="9"/>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一般公共预算财政拨款基本支出决算表</w:t>
            </w:r>
          </w:p>
        </w:tc>
      </w:tr>
      <w:tr>
        <w:tblPrEx>
          <w:tblCellMar>
            <w:top w:w="0" w:type="dxa"/>
            <w:left w:w="0" w:type="dxa"/>
            <w:bottom w:w="0" w:type="dxa"/>
            <w:right w:w="0" w:type="dxa"/>
          </w:tblCellMar>
        </w:tblPrEx>
        <w:trPr>
          <w:trHeight w:val="269" w:hRule="atLeast"/>
          <w:jc w:val="center"/>
        </w:trPr>
        <w:tc>
          <w:tcPr>
            <w:tcW w:w="55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598"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47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762"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74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6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644"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公开06表</w:t>
            </w:r>
          </w:p>
        </w:tc>
      </w:tr>
      <w:tr>
        <w:tblPrEx>
          <w:tblCellMar>
            <w:top w:w="0" w:type="dxa"/>
            <w:left w:w="0" w:type="dxa"/>
            <w:bottom w:w="0" w:type="dxa"/>
            <w:right w:w="0" w:type="dxa"/>
          </w:tblCellMar>
        </w:tblPrEx>
        <w:trPr>
          <w:trHeight w:val="269" w:hRule="atLeast"/>
          <w:jc w:val="center"/>
        </w:trPr>
        <w:tc>
          <w:tcPr>
            <w:tcW w:w="5236" w:type="dxa"/>
            <w:gridSpan w:val="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rPr>
              <w:t>部门：</w:t>
            </w:r>
            <w:r>
              <w:rPr>
                <w:rFonts w:hint="eastAsia" w:ascii="宋体" w:hAnsi="宋体" w:cs="宋体"/>
                <w:color w:val="000000"/>
                <w:kern w:val="0"/>
                <w:sz w:val="20"/>
                <w:szCs w:val="20"/>
                <w:lang w:eastAsia="zh-CN"/>
              </w:rPr>
              <w:t>廊坊市大厂回族自治县人民法院（本级）</w:t>
            </w:r>
          </w:p>
        </w:tc>
        <w:tc>
          <w:tcPr>
            <w:tcW w:w="74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6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644"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0" w:type="dxa"/>
            <w:bottom w:w="0" w:type="dxa"/>
            <w:right w:w="0" w:type="dxa"/>
          </w:tblCellMar>
        </w:tblPrEx>
        <w:trPr>
          <w:trHeight w:val="277" w:hRule="atLeast"/>
          <w:jc w:val="center"/>
        </w:trPr>
        <w:tc>
          <w:tcPr>
            <w:tcW w:w="29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人员经费</w:t>
            </w:r>
          </w:p>
        </w:tc>
        <w:tc>
          <w:tcPr>
            <w:tcW w:w="6183"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公用经费</w:t>
            </w:r>
          </w:p>
        </w:tc>
      </w:tr>
      <w:tr>
        <w:tblPrEx>
          <w:tblCellMar>
            <w:top w:w="0" w:type="dxa"/>
            <w:left w:w="0" w:type="dxa"/>
            <w:bottom w:w="0" w:type="dxa"/>
            <w:right w:w="0" w:type="dxa"/>
          </w:tblCellMar>
        </w:tblPrEx>
        <w:trPr>
          <w:trHeight w:val="312" w:hRule="atLeast"/>
          <w:jc w:val="center"/>
        </w:trPr>
        <w:tc>
          <w:tcPr>
            <w:tcW w:w="55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科目编码</w:t>
            </w:r>
          </w:p>
        </w:tc>
        <w:tc>
          <w:tcPr>
            <w:tcW w:w="159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c>
          <w:tcPr>
            <w:tcW w:w="4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科目编码</w:t>
            </w:r>
          </w:p>
        </w:tc>
        <w:tc>
          <w:tcPr>
            <w:tcW w:w="17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73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c>
          <w:tcPr>
            <w:tcW w:w="5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科目编码</w:t>
            </w:r>
          </w:p>
        </w:tc>
        <w:tc>
          <w:tcPr>
            <w:tcW w:w="178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85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r>
      <w:tr>
        <w:tblPrEx>
          <w:tblCellMar>
            <w:top w:w="0" w:type="dxa"/>
            <w:left w:w="0" w:type="dxa"/>
            <w:bottom w:w="0" w:type="dxa"/>
            <w:right w:w="0" w:type="dxa"/>
          </w:tblCellMar>
        </w:tblPrEx>
        <w:trPr>
          <w:trHeight w:val="312" w:hRule="atLeast"/>
          <w:jc w:val="center"/>
        </w:trPr>
        <w:tc>
          <w:tcPr>
            <w:tcW w:w="55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159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4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17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7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5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17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8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r>
      <w:tr>
        <w:tblPrEx>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工资福利支出</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1383.81</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商品和服务支出</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233.52</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债务利息及费用支出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30101</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基本工资</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324.53</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30201</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办公费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16.55</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30701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国内债务付息</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30102</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津贴补贴</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538.43</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30202</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印刷费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0.98</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30702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国外债务付息</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30103</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奖金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231.08</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30203</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咨询费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资本性支出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r>
              <w:rPr>
                <w:rFonts w:hint="eastAsia" w:ascii="宋体" w:hAnsi="宋体" w:cs="宋体"/>
                <w:color w:val="000000"/>
                <w:sz w:val="20"/>
                <w:szCs w:val="20"/>
              </w:rPr>
              <w:t>1.56</w:t>
            </w:r>
          </w:p>
        </w:tc>
      </w:tr>
      <w:tr>
        <w:tblPrEx>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30106</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伙食补助费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30204</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手续费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0.92</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房屋建筑物购建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30107</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绩效工资</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30205</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水费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1.21</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办公设备购置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r>
              <w:rPr>
                <w:rFonts w:hint="eastAsia" w:ascii="宋体" w:hAnsi="宋体" w:cs="宋体"/>
                <w:color w:val="000000"/>
                <w:sz w:val="20"/>
                <w:szCs w:val="20"/>
              </w:rPr>
              <w:t>0.66</w:t>
            </w:r>
          </w:p>
        </w:tc>
      </w:tr>
      <w:tr>
        <w:tblPrEx>
          <w:tblCellMar>
            <w:top w:w="0" w:type="dxa"/>
            <w:left w:w="0" w:type="dxa"/>
            <w:bottom w:w="0" w:type="dxa"/>
            <w:right w:w="0" w:type="dxa"/>
          </w:tblCellMar>
        </w:tblPrEx>
        <w:trPr>
          <w:trHeight w:val="425"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30108</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机关事业单位基本养老保险缴费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122.38</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30206</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电费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15.08</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31003</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专用设备购置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r>
              <w:rPr>
                <w:rFonts w:hint="eastAsia" w:ascii="宋体" w:hAnsi="宋体" w:cs="宋体"/>
                <w:color w:val="000000"/>
                <w:sz w:val="20"/>
                <w:szCs w:val="20"/>
              </w:rPr>
              <w:t>0.9</w:t>
            </w:r>
          </w:p>
        </w:tc>
      </w:tr>
      <w:tr>
        <w:tblPrEx>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30109</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职业年金缴费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30207</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邮电费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52.64</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31005</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基础设施建设</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30110</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职工基本医疗保险缴费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43.83</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30208</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取暖费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33.19</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31006</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大型修缮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30111</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公务员医疗补助缴费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30209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物业管理费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2.59</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信息网络及软件购置更新</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30112</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其他社会保障缴费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2.83</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30211</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差旅费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1.65</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31008</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物资储备</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30113</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住房公积金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78.66</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30212</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因公出国（境）费用</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31009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土地补偿</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30114</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医疗费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30213</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维修（护）费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3.16</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31010</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安置补助</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30199</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其他工资福利支出</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42.07</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30214</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租赁费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地上附着物和青苗补偿</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对个人和家庭的补助</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4.82</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30215</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会议费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拆迁补偿</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30301</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离休费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30216</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培训费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2.62</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31013</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公务用车购置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30302</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退休费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30217</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公务接待费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0.58</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31019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其他交通工具购置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30303</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退职（役）费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30218</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专用材料费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31021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文物和陈列品购置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30304</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抚恤金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30224</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被装购置费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31022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无形资产购置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30305</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生活补助</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4.42</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30225</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专用燃料费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31099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其他资本性支出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30306</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救济费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30226</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劳务费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5.97</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其他支出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30307</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医疗费补助</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30227</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委托业务费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39906</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赠与</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30308</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助学金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30228</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工会经费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7.97</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国家赔偿费用支出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0"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30309</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奖励金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30229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福利费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39908</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对民间非营利组织和群众性自治组织补贴</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30310</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个人农业生产补贴</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30231</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公务用车运行维护费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27.35</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39999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397"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30399</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其他对个人和家庭的补助支出</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0.4</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30239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其他交通费用</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45.97</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30240</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税金及附加费用</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425"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30299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其他商品和服务支出</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15.11</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157"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center"/>
              <w:textAlignment w:val="center"/>
              <w:rPr>
                <w:rFonts w:ascii="宋体" w:hAnsi="宋体" w:cs="宋体"/>
                <w:color w:val="000000"/>
                <w:sz w:val="16"/>
                <w:szCs w:val="16"/>
              </w:rPr>
            </w:pPr>
            <w:r>
              <w:rPr>
                <w:rFonts w:hint="eastAsia" w:ascii="宋体" w:hAnsi="宋体" w:cs="宋体"/>
                <w:color w:val="000000"/>
                <w:kern w:val="0"/>
                <w:sz w:val="16"/>
                <w:szCs w:val="16"/>
              </w:rPr>
              <w:t>人员经费合计</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1388.63</w:t>
            </w:r>
          </w:p>
        </w:tc>
        <w:tc>
          <w:tcPr>
            <w:tcW w:w="5326"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center"/>
              <w:textAlignment w:val="center"/>
              <w:rPr>
                <w:rFonts w:ascii="宋体" w:hAnsi="宋体" w:cs="宋体"/>
                <w:color w:val="000000"/>
                <w:sz w:val="16"/>
                <w:szCs w:val="16"/>
              </w:rPr>
            </w:pPr>
            <w:r>
              <w:rPr>
                <w:rFonts w:hint="eastAsia" w:ascii="宋体" w:hAnsi="宋体" w:cs="宋体"/>
                <w:color w:val="000000"/>
                <w:kern w:val="0"/>
                <w:sz w:val="16"/>
                <w:szCs w:val="16"/>
              </w:rPr>
              <w:t>公用经费合计</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right"/>
              <w:rPr>
                <w:rFonts w:ascii="宋体" w:hAnsi="宋体" w:cs="宋体"/>
                <w:color w:val="000000"/>
                <w:sz w:val="16"/>
                <w:szCs w:val="16"/>
              </w:rPr>
            </w:pPr>
            <w:r>
              <w:rPr>
                <w:rFonts w:hint="eastAsia" w:ascii="宋体" w:hAnsi="宋体" w:cs="宋体"/>
                <w:color w:val="000000"/>
                <w:sz w:val="16"/>
                <w:szCs w:val="16"/>
              </w:rPr>
              <w:t>235.07</w:t>
            </w:r>
          </w:p>
        </w:tc>
      </w:tr>
      <w:tr>
        <w:tblPrEx>
          <w:tblCellMar>
            <w:top w:w="0" w:type="dxa"/>
            <w:left w:w="0" w:type="dxa"/>
            <w:bottom w:w="0" w:type="dxa"/>
            <w:right w:w="0" w:type="dxa"/>
          </w:tblCellMar>
        </w:tblPrEx>
        <w:trPr>
          <w:trHeight w:val="277" w:hRule="atLeast"/>
          <w:jc w:val="center"/>
        </w:trPr>
        <w:tc>
          <w:tcPr>
            <w:tcW w:w="9180" w:type="dxa"/>
            <w:gridSpan w:val="9"/>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注：本表反映部门本年度一般公共预算财政拨款基本支出明细情况。        </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00" w:type="dxa"/>
        <w:jc w:val="center"/>
        <w:tblLayout w:type="fixed"/>
        <w:tblCellMar>
          <w:top w:w="0" w:type="dxa"/>
          <w:left w:w="0" w:type="dxa"/>
          <w:bottom w:w="0" w:type="dxa"/>
          <w:right w:w="0" w:type="dxa"/>
        </w:tblCellMar>
      </w:tblPr>
      <w:tblGrid>
        <w:gridCol w:w="1158"/>
        <w:gridCol w:w="1527"/>
        <w:gridCol w:w="1528"/>
        <w:gridCol w:w="1530"/>
        <w:gridCol w:w="1530"/>
        <w:gridCol w:w="1527"/>
      </w:tblGrid>
      <w:tr>
        <w:tblPrEx>
          <w:tblCellMar>
            <w:top w:w="0" w:type="dxa"/>
            <w:left w:w="0" w:type="dxa"/>
            <w:bottom w:w="0" w:type="dxa"/>
            <w:right w:w="0" w:type="dxa"/>
          </w:tblCellMar>
        </w:tblPrEx>
        <w:trPr>
          <w:trHeight w:val="584" w:hRule="atLeast"/>
          <w:jc w:val="center"/>
        </w:trPr>
        <w:tc>
          <w:tcPr>
            <w:tcW w:w="8800" w:type="dxa"/>
            <w:gridSpan w:val="6"/>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一般公共预算财政拨款“三公”经费支出决算表</w:t>
            </w:r>
          </w:p>
        </w:tc>
      </w:tr>
      <w:tr>
        <w:tblPrEx>
          <w:tblCellMar>
            <w:top w:w="0" w:type="dxa"/>
            <w:left w:w="0" w:type="dxa"/>
            <w:bottom w:w="0" w:type="dxa"/>
            <w:right w:w="0" w:type="dxa"/>
          </w:tblCellMar>
        </w:tblPrEx>
        <w:trPr>
          <w:trHeight w:val="347" w:hRule="atLeast"/>
          <w:jc w:val="center"/>
        </w:trPr>
        <w:tc>
          <w:tcPr>
            <w:tcW w:w="1158"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8"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rPr>
              <w:t>公开07表</w:t>
            </w:r>
          </w:p>
        </w:tc>
      </w:tr>
      <w:tr>
        <w:tblPrEx>
          <w:tblCellMar>
            <w:top w:w="0" w:type="dxa"/>
            <w:left w:w="0" w:type="dxa"/>
            <w:bottom w:w="0" w:type="dxa"/>
            <w:right w:w="0" w:type="dxa"/>
          </w:tblCellMar>
        </w:tblPrEx>
        <w:trPr>
          <w:trHeight w:val="347" w:hRule="atLeast"/>
          <w:jc w:val="center"/>
        </w:trPr>
        <w:tc>
          <w:tcPr>
            <w:tcW w:w="7273" w:type="dxa"/>
            <w:gridSpan w:val="5"/>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廊坊市大厂回族自治县人民法院（本级）</w:t>
            </w:r>
          </w:p>
        </w:tc>
        <w:tc>
          <w:tcPr>
            <w:tcW w:w="1527"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482"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预算数</w:t>
            </w:r>
          </w:p>
        </w:tc>
      </w:tr>
      <w:tr>
        <w:tblPrEx>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公务接待费</w:t>
            </w:r>
          </w:p>
        </w:tc>
      </w:tr>
      <w:tr>
        <w:tblPrEx>
          <w:tblCellMar>
            <w:top w:w="0" w:type="dxa"/>
            <w:left w:w="0" w:type="dxa"/>
            <w:bottom w:w="0" w:type="dxa"/>
            <w:right w:w="0" w:type="dxa"/>
          </w:tblCellMar>
        </w:tblPrEx>
        <w:trPr>
          <w:trHeight w:val="686"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28.23</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27.5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27.5</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0.73</w:t>
            </w:r>
          </w:p>
        </w:tc>
      </w:tr>
      <w:tr>
        <w:tblPrEx>
          <w:tblCellMar>
            <w:top w:w="0" w:type="dxa"/>
            <w:left w:w="0" w:type="dxa"/>
            <w:bottom w:w="0" w:type="dxa"/>
            <w:right w:w="0" w:type="dxa"/>
          </w:tblCellMar>
        </w:tblPrEx>
        <w:trPr>
          <w:trHeight w:val="498"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r>
      <w:tr>
        <w:tblPrEx>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公务接待费</w:t>
            </w:r>
          </w:p>
        </w:tc>
      </w:tr>
      <w:tr>
        <w:tblPrEx>
          <w:tblCellMar>
            <w:top w:w="0" w:type="dxa"/>
            <w:left w:w="0" w:type="dxa"/>
            <w:bottom w:w="0" w:type="dxa"/>
            <w:right w:w="0" w:type="dxa"/>
          </w:tblCellMar>
        </w:tblPrEx>
        <w:trPr>
          <w:trHeight w:val="672"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7</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8</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12</w:t>
            </w: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27.93</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27.35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27.35</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0.58</w:t>
            </w:r>
          </w:p>
        </w:tc>
      </w:tr>
      <w:tr>
        <w:tblPrEx>
          <w:tblCellMar>
            <w:top w:w="0" w:type="dxa"/>
            <w:left w:w="0" w:type="dxa"/>
            <w:bottom w:w="0" w:type="dxa"/>
            <w:right w:w="0" w:type="dxa"/>
          </w:tblCellMar>
        </w:tblPrEx>
        <w:trPr>
          <w:trHeight w:val="782" w:hRule="atLeast"/>
          <w:jc w:val="center"/>
        </w:trPr>
        <w:tc>
          <w:tcPr>
            <w:tcW w:w="8800" w:type="dxa"/>
            <w:gridSpan w:val="6"/>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注：本表反映部门本年度“三公”经费支出预决算情况。其中：预算数为“三公”经费年初预算数，决算数是包括当年一般公共预算财政拨款和以前年度结转资金安排的实际支出。           </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2"/>
        <w:tblW w:w="8860" w:type="dxa"/>
        <w:tblInd w:w="0" w:type="dxa"/>
        <w:tblLayout w:type="fixed"/>
        <w:tblCellMar>
          <w:top w:w="0" w:type="dxa"/>
          <w:left w:w="0" w:type="dxa"/>
          <w:bottom w:w="0" w:type="dxa"/>
          <w:right w:w="0" w:type="dxa"/>
        </w:tblCellMar>
      </w:tblPr>
      <w:tblGrid>
        <w:gridCol w:w="296"/>
        <w:gridCol w:w="191"/>
        <w:gridCol w:w="479"/>
        <w:gridCol w:w="669"/>
        <w:gridCol w:w="376"/>
        <w:gridCol w:w="1166"/>
        <w:gridCol w:w="840"/>
        <w:gridCol w:w="1191"/>
        <w:gridCol w:w="1192"/>
        <w:gridCol w:w="1192"/>
        <w:gridCol w:w="1268"/>
      </w:tblGrid>
      <w:tr>
        <w:tblPrEx>
          <w:tblCellMar>
            <w:top w:w="0" w:type="dxa"/>
            <w:left w:w="0" w:type="dxa"/>
            <w:bottom w:w="0" w:type="dxa"/>
            <w:right w:w="0" w:type="dxa"/>
          </w:tblCellMar>
        </w:tblPrEx>
        <w:trPr>
          <w:trHeight w:val="707" w:hRule="atLeast"/>
        </w:trPr>
        <w:tc>
          <w:tcPr>
            <w:tcW w:w="8860" w:type="dxa"/>
            <w:gridSpan w:val="11"/>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政府性基金预算财政拨款收入支出决算表</w:t>
            </w:r>
          </w:p>
        </w:tc>
      </w:tr>
      <w:tr>
        <w:tblPrEx>
          <w:tblCellMar>
            <w:top w:w="0" w:type="dxa"/>
            <w:left w:w="0" w:type="dxa"/>
            <w:bottom w:w="0" w:type="dxa"/>
            <w:right w:w="0" w:type="dxa"/>
          </w:tblCellMar>
        </w:tblPrEx>
        <w:trPr>
          <w:trHeight w:val="315" w:hRule="atLeast"/>
        </w:trPr>
        <w:tc>
          <w:tcPr>
            <w:tcW w:w="296"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9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479"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669"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542"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268"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公开08表</w:t>
            </w:r>
          </w:p>
        </w:tc>
      </w:tr>
      <w:tr>
        <w:tblPrEx>
          <w:tblCellMar>
            <w:top w:w="0" w:type="dxa"/>
            <w:left w:w="0" w:type="dxa"/>
            <w:bottom w:w="0" w:type="dxa"/>
            <w:right w:w="0" w:type="dxa"/>
          </w:tblCellMar>
        </w:tblPrEx>
        <w:trPr>
          <w:trHeight w:val="411" w:hRule="atLeast"/>
        </w:trPr>
        <w:tc>
          <w:tcPr>
            <w:tcW w:w="4017" w:type="dxa"/>
            <w:gridSpan w:val="7"/>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r>
              <w:rPr>
                <w:rFonts w:hint="eastAsia" w:ascii="宋体" w:hAnsi="宋体" w:cs="宋体"/>
                <w:color w:val="000000"/>
                <w:kern w:val="0"/>
                <w:szCs w:val="21"/>
              </w:rPr>
              <w:t>部门：</w:t>
            </w:r>
            <w:r>
              <w:rPr>
                <w:rFonts w:hint="eastAsia" w:ascii="宋体" w:hAnsi="宋体" w:cs="宋体"/>
                <w:color w:val="000000"/>
                <w:kern w:val="0"/>
                <w:sz w:val="20"/>
                <w:szCs w:val="20"/>
                <w:lang w:eastAsia="zh-CN"/>
              </w:rPr>
              <w:t>廊坊市大厂回族自治县人民法院（本级）</w:t>
            </w:r>
          </w:p>
        </w:tc>
        <w:tc>
          <w:tcPr>
            <w:tcW w:w="119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2460"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324" w:hRule="atLeast"/>
        </w:trPr>
        <w:tc>
          <w:tcPr>
            <w:tcW w:w="201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116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年初结转和结余</w:t>
            </w:r>
          </w:p>
        </w:tc>
        <w:tc>
          <w:tcPr>
            <w:tcW w:w="8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本年收入</w:t>
            </w:r>
          </w:p>
        </w:tc>
        <w:tc>
          <w:tcPr>
            <w:tcW w:w="357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本年支出</w:t>
            </w:r>
          </w:p>
        </w:tc>
        <w:tc>
          <w:tcPr>
            <w:tcW w:w="126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年末结转和结余</w:t>
            </w:r>
          </w:p>
        </w:tc>
      </w:tr>
      <w:tr>
        <w:tblPrEx>
          <w:tblCellMar>
            <w:top w:w="0" w:type="dxa"/>
            <w:left w:w="0" w:type="dxa"/>
            <w:bottom w:w="0" w:type="dxa"/>
            <w:right w:w="0" w:type="dxa"/>
          </w:tblCellMar>
        </w:tblPrEx>
        <w:trPr>
          <w:trHeight w:val="324" w:hRule="atLeast"/>
        </w:trPr>
        <w:tc>
          <w:tcPr>
            <w:tcW w:w="96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功能分类科目编码</w:t>
            </w:r>
          </w:p>
        </w:tc>
        <w:tc>
          <w:tcPr>
            <w:tcW w:w="1045" w:type="dxa"/>
            <w:gridSpan w:val="2"/>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1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基本支出</w:t>
            </w:r>
          </w:p>
        </w:tc>
        <w:tc>
          <w:tcPr>
            <w:tcW w:w="11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项目支出</w:t>
            </w:r>
          </w:p>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045"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12" w:hRule="atLeast"/>
        </w:trPr>
        <w:tc>
          <w:tcPr>
            <w:tcW w:w="96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045"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2011"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CellMar>
            <w:top w:w="0" w:type="dxa"/>
            <w:left w:w="0" w:type="dxa"/>
            <w:bottom w:w="0" w:type="dxa"/>
            <w:right w:w="0" w:type="dxa"/>
          </w:tblCellMar>
        </w:tblPrEx>
        <w:trPr>
          <w:trHeight w:val="324" w:hRule="atLeast"/>
        </w:trPr>
        <w:tc>
          <w:tcPr>
            <w:tcW w:w="2011"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8860" w:type="dxa"/>
            <w:gridSpan w:val="11"/>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注：本表反映部门本年度政府性基金预算财政拨款收入、支出及结转和结余情况。         </w:t>
            </w:r>
          </w:p>
        </w:tc>
      </w:tr>
    </w:tbl>
    <w:p>
      <w:pPr>
        <w:widowControl/>
        <w:spacing w:after="0" w:line="560" w:lineRule="exact"/>
        <w:jc w:val="left"/>
        <w:rPr>
          <w:rFonts w:ascii="仿宋_GB2312" w:eastAsia="宋体" w:hAnsiTheme="majorEastAsia"/>
          <w:b/>
          <w:sz w:val="21"/>
          <w:szCs w:val="28"/>
          <w:highlight w:val="none"/>
        </w:rPr>
        <w:sectPr>
          <w:pgSz w:w="11906" w:h="16838"/>
          <w:pgMar w:top="2098" w:right="1474" w:bottom="1984" w:left="1588" w:header="851" w:footer="992" w:gutter="0"/>
          <w:cols w:space="0" w:num="1"/>
          <w:docGrid w:type="lines" w:linePitch="312" w:charSpace="0"/>
        </w:sectPr>
      </w:pPr>
      <w:r>
        <w:rPr>
          <w:rFonts w:hint="eastAsia" w:ascii="楷体" w:hAnsi="楷体" w:eastAsia="宋体" w:cs="楷体"/>
          <w:sz w:val="21"/>
          <w:szCs w:val="32"/>
          <w:highlight w:val="none"/>
          <w:lang w:eastAsia="zh-CN"/>
        </w:rPr>
        <w:t>注：</w:t>
      </w:r>
      <w:r>
        <w:rPr>
          <w:rFonts w:hint="eastAsia" w:ascii="楷体" w:hAnsi="楷体" w:eastAsia="宋体" w:cs="楷体"/>
          <w:sz w:val="21"/>
          <w:szCs w:val="32"/>
          <w:highlight w:val="none"/>
        </w:rPr>
        <w:t>本部门本年度无</w:t>
      </w:r>
      <w:r>
        <w:rPr>
          <w:rFonts w:hint="eastAsia" w:ascii="楷体" w:hAnsi="楷体" w:cs="楷体"/>
          <w:sz w:val="21"/>
          <w:szCs w:val="32"/>
          <w:highlight w:val="none"/>
          <w:lang w:eastAsia="zh-CN"/>
        </w:rPr>
        <w:t>政府性基金预算财政拨款收入支出</w:t>
      </w:r>
      <w:r>
        <w:rPr>
          <w:rFonts w:hint="eastAsia" w:ascii="楷体" w:hAnsi="楷体" w:eastAsia="宋体" w:cs="楷体"/>
          <w:sz w:val="21"/>
          <w:szCs w:val="32"/>
          <w:highlight w:val="none"/>
        </w:rPr>
        <w:t>情况，按要求空表列示。</w:t>
      </w:r>
    </w:p>
    <w:tbl>
      <w:tblPr>
        <w:tblStyle w:val="12"/>
        <w:tblW w:w="8800" w:type="dxa"/>
        <w:tblInd w:w="0" w:type="dxa"/>
        <w:tblLayout w:type="fixed"/>
        <w:tblCellMar>
          <w:top w:w="0" w:type="dxa"/>
          <w:left w:w="0" w:type="dxa"/>
          <w:bottom w:w="0" w:type="dxa"/>
          <w:right w:w="0" w:type="dxa"/>
        </w:tblCellMar>
      </w:tblPr>
      <w:tblGrid>
        <w:gridCol w:w="442"/>
        <w:gridCol w:w="208"/>
        <w:gridCol w:w="504"/>
        <w:gridCol w:w="274"/>
        <w:gridCol w:w="894"/>
        <w:gridCol w:w="783"/>
        <w:gridCol w:w="252"/>
        <w:gridCol w:w="1646"/>
        <w:gridCol w:w="359"/>
        <w:gridCol w:w="1539"/>
        <w:gridCol w:w="1899"/>
      </w:tblGrid>
      <w:tr>
        <w:tblPrEx>
          <w:tblCellMar>
            <w:top w:w="0" w:type="dxa"/>
            <w:left w:w="0" w:type="dxa"/>
            <w:bottom w:w="0" w:type="dxa"/>
            <w:right w:w="0" w:type="dxa"/>
          </w:tblCellMar>
        </w:tblPrEx>
        <w:trPr>
          <w:trHeight w:val="656" w:hRule="atLeast"/>
        </w:trPr>
        <w:tc>
          <w:tcPr>
            <w:tcW w:w="8800" w:type="dxa"/>
            <w:gridSpan w:val="11"/>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国有资本经营预算财政拨款支出决算表</w:t>
            </w:r>
          </w:p>
        </w:tc>
      </w:tr>
      <w:tr>
        <w:tblPrEx>
          <w:tblCellMar>
            <w:top w:w="0" w:type="dxa"/>
            <w:left w:w="0" w:type="dxa"/>
            <w:bottom w:w="0" w:type="dxa"/>
            <w:right w:w="0" w:type="dxa"/>
          </w:tblCellMar>
        </w:tblPrEx>
        <w:trPr>
          <w:trHeight w:val="335" w:hRule="atLeast"/>
        </w:trPr>
        <w:tc>
          <w:tcPr>
            <w:tcW w:w="442"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08"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04"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16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03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00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公开09表</w:t>
            </w:r>
          </w:p>
        </w:tc>
      </w:tr>
      <w:tr>
        <w:tblPrEx>
          <w:tblCellMar>
            <w:top w:w="0" w:type="dxa"/>
            <w:left w:w="0" w:type="dxa"/>
            <w:bottom w:w="0" w:type="dxa"/>
            <w:right w:w="0" w:type="dxa"/>
          </w:tblCellMar>
        </w:tblPrEx>
        <w:trPr>
          <w:trHeight w:val="335" w:hRule="atLeast"/>
        </w:trPr>
        <w:tc>
          <w:tcPr>
            <w:tcW w:w="5362" w:type="dxa"/>
            <w:gridSpan w:val="9"/>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r>
              <w:rPr>
                <w:rFonts w:hint="eastAsia" w:ascii="宋体" w:hAnsi="宋体" w:cs="宋体"/>
                <w:color w:val="000000"/>
                <w:kern w:val="0"/>
                <w:sz w:val="22"/>
                <w:szCs w:val="22"/>
              </w:rPr>
              <w:t>编制单位：</w:t>
            </w:r>
            <w:r>
              <w:rPr>
                <w:rFonts w:hint="eastAsia" w:ascii="宋体" w:hAnsi="宋体" w:cs="宋体"/>
                <w:color w:val="000000"/>
                <w:kern w:val="0"/>
                <w:sz w:val="20"/>
                <w:szCs w:val="20"/>
                <w:lang w:eastAsia="zh-CN"/>
              </w:rPr>
              <w:t>廊坊市大厂回族自治县人民法院（本级）</w:t>
            </w: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0" w:type="dxa"/>
            <w:bottom w:w="0" w:type="dxa"/>
            <w:right w:w="0" w:type="dxa"/>
          </w:tblCellMar>
        </w:tblPrEx>
        <w:trPr>
          <w:trHeight w:val="358" w:hRule="atLeast"/>
        </w:trPr>
        <w:tc>
          <w:tcPr>
            <w:tcW w:w="310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科目</w:t>
            </w:r>
          </w:p>
        </w:tc>
        <w:tc>
          <w:tcPr>
            <w:tcW w:w="5695"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w:t>
            </w:r>
          </w:p>
        </w:tc>
      </w:tr>
      <w:tr>
        <w:tblPrEx>
          <w:tblCellMar>
            <w:top w:w="0" w:type="dxa"/>
            <w:left w:w="0" w:type="dxa"/>
            <w:bottom w:w="0" w:type="dxa"/>
            <w:right w:w="0" w:type="dxa"/>
          </w:tblCellMar>
        </w:tblPrEx>
        <w:trPr>
          <w:trHeight w:val="82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r>
      <w:tr>
        <w:tblPrEx>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tblPrEx>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58" w:hRule="atLeast"/>
        </w:trPr>
        <w:tc>
          <w:tcPr>
            <w:tcW w:w="8800" w:type="dxa"/>
            <w:gridSpan w:val="11"/>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注：本表反映部门本年度国有资本经营预算财政拨款支出情况。</w:t>
            </w:r>
          </w:p>
        </w:tc>
      </w:tr>
    </w:tbl>
    <w:p>
      <w:pPr>
        <w:widowControl/>
        <w:spacing w:after="0" w:line="560" w:lineRule="exact"/>
        <w:jc w:val="left"/>
        <w:rPr>
          <w:rFonts w:ascii="仿宋_GB2312" w:eastAsia="宋体" w:hAnsiTheme="majorEastAsia"/>
          <w:b/>
          <w:sz w:val="21"/>
          <w:szCs w:val="28"/>
          <w:highlight w:val="none"/>
        </w:rPr>
        <w:sectPr>
          <w:pgSz w:w="11906" w:h="16838"/>
          <w:pgMar w:top="2098" w:right="1474" w:bottom="1984" w:left="1588" w:header="851" w:footer="992" w:gutter="0"/>
          <w:cols w:space="0" w:num="1"/>
          <w:docGrid w:type="lines" w:linePitch="312" w:charSpace="0"/>
        </w:sectPr>
      </w:pPr>
      <w:r>
        <w:rPr>
          <w:rFonts w:hint="eastAsia" w:ascii="楷体" w:hAnsi="楷体" w:eastAsia="宋体" w:cs="楷体"/>
          <w:sz w:val="21"/>
          <w:szCs w:val="32"/>
          <w:highlight w:val="none"/>
          <w:lang w:eastAsia="zh-CN"/>
        </w:rPr>
        <w:t>注：</w:t>
      </w:r>
      <w:r>
        <w:rPr>
          <w:rFonts w:hint="eastAsia" w:ascii="楷体" w:hAnsi="楷体" w:eastAsia="宋体" w:cs="楷体"/>
          <w:sz w:val="21"/>
          <w:szCs w:val="32"/>
          <w:highlight w:val="none"/>
        </w:rPr>
        <w:t>本部门本年度无</w:t>
      </w:r>
      <w:r>
        <w:rPr>
          <w:rFonts w:hint="eastAsia" w:ascii="楷体" w:hAnsi="楷体" w:cs="楷体"/>
          <w:sz w:val="21"/>
          <w:szCs w:val="32"/>
          <w:highlight w:val="none"/>
          <w:lang w:eastAsia="zh-CN"/>
        </w:rPr>
        <w:t>国有资本经营预算财政拨款支出</w:t>
      </w:r>
      <w:r>
        <w:rPr>
          <w:rFonts w:hint="eastAsia" w:ascii="楷体" w:hAnsi="楷体" w:eastAsia="宋体" w:cs="楷体"/>
          <w:sz w:val="21"/>
          <w:szCs w:val="32"/>
          <w:highlight w:val="none"/>
        </w:rPr>
        <w:t>情况，按要求空表列示</w:t>
      </w:r>
    </w:p>
    <w:tbl>
      <w:tblPr>
        <w:tblStyle w:val="12"/>
        <w:tblW w:w="8940" w:type="dxa"/>
        <w:tblInd w:w="0" w:type="dxa"/>
        <w:tblLayout w:type="fixed"/>
        <w:tblCellMar>
          <w:top w:w="0" w:type="dxa"/>
          <w:left w:w="0" w:type="dxa"/>
          <w:bottom w:w="0" w:type="dxa"/>
          <w:right w:w="0" w:type="dxa"/>
        </w:tblCellMar>
      </w:tblPr>
      <w:tblGrid>
        <w:gridCol w:w="1901"/>
        <w:gridCol w:w="1203"/>
        <w:gridCol w:w="790"/>
        <w:gridCol w:w="362"/>
        <w:gridCol w:w="911"/>
        <w:gridCol w:w="241"/>
        <w:gridCol w:w="1032"/>
        <w:gridCol w:w="120"/>
        <w:gridCol w:w="1154"/>
        <w:gridCol w:w="1226"/>
      </w:tblGrid>
      <w:tr>
        <w:tblPrEx>
          <w:tblCellMar>
            <w:top w:w="0" w:type="dxa"/>
            <w:left w:w="0" w:type="dxa"/>
            <w:bottom w:w="0" w:type="dxa"/>
            <w:right w:w="0" w:type="dxa"/>
          </w:tblCellMar>
        </w:tblPrEx>
        <w:trPr>
          <w:trHeight w:val="635" w:hRule="atLeast"/>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政府采购情况表</w:t>
            </w:r>
          </w:p>
        </w:tc>
      </w:tr>
      <w:tr>
        <w:tblPrEx>
          <w:tblCellMar>
            <w:top w:w="0" w:type="dxa"/>
            <w:left w:w="0" w:type="dxa"/>
            <w:bottom w:w="0" w:type="dxa"/>
            <w:right w:w="0" w:type="dxa"/>
          </w:tblCellMar>
        </w:tblPrEx>
        <w:trPr>
          <w:trHeight w:val="326" w:hRule="atLeast"/>
        </w:trPr>
        <w:tc>
          <w:tcPr>
            <w:tcW w:w="190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公开10表</w:t>
            </w:r>
          </w:p>
        </w:tc>
      </w:tr>
      <w:tr>
        <w:tblPrEx>
          <w:tblCellMar>
            <w:top w:w="0" w:type="dxa"/>
            <w:left w:w="0" w:type="dxa"/>
            <w:bottom w:w="0" w:type="dxa"/>
            <w:right w:w="0" w:type="dxa"/>
          </w:tblCellMar>
        </w:tblPrEx>
        <w:trPr>
          <w:trHeight w:val="360" w:hRule="atLeast"/>
        </w:trPr>
        <w:tc>
          <w:tcPr>
            <w:tcW w:w="6440" w:type="dxa"/>
            <w:gridSpan w:val="7"/>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编制单位：</w:t>
            </w:r>
            <w:r>
              <w:rPr>
                <w:rFonts w:hint="eastAsia" w:ascii="宋体" w:hAnsi="宋体" w:cs="宋体"/>
                <w:color w:val="000000"/>
                <w:kern w:val="0"/>
                <w:sz w:val="20"/>
                <w:szCs w:val="20"/>
                <w:lang w:eastAsia="zh-CN"/>
              </w:rPr>
              <w:t>廊坊市大厂回族自治县人民法院（本级）</w:t>
            </w: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309" w:hRule="atLeast"/>
        </w:trPr>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7039" w:type="dxa"/>
            <w:gridSpan w:val="9"/>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采购计划金额</w:t>
            </w:r>
          </w:p>
        </w:tc>
      </w:tr>
      <w:tr>
        <w:tblPrEx>
          <w:tblCellMar>
            <w:top w:w="0" w:type="dxa"/>
            <w:left w:w="0" w:type="dxa"/>
            <w:bottom w:w="0" w:type="dxa"/>
            <w:right w:w="0" w:type="dxa"/>
          </w:tblCellMar>
        </w:tblPrEx>
        <w:trPr>
          <w:trHeight w:val="398" w:hRule="atLeast"/>
        </w:trPr>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总计</w:t>
            </w:r>
          </w:p>
        </w:tc>
        <w:tc>
          <w:tcPr>
            <w:tcW w:w="461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采购预算（财政性资金）</w:t>
            </w:r>
          </w:p>
        </w:tc>
        <w:tc>
          <w:tcPr>
            <w:tcW w:w="122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非财政性资金</w:t>
            </w:r>
          </w:p>
        </w:tc>
      </w:tr>
      <w:tr>
        <w:tblPrEx>
          <w:tblCellMar>
            <w:top w:w="0" w:type="dxa"/>
            <w:left w:w="0" w:type="dxa"/>
            <w:bottom w:w="0" w:type="dxa"/>
            <w:right w:w="0" w:type="dxa"/>
          </w:tblCellMar>
        </w:tblPrEx>
        <w:trPr>
          <w:trHeight w:val="473" w:hRule="atLeast"/>
        </w:trPr>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一般公共预算</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政府性基金预算</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其他资金</w:t>
            </w:r>
          </w:p>
        </w:tc>
        <w:tc>
          <w:tcPr>
            <w:tcW w:w="122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       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221.22</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221.22</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221.22</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货物</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221.22</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221.22</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221.22</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工程</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服务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09" w:hRule="atLeast"/>
        </w:trPr>
        <w:tc>
          <w:tcPr>
            <w:tcW w:w="190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703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实际采购金额</w:t>
            </w:r>
          </w:p>
        </w:tc>
      </w:tr>
      <w:tr>
        <w:tblPrEx>
          <w:tblCellMar>
            <w:top w:w="0" w:type="dxa"/>
            <w:left w:w="0" w:type="dxa"/>
            <w:bottom w:w="0" w:type="dxa"/>
            <w:right w:w="0" w:type="dxa"/>
          </w:tblCellMar>
        </w:tblPrEx>
        <w:trPr>
          <w:trHeight w:val="350" w:hRule="atLeast"/>
        </w:trPr>
        <w:tc>
          <w:tcPr>
            <w:tcW w:w="190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总计</w:t>
            </w:r>
          </w:p>
        </w:tc>
        <w:tc>
          <w:tcPr>
            <w:tcW w:w="461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采购预算（财政性资金）</w:t>
            </w:r>
          </w:p>
        </w:tc>
        <w:tc>
          <w:tcPr>
            <w:tcW w:w="122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非财政性资金</w:t>
            </w:r>
          </w:p>
        </w:tc>
      </w:tr>
      <w:tr>
        <w:tblPrEx>
          <w:tblCellMar>
            <w:top w:w="0" w:type="dxa"/>
            <w:left w:w="0" w:type="dxa"/>
            <w:bottom w:w="0" w:type="dxa"/>
            <w:right w:w="0" w:type="dxa"/>
          </w:tblCellMar>
        </w:tblPrEx>
        <w:trPr>
          <w:trHeight w:val="543" w:hRule="atLeast"/>
        </w:trPr>
        <w:tc>
          <w:tcPr>
            <w:tcW w:w="190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一般公共预算</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政府性基金预算</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其他资金</w:t>
            </w:r>
          </w:p>
        </w:tc>
        <w:tc>
          <w:tcPr>
            <w:tcW w:w="122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09"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       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220.15</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220.15</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220.15</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货物</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220.15</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220.15</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r>
              <w:rPr>
                <w:rFonts w:hint="eastAsia" w:ascii="宋体" w:hAnsi="宋体" w:cs="宋体"/>
                <w:color w:val="000000"/>
                <w:szCs w:val="21"/>
              </w:rPr>
              <w:t>220.15</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工程</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服务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98" w:hRule="atLeast"/>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注：本表反映部门本年度纳入部门预算范围的政府采购预算及支出情况。     </w:t>
            </w:r>
          </w:p>
        </w:tc>
      </w:tr>
    </w:tbl>
    <w:p>
      <w:pPr>
        <w:widowControl/>
        <w:spacing w:line="1200" w:lineRule="exact"/>
        <w:jc w:val="both"/>
        <w:rPr>
          <w:rFonts w:hint="eastAsia" w:hAnsi="宋体" w:asciiTheme="minorEastAsia" w:eastAsiaTheme="minorEastAsia"/>
          <w:color w:val="000000" w:themeColor="text1"/>
          <w:sz w:val="96"/>
          <w:szCs w:val="96"/>
        </w:rPr>
      </w:pPr>
    </w:p>
    <w:p>
      <w:pPr>
        <w:widowControl/>
        <w:spacing w:line="1200" w:lineRule="exact"/>
        <w:jc w:val="both"/>
        <w:rPr>
          <w:rFonts w:hint="eastAsia" w:hAnsi="宋体" w:asciiTheme="minorEastAsia" w:eastAsiaTheme="minorEastAsia"/>
          <w:color w:val="000000" w:themeColor="text1"/>
          <w:sz w:val="96"/>
          <w:szCs w:val="96"/>
        </w:rPr>
      </w:pPr>
    </w:p>
    <w:p>
      <w:pPr>
        <w:widowControl/>
        <w:spacing w:line="1200" w:lineRule="exact"/>
        <w:jc w:val="both"/>
        <w:rPr>
          <w:rFonts w:hint="eastAsia" w:hAnsi="宋体" w:asciiTheme="minorEastAsia" w:eastAsiaTheme="minorEastAsia"/>
          <w:color w:val="000000" w:themeColor="text1"/>
          <w:sz w:val="96"/>
          <w:szCs w:val="96"/>
        </w:rPr>
      </w:pPr>
    </w:p>
    <w:p>
      <w:pPr>
        <w:widowControl/>
        <w:spacing w:line="1200" w:lineRule="exact"/>
        <w:jc w:val="both"/>
        <w:rPr>
          <w:rFonts w:hint="eastAsia" w:hAnsi="宋体" w:asciiTheme="minorEastAsia" w:eastAsiaTheme="minorEastAsia"/>
          <w:color w:val="000000" w:themeColor="text1"/>
          <w:sz w:val="96"/>
          <w:szCs w:val="96"/>
        </w:rPr>
      </w:pPr>
    </w:p>
    <w:p>
      <w:pPr>
        <w:widowControl/>
        <w:spacing w:line="1200" w:lineRule="exact"/>
        <w:jc w:val="center"/>
        <w:rPr>
          <w:rFonts w:hint="eastAsia" w:hAnsi="宋体" w:asciiTheme="minorEastAsia" w:eastAsiaTheme="minorEastAsia"/>
          <w:color w:val="000000" w:themeColor="text1"/>
          <w:sz w:val="96"/>
          <w:szCs w:val="96"/>
        </w:rPr>
      </w:pPr>
    </w:p>
    <w:p>
      <w:pPr>
        <w:widowControl/>
        <w:spacing w:line="1200" w:lineRule="exact"/>
        <w:jc w:val="center"/>
        <w:rPr>
          <w:rFonts w:hAnsi="宋体" w:asciiTheme="minorEastAsia" w:eastAsiaTheme="minorEastAsia"/>
          <w:color w:val="000000" w:themeColor="text1"/>
          <w:sz w:val="96"/>
          <w:szCs w:val="96"/>
        </w:rPr>
      </w:pPr>
      <w:r>
        <w:rPr>
          <w:rFonts w:hint="eastAsia" w:hAnsi="宋体" w:asciiTheme="minorEastAsia" w:eastAsiaTheme="minorEastAsia"/>
          <w:color w:val="000000" w:themeColor="text1"/>
          <w:sz w:val="96"/>
          <w:szCs w:val="96"/>
        </w:rPr>
        <w:t>第三部分</w:t>
      </w:r>
    </w:p>
    <w:p>
      <w:pPr>
        <w:widowControl/>
        <w:spacing w:line="1200" w:lineRule="exact"/>
        <w:jc w:val="center"/>
        <w:rPr>
          <w:color w:val="000000" w:themeColor="text1"/>
          <w:sz w:val="96"/>
          <w:szCs w:val="96"/>
        </w:rPr>
      </w:pPr>
      <w:r>
        <w:rPr>
          <w:rFonts w:hint="eastAsia" w:hAnsi="宋体" w:asciiTheme="minorEastAsia" w:eastAsiaTheme="minorEastAsia"/>
          <w:color w:val="000000" w:themeColor="text1"/>
          <w:sz w:val="96"/>
          <w:szCs w:val="96"/>
        </w:rPr>
        <w:t>部门决算情况说明</w:t>
      </w: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hAnsiTheme="minorHAnsi"/>
          <w:b w:val="0"/>
          <w:bCs w:val="0"/>
          <w:kern w:val="0"/>
        </w:rPr>
        <w:t>支出</w:t>
      </w:r>
      <w:r>
        <w:rPr>
          <w:rFonts w:hint="eastAsia" w:ascii="黑体" w:eastAsia="黑体"/>
          <w:b w:val="0"/>
          <w:bCs w:val="0"/>
        </w:rPr>
        <w:t>决算总体情况说明</w:t>
      </w:r>
    </w:p>
    <w:p>
      <w:pPr>
        <w:adjustRightInd w:val="0"/>
        <w:snapToGrid w:val="0"/>
        <w:spacing w:after="0" w:afterLines="0" w:line="58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s="仿宋_GB2312"/>
          <w:color w:val="auto"/>
          <w:sz w:val="32"/>
          <w:szCs w:val="32"/>
          <w:highlight w:val="none"/>
        </w:rPr>
        <w:t>本部门</w:t>
      </w:r>
      <w:r>
        <w:rPr>
          <w:rFonts w:hint="eastAsia" w:ascii="仿宋" w:hAnsi="仿宋" w:eastAsia="仿宋" w:cs="仿宋_GB2312"/>
          <w:color w:val="auto"/>
          <w:sz w:val="32"/>
          <w:szCs w:val="32"/>
          <w:highlight w:val="none"/>
          <w:lang w:eastAsia="zh-CN"/>
        </w:rPr>
        <w:t>2018年</w:t>
      </w:r>
      <w:r>
        <w:rPr>
          <w:rFonts w:hint="eastAsia" w:ascii="仿宋" w:hAnsi="仿宋" w:eastAsia="仿宋" w:cs="仿宋_GB2312"/>
          <w:color w:val="auto"/>
          <w:sz w:val="32"/>
          <w:szCs w:val="32"/>
          <w:highlight w:val="none"/>
        </w:rPr>
        <w:t>度年</w:t>
      </w:r>
      <w:r>
        <w:rPr>
          <w:rFonts w:hint="eastAsia" w:ascii="仿宋" w:hAnsi="仿宋" w:eastAsia="仿宋" w:cs="仿宋_GB2312"/>
          <w:color w:val="auto"/>
          <w:sz w:val="32"/>
          <w:szCs w:val="32"/>
          <w:highlight w:val="none"/>
          <w:lang w:eastAsia="zh-CN"/>
        </w:rPr>
        <w:t>收支总计（含</w:t>
      </w:r>
      <w:r>
        <w:rPr>
          <w:rFonts w:hint="eastAsia" w:ascii="仿宋" w:hAnsi="仿宋" w:eastAsia="仿宋" w:cs="仿宋_GB2312"/>
          <w:color w:val="auto"/>
          <w:sz w:val="32"/>
          <w:szCs w:val="32"/>
          <w:highlight w:val="none"/>
        </w:rPr>
        <w:t>结转结余</w:t>
      </w:r>
      <w:r>
        <w:rPr>
          <w:rFonts w:hint="eastAsia" w:ascii="仿宋" w:hAnsi="仿宋" w:eastAsia="仿宋" w:cs="仿宋_GB2312"/>
          <w:color w:val="auto"/>
          <w:sz w:val="32"/>
          <w:szCs w:val="32"/>
          <w:highlight w:val="none"/>
          <w:lang w:eastAsia="zh-CN"/>
        </w:rPr>
        <w:t>）</w:t>
      </w:r>
      <w:r>
        <w:rPr>
          <w:rFonts w:hint="eastAsia" w:ascii="仿宋" w:hAnsi="仿宋" w:eastAsia="仿宋" w:cs="仿宋_GB2312"/>
          <w:color w:val="auto"/>
          <w:sz w:val="32"/>
          <w:szCs w:val="32"/>
          <w:highlight w:val="none"/>
          <w:lang w:val="en-US" w:eastAsia="zh-CN"/>
        </w:rPr>
        <w:t>2255.17</w:t>
      </w:r>
      <w:r>
        <w:rPr>
          <w:rFonts w:hint="eastAsia" w:ascii="仿宋" w:hAnsi="仿宋" w:eastAsia="仿宋" w:cs="仿宋_GB2312"/>
          <w:color w:val="auto"/>
          <w:sz w:val="32"/>
          <w:szCs w:val="32"/>
          <w:highlight w:val="none"/>
        </w:rPr>
        <w:t>万元，</w:t>
      </w:r>
      <w:r>
        <w:rPr>
          <w:rFonts w:hint="eastAsia" w:ascii="仿宋" w:hAnsi="仿宋" w:eastAsia="仿宋" w:cs="仿宋"/>
          <w:bCs/>
          <w:color w:val="auto"/>
          <w:sz w:val="32"/>
          <w:szCs w:val="32"/>
          <w:highlight w:val="none"/>
        </w:rPr>
        <w:t>与201</w:t>
      </w:r>
      <w:r>
        <w:rPr>
          <w:rFonts w:hint="eastAsia" w:ascii="仿宋" w:hAnsi="仿宋" w:eastAsia="仿宋" w:cs="仿宋"/>
          <w:bCs/>
          <w:color w:val="auto"/>
          <w:sz w:val="32"/>
          <w:szCs w:val="32"/>
          <w:highlight w:val="none"/>
          <w:lang w:val="en-US" w:eastAsia="zh-CN"/>
        </w:rPr>
        <w:t>7</w:t>
      </w:r>
      <w:r>
        <w:rPr>
          <w:rFonts w:hint="eastAsia" w:ascii="仿宋" w:hAnsi="仿宋" w:eastAsia="仿宋" w:cs="仿宋"/>
          <w:bCs/>
          <w:color w:val="auto"/>
          <w:sz w:val="32"/>
          <w:szCs w:val="32"/>
          <w:highlight w:val="none"/>
        </w:rPr>
        <w:t>年度决算相比，</w:t>
      </w:r>
      <w:r>
        <w:rPr>
          <w:rFonts w:hint="eastAsia" w:ascii="仿宋" w:hAnsi="仿宋" w:eastAsia="仿宋" w:cs="仿宋"/>
          <w:bCs/>
          <w:color w:val="auto"/>
          <w:sz w:val="32"/>
          <w:szCs w:val="32"/>
          <w:highlight w:val="none"/>
          <w:lang w:eastAsia="zh-CN"/>
        </w:rPr>
        <w:t>收支各</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lang w:val="en-US" w:eastAsia="zh-CN"/>
        </w:rPr>
        <w:t>237.72</w:t>
      </w:r>
      <w:r>
        <w:rPr>
          <w:rFonts w:hint="eastAsia" w:ascii="仿宋" w:hAnsi="仿宋" w:eastAsia="仿宋" w:cs="宋体"/>
          <w:color w:val="auto"/>
          <w:sz w:val="32"/>
          <w:szCs w:val="32"/>
          <w:highlight w:val="none"/>
        </w:rPr>
        <w:t>万元，</w:t>
      </w:r>
      <w:r>
        <w:rPr>
          <w:rFonts w:hint="eastAsia" w:ascii="仿宋" w:hAnsi="仿宋" w:eastAsia="仿宋" w:cs="宋体"/>
          <w:color w:val="auto"/>
          <w:sz w:val="32"/>
          <w:szCs w:val="32"/>
          <w:highlight w:val="none"/>
          <w:lang w:eastAsia="zh-CN"/>
        </w:rPr>
        <w:t>下降</w:t>
      </w:r>
      <w:r>
        <w:rPr>
          <w:rFonts w:hint="eastAsia" w:ascii="仿宋" w:hAnsi="仿宋" w:eastAsia="仿宋" w:cs="宋体"/>
          <w:color w:val="auto"/>
          <w:sz w:val="32"/>
          <w:szCs w:val="32"/>
          <w:highlight w:val="none"/>
          <w:lang w:val="en-US" w:eastAsia="zh-CN"/>
        </w:rPr>
        <w:t>9.5</w:t>
      </w:r>
      <w:r>
        <w:rPr>
          <w:rFonts w:hint="eastAsia" w:ascii="仿宋" w:hAnsi="仿宋" w:eastAsia="仿宋" w:cs="宋体"/>
          <w:color w:val="auto"/>
          <w:sz w:val="32"/>
          <w:szCs w:val="32"/>
          <w:highlight w:val="none"/>
        </w:rPr>
        <w:t>%，</w:t>
      </w:r>
      <w:r>
        <w:rPr>
          <w:rFonts w:hint="eastAsia" w:ascii="仿宋" w:hAnsi="仿宋" w:eastAsia="仿宋" w:cs="宋体"/>
          <w:color w:val="auto"/>
          <w:sz w:val="32"/>
          <w:szCs w:val="32"/>
          <w:highlight w:val="none"/>
          <w:lang w:eastAsia="zh-CN"/>
        </w:rPr>
        <w:t>主要</w:t>
      </w:r>
      <w:r>
        <w:rPr>
          <w:rFonts w:hint="eastAsia" w:ascii="仿宋" w:hAnsi="仿宋" w:eastAsia="仿宋"/>
          <w:color w:val="auto"/>
          <w:sz w:val="32"/>
          <w:szCs w:val="32"/>
          <w:highlight w:val="none"/>
        </w:rPr>
        <w:t>原因是</w:t>
      </w:r>
      <w:r>
        <w:rPr>
          <w:rFonts w:hint="eastAsia" w:ascii="仿宋" w:hAnsi="仿宋" w:eastAsia="仿宋"/>
          <w:color w:val="auto"/>
          <w:sz w:val="32"/>
          <w:szCs w:val="32"/>
          <w:highlight w:val="none"/>
          <w:lang w:eastAsia="zh-CN"/>
        </w:rPr>
        <w:t>2018年</w:t>
      </w:r>
      <w:r>
        <w:rPr>
          <w:rFonts w:hint="eastAsia" w:ascii="仿宋" w:hAnsi="仿宋" w:eastAsia="仿宋"/>
          <w:color w:val="auto"/>
          <w:sz w:val="32"/>
          <w:szCs w:val="32"/>
          <w:highlight w:val="none"/>
        </w:rPr>
        <w:t>度</w:t>
      </w:r>
      <w:r>
        <w:rPr>
          <w:rFonts w:hint="eastAsia" w:ascii="仿宋" w:hAnsi="仿宋" w:eastAsia="仿宋"/>
          <w:color w:val="auto"/>
          <w:sz w:val="32"/>
          <w:szCs w:val="32"/>
          <w:highlight w:val="none"/>
          <w:lang w:eastAsia="zh-CN"/>
        </w:rPr>
        <w:t>专项项目总金额比</w:t>
      </w:r>
      <w:r>
        <w:rPr>
          <w:rFonts w:hint="eastAsia" w:ascii="仿宋" w:hAnsi="仿宋" w:eastAsia="仿宋"/>
          <w:color w:val="auto"/>
          <w:sz w:val="32"/>
          <w:szCs w:val="32"/>
          <w:highlight w:val="none"/>
          <w:lang w:val="en-US" w:eastAsia="zh-CN"/>
        </w:rPr>
        <w:t>2017年度有所减少</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2017年部分项目为一次性项目，2018年不再继续支出。</w:t>
      </w:r>
    </w:p>
    <w:p>
      <w:pPr>
        <w:adjustRightInd w:val="0"/>
        <w:snapToGrid w:val="0"/>
        <w:spacing w:after="0" w:afterLines="0" w:line="580" w:lineRule="exact"/>
        <w:ind w:firstLine="640" w:firstLineChars="200"/>
        <w:rPr>
          <w:rFonts w:hint="default" w:ascii="仿宋" w:hAnsi="仿宋" w:eastAsia="仿宋"/>
          <w:color w:val="auto"/>
          <w:sz w:val="32"/>
          <w:szCs w:val="32"/>
          <w:highlight w:val="none"/>
          <w:lang w:val="en-US" w:eastAsia="zh-CN"/>
        </w:rPr>
      </w:pP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本部门2018年度本年收入合计</w:t>
      </w:r>
      <w:r>
        <w:rPr>
          <w:rFonts w:hint="eastAsia" w:ascii="仿宋_GB2312" w:eastAsia="仿宋_GB2312" w:cs="DengXian-Regular"/>
          <w:sz w:val="32"/>
          <w:szCs w:val="32"/>
          <w:lang w:val="en-US" w:eastAsia="zh-CN"/>
        </w:rPr>
        <w:t>2165</w:t>
      </w:r>
      <w:r>
        <w:rPr>
          <w:rFonts w:hint="eastAsia" w:ascii="仿宋_GB2312" w:eastAsia="仿宋_GB2312" w:cs="DengXian-Regular"/>
          <w:sz w:val="32"/>
          <w:szCs w:val="32"/>
        </w:rPr>
        <w:t>万元，其中：财政拨款收入</w:t>
      </w:r>
      <w:r>
        <w:rPr>
          <w:rFonts w:hint="eastAsia" w:ascii="仿宋_GB2312" w:eastAsia="仿宋_GB2312" w:cs="DengXian-Regular"/>
          <w:sz w:val="32"/>
          <w:szCs w:val="32"/>
          <w:lang w:val="en-US" w:eastAsia="zh-CN"/>
        </w:rPr>
        <w:t>2165</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%；事业收入</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%；经营收入</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%；其他收入</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%。如图所示：</w:t>
      </w:r>
    </w:p>
    <w:p>
      <w:pPr>
        <w:adjustRightInd w:val="0"/>
        <w:snapToGrid w:val="0"/>
        <w:spacing w:after="0" w:line="580" w:lineRule="exact"/>
        <w:ind w:firstLine="640" w:firstLineChars="200"/>
        <w:rPr>
          <w:rFonts w:hint="eastAsia" w:ascii="仿宋_GB2312" w:eastAsia="仿宋_GB2312" w:cs="DengXian-Regular"/>
          <w:sz w:val="32"/>
          <w:szCs w:val="32"/>
        </w:rPr>
      </w:pPr>
    </w:p>
    <w:p>
      <w:pPr>
        <w:adjustRightInd w:val="0"/>
        <w:snapToGrid w:val="0"/>
        <w:spacing w:after="0" w:line="580" w:lineRule="exact"/>
        <w:ind w:firstLine="640" w:firstLineChars="200"/>
        <w:jc w:val="center"/>
        <w:rPr>
          <w:rFonts w:hint="eastAsia" w:ascii="仿宋_GB2312" w:eastAsia="仿宋_GB2312" w:cs="DengXian-Regular"/>
          <w:sz w:val="32"/>
          <w:szCs w:val="32"/>
        </w:rPr>
      </w:pPr>
      <w:r>
        <w:rPr>
          <w:rFonts w:eastAsia="仿宋_GB2312"/>
          <w:sz w:val="32"/>
          <w:szCs w:val="32"/>
        </w:rPr>
        <w:t>图1：收入决算结构饼状图</w:t>
      </w:r>
    </w:p>
    <w:p>
      <w:pPr>
        <w:adjustRightInd w:val="0"/>
        <w:snapToGrid w:val="0"/>
        <w:spacing w:line="584" w:lineRule="exact"/>
        <w:jc w:val="center"/>
        <w:rPr>
          <w:rFonts w:hint="eastAsia"/>
          <w:lang w:val="en-US" w:eastAsia="zh-CN"/>
        </w:rPr>
      </w:pPr>
      <w:r>
        <w:rPr>
          <w:rFonts w:ascii="仿宋" w:hAnsi="仿宋" w:eastAsia="仿宋"/>
          <w:sz w:val="32"/>
          <w:szCs w:val="32"/>
        </w:rPr>
        <w:pict>
          <v:shape id="_x0000_s1031" o:spid="_x0000_s1031" o:spt="75" type="#_x0000_t75" style="position:absolute;left:0pt;margin-left:188pt;margin-top:139.5pt;height:200.85pt;width:294.55pt;mso-position-horizontal-relative:page;mso-position-vertical-relative:page;mso-wrap-distance-bottom:0pt;mso-wrap-distance-top:0pt;z-index:251662336;mso-width-relative:page;mso-height-relative:page;" o:ole="t" filled="f" o:preferrelative="t" stroked="f" coordsize="21600,21600">
            <v:path/>
            <v:fill on="f" focussize="0,0"/>
            <v:stroke on="f"/>
            <v:imagedata r:id="rId7" o:title=""/>
            <o:lock v:ext="edit" aspectratio="t"/>
            <w10:wrap type="topAndBottom"/>
          </v:shape>
          <o:OLEObject Type="Embed" ProgID="" ShapeID="_x0000_s1031" DrawAspect="Content" ObjectID="_1468075725" r:id="rId6">
            <o:LockedField>false</o:LockedField>
          </o:OLEObject>
        </w:pic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本部门2018年度本年支出合计</w:t>
      </w:r>
      <w:r>
        <w:rPr>
          <w:rFonts w:hint="eastAsia" w:ascii="仿宋_GB2312" w:eastAsia="仿宋_GB2312" w:cs="DengXian-Regular"/>
          <w:sz w:val="32"/>
          <w:szCs w:val="32"/>
          <w:lang w:val="en-US" w:eastAsia="zh-CN"/>
        </w:rPr>
        <w:t>2195.86</w:t>
      </w:r>
      <w:r>
        <w:rPr>
          <w:rFonts w:hint="eastAsia" w:ascii="仿宋_GB2312" w:eastAsia="仿宋_GB2312" w:cs="DengXian-Regular"/>
          <w:sz w:val="32"/>
          <w:szCs w:val="32"/>
        </w:rPr>
        <w:t>万元，其中：基本支出</w:t>
      </w:r>
      <w:r>
        <w:rPr>
          <w:rFonts w:hint="eastAsia" w:ascii="仿宋_GB2312" w:eastAsia="仿宋_GB2312" w:cs="DengXian-Regular"/>
          <w:sz w:val="32"/>
          <w:szCs w:val="32"/>
          <w:lang w:val="en-US" w:eastAsia="zh-CN"/>
        </w:rPr>
        <w:t>1623.71</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73.95</w:t>
      </w:r>
      <w:r>
        <w:rPr>
          <w:rFonts w:hint="eastAsia" w:ascii="仿宋_GB2312" w:eastAsia="仿宋_GB2312" w:cs="DengXian-Regular"/>
          <w:sz w:val="32"/>
          <w:szCs w:val="32"/>
        </w:rPr>
        <w:t>%；项目支出</w:t>
      </w:r>
      <w:r>
        <w:rPr>
          <w:rFonts w:hint="eastAsia" w:ascii="仿宋_GB2312" w:eastAsia="仿宋_GB2312" w:cs="DengXian-Regular"/>
          <w:sz w:val="32"/>
          <w:szCs w:val="32"/>
          <w:lang w:val="en-US" w:eastAsia="zh-CN"/>
        </w:rPr>
        <w:t>572.15</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26.05</w:t>
      </w:r>
      <w:r>
        <w:rPr>
          <w:rFonts w:hint="eastAsia" w:ascii="仿宋_GB2312" w:eastAsia="仿宋_GB2312" w:cs="DengXian-Regular"/>
          <w:sz w:val="32"/>
          <w:szCs w:val="32"/>
        </w:rPr>
        <w:t>%；经营支出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%。如图所示：</w:t>
      </w:r>
    </w:p>
    <w:p>
      <w:pPr>
        <w:adjustRightInd w:val="0"/>
        <w:snapToGrid w:val="0"/>
        <w:spacing w:after="0" w:line="580" w:lineRule="exact"/>
        <w:jc w:val="center"/>
        <w:rPr>
          <w:rFonts w:eastAsia="仿宋_GB2312"/>
          <w:sz w:val="32"/>
          <w:szCs w:val="32"/>
        </w:rPr>
      </w:pPr>
      <w:r>
        <w:rPr>
          <w:rFonts w:eastAsia="仿宋_GB2312"/>
          <w:sz w:val="32"/>
          <w:szCs w:val="32"/>
        </w:rPr>
        <w:t>图2：支出决算结构饼状图</w:t>
      </w:r>
    </w:p>
    <w:p>
      <w:pPr>
        <w:adjustRightInd w:val="0"/>
        <w:snapToGrid w:val="0"/>
        <w:spacing w:after="0" w:line="580" w:lineRule="exact"/>
        <w:jc w:val="center"/>
        <w:rPr>
          <w:rFonts w:eastAsia="仿宋_GB2312"/>
          <w:sz w:val="32"/>
          <w:szCs w:val="32"/>
        </w:rPr>
      </w:pPr>
    </w:p>
    <w:p>
      <w:pPr>
        <w:adjustRightInd w:val="0"/>
        <w:snapToGrid w:val="0"/>
        <w:spacing w:after="0" w:line="580" w:lineRule="exact"/>
        <w:jc w:val="center"/>
        <w:rPr>
          <w:rFonts w:eastAsia="仿宋_GB2312"/>
          <w:sz w:val="32"/>
          <w:szCs w:val="32"/>
        </w:rPr>
      </w:pPr>
    </w:p>
    <w:p>
      <w:pPr>
        <w:adjustRightInd w:val="0"/>
        <w:snapToGrid w:val="0"/>
        <w:spacing w:after="0" w:line="580" w:lineRule="exact"/>
        <w:jc w:val="center"/>
        <w:rPr>
          <w:rFonts w:hint="eastAsia" w:eastAsia="仿宋_GB2312"/>
          <w:sz w:val="32"/>
          <w:szCs w:val="32"/>
          <w:lang w:eastAsia="zh-CN"/>
        </w:rPr>
      </w:pPr>
    </w:p>
    <w:p>
      <w:pPr>
        <w:adjustRightInd w:val="0"/>
        <w:snapToGrid w:val="0"/>
        <w:spacing w:after="0" w:line="580" w:lineRule="exact"/>
        <w:jc w:val="both"/>
        <w:rPr>
          <w:rFonts w:eastAsia="仿宋_GB2312"/>
          <w:sz w:val="32"/>
          <w:szCs w:val="32"/>
        </w:rPr>
      </w:pPr>
    </w:p>
    <w:p>
      <w:pPr>
        <w:adjustRightInd w:val="0"/>
        <w:snapToGrid w:val="0"/>
        <w:spacing w:after="0" w:line="580" w:lineRule="exact"/>
        <w:jc w:val="center"/>
        <w:rPr>
          <w:rFonts w:eastAsia="仿宋_GB2312"/>
          <w:sz w:val="32"/>
          <w:szCs w:val="32"/>
        </w:rPr>
      </w:pPr>
    </w:p>
    <w:p>
      <w:pPr>
        <w:adjustRightInd w:val="0"/>
        <w:snapToGrid w:val="0"/>
        <w:spacing w:after="0" w:line="580" w:lineRule="exact"/>
        <w:jc w:val="center"/>
        <w:rPr>
          <w:rFonts w:eastAsia="仿宋_GB2312"/>
          <w:sz w:val="32"/>
          <w:szCs w:val="32"/>
        </w:rPr>
      </w:pPr>
    </w:p>
    <w:p>
      <w:pPr>
        <w:adjustRightInd w:val="0"/>
        <w:snapToGrid w:val="0"/>
        <w:spacing w:after="0" w:line="580" w:lineRule="exact"/>
        <w:jc w:val="center"/>
        <w:rPr>
          <w:rFonts w:eastAsia="仿宋_GB2312"/>
          <w:sz w:val="32"/>
          <w:szCs w:val="32"/>
        </w:rPr>
      </w:pPr>
      <w:r>
        <w:rPr>
          <w:rFonts w:hint="eastAsia" w:eastAsia="仿宋_GB2312"/>
          <w:sz w:val="32"/>
          <w:szCs w:val="32"/>
          <w:lang w:eastAsia="zh-CN"/>
        </w:rPr>
        <w:drawing>
          <wp:anchor distT="0" distB="0" distL="114300" distR="114300" simplePos="0" relativeHeight="251659264" behindDoc="1" locked="0" layoutInCell="1" allowOverlap="1">
            <wp:simplePos x="0" y="0"/>
            <wp:positionH relativeFrom="column">
              <wp:posOffset>1066165</wp:posOffset>
            </wp:positionH>
            <wp:positionV relativeFrom="paragraph">
              <wp:posOffset>-2266315</wp:posOffset>
            </wp:positionV>
            <wp:extent cx="3474720" cy="2550160"/>
            <wp:effectExtent l="4445" t="4445" r="13335" b="1079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adjustRightInd w:val="0"/>
        <w:snapToGrid w:val="0"/>
        <w:spacing w:after="0" w:line="580" w:lineRule="exact"/>
        <w:rPr>
          <w:rFonts w:ascii="仿宋_GB2312" w:eastAsia="仿宋_GB2312" w:cs="DengXian-Regular"/>
          <w:sz w:val="32"/>
          <w:szCs w:val="32"/>
        </w:rPr>
      </w:pP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hAnsiTheme="minorHAnsi"/>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hint="eastAsia"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adjustRightInd w:val="0"/>
        <w:snapToGrid w:val="0"/>
        <w:spacing w:after="0" w:afterLines="0" w:line="580" w:lineRule="exact"/>
        <w:ind w:firstLine="640" w:firstLineChars="200"/>
        <w:rPr>
          <w:rFonts w:hint="eastAsia" w:ascii="楷体_GB2312" w:eastAsia="楷体_GB2312" w:cs="DengXian-Bold"/>
          <w:b/>
          <w:bCs/>
          <w:sz w:val="32"/>
          <w:szCs w:val="32"/>
        </w:rPr>
      </w:pPr>
      <w:r>
        <w:rPr>
          <w:rFonts w:hint="eastAsia" w:ascii="仿宋" w:hAnsi="仿宋" w:eastAsia="仿宋"/>
          <w:color w:val="auto"/>
          <w:sz w:val="32"/>
          <w:szCs w:val="32"/>
          <w:highlight w:val="none"/>
        </w:rPr>
        <w:t>本部门</w:t>
      </w:r>
      <w:r>
        <w:rPr>
          <w:rFonts w:hint="eastAsia" w:ascii="仿宋" w:hAnsi="仿宋" w:eastAsia="仿宋"/>
          <w:color w:val="auto"/>
          <w:sz w:val="32"/>
          <w:szCs w:val="32"/>
          <w:highlight w:val="none"/>
          <w:lang w:eastAsia="zh-CN"/>
        </w:rPr>
        <w:t>2018年</w:t>
      </w:r>
      <w:r>
        <w:rPr>
          <w:rFonts w:hint="eastAsia" w:ascii="仿宋" w:hAnsi="仿宋" w:eastAsia="仿宋" w:cs="仿宋"/>
          <w:color w:val="auto"/>
          <w:sz w:val="32"/>
          <w:szCs w:val="32"/>
          <w:highlight w:val="none"/>
        </w:rPr>
        <w:t>度财政拨款收支全部为一般公共预算财政拨款收支，一般公共预算</w:t>
      </w:r>
      <w:r>
        <w:rPr>
          <w:rFonts w:hint="eastAsia" w:ascii="仿宋" w:hAnsi="仿宋" w:eastAsia="仿宋"/>
          <w:color w:val="auto"/>
          <w:sz w:val="32"/>
          <w:szCs w:val="32"/>
          <w:highlight w:val="none"/>
        </w:rPr>
        <w:t>财政拨款</w:t>
      </w:r>
      <w:r>
        <w:rPr>
          <w:rFonts w:hint="eastAsia" w:ascii="仿宋" w:hAnsi="仿宋" w:eastAsia="仿宋" w:cs="仿宋"/>
          <w:bCs/>
          <w:color w:val="auto"/>
          <w:sz w:val="32"/>
          <w:szCs w:val="32"/>
          <w:highlight w:val="none"/>
        </w:rPr>
        <w:t>年初结转和结余</w:t>
      </w:r>
      <w:r>
        <w:rPr>
          <w:rFonts w:hint="eastAsia" w:ascii="仿宋" w:hAnsi="仿宋" w:eastAsia="仿宋" w:cs="仿宋"/>
          <w:bCs/>
          <w:color w:val="auto"/>
          <w:sz w:val="32"/>
          <w:szCs w:val="32"/>
          <w:highlight w:val="none"/>
          <w:lang w:val="en-US" w:eastAsia="zh-CN"/>
        </w:rPr>
        <w:t>90.17</w:t>
      </w:r>
      <w:r>
        <w:rPr>
          <w:rFonts w:hint="eastAsia" w:ascii="仿宋" w:hAnsi="仿宋" w:eastAsia="仿宋" w:cs="仿宋"/>
          <w:bCs/>
          <w:color w:val="auto"/>
          <w:sz w:val="32"/>
          <w:szCs w:val="32"/>
          <w:highlight w:val="none"/>
        </w:rPr>
        <w:t>万元，本年</w:t>
      </w:r>
      <w:r>
        <w:rPr>
          <w:rFonts w:hint="eastAsia" w:ascii="仿宋" w:hAnsi="仿宋" w:eastAsia="仿宋"/>
          <w:color w:val="auto"/>
          <w:sz w:val="32"/>
          <w:szCs w:val="32"/>
          <w:highlight w:val="none"/>
        </w:rPr>
        <w:t>收入</w:t>
      </w:r>
      <w:r>
        <w:rPr>
          <w:rFonts w:hint="eastAsia" w:ascii="仿宋" w:hAnsi="仿宋" w:eastAsia="仿宋" w:cs="仿宋_GB2312"/>
          <w:color w:val="auto"/>
          <w:sz w:val="32"/>
          <w:szCs w:val="32"/>
          <w:highlight w:val="none"/>
          <w:lang w:val="en-US" w:eastAsia="zh-CN"/>
        </w:rPr>
        <w:t>2165</w:t>
      </w:r>
      <w:r>
        <w:rPr>
          <w:rFonts w:hint="eastAsia" w:ascii="仿宋" w:hAnsi="仿宋" w:eastAsia="仿宋"/>
          <w:color w:val="auto"/>
          <w:sz w:val="32"/>
          <w:szCs w:val="32"/>
          <w:highlight w:val="none"/>
        </w:rPr>
        <w:t>万元；本年支出</w:t>
      </w:r>
      <w:r>
        <w:rPr>
          <w:rFonts w:hint="eastAsia" w:ascii="仿宋" w:hAnsi="仿宋" w:eastAsia="仿宋" w:cs="仿宋_GB2312"/>
          <w:color w:val="auto"/>
          <w:sz w:val="32"/>
          <w:szCs w:val="32"/>
          <w:highlight w:val="none"/>
          <w:lang w:val="en-US" w:eastAsia="zh-CN"/>
        </w:rPr>
        <w:t>2195.86</w:t>
      </w:r>
      <w:r>
        <w:rPr>
          <w:rFonts w:hint="eastAsia" w:ascii="仿宋" w:hAnsi="仿宋" w:eastAsia="仿宋"/>
          <w:color w:val="auto"/>
          <w:sz w:val="32"/>
          <w:szCs w:val="32"/>
          <w:highlight w:val="none"/>
        </w:rPr>
        <w:t>万元，年末</w:t>
      </w:r>
      <w:r>
        <w:rPr>
          <w:rFonts w:hint="eastAsia" w:ascii="仿宋" w:hAnsi="仿宋" w:eastAsia="仿宋" w:cs="仿宋"/>
          <w:bCs/>
          <w:color w:val="auto"/>
          <w:sz w:val="32"/>
          <w:szCs w:val="32"/>
          <w:highlight w:val="none"/>
        </w:rPr>
        <w:t>结转和结余</w:t>
      </w:r>
      <w:r>
        <w:rPr>
          <w:rFonts w:hint="eastAsia" w:ascii="仿宋" w:hAnsi="仿宋" w:eastAsia="仿宋" w:cs="仿宋_GB2312"/>
          <w:color w:val="auto"/>
          <w:sz w:val="32"/>
          <w:szCs w:val="32"/>
          <w:highlight w:val="none"/>
          <w:lang w:val="en-US" w:eastAsia="zh-CN"/>
        </w:rPr>
        <w:t>59.32</w:t>
      </w:r>
      <w:r>
        <w:rPr>
          <w:rFonts w:hint="eastAsia" w:ascii="仿宋" w:hAnsi="仿宋" w:eastAsia="仿宋" w:cs="仿宋"/>
          <w:bCs/>
          <w:color w:val="auto"/>
          <w:sz w:val="32"/>
          <w:szCs w:val="32"/>
          <w:highlight w:val="none"/>
        </w:rPr>
        <w:t>万元</w:t>
      </w:r>
      <w:r>
        <w:rPr>
          <w:rFonts w:hint="eastAsia" w:ascii="仿宋" w:hAnsi="仿宋" w:eastAsia="仿宋"/>
          <w:color w:val="auto"/>
          <w:sz w:val="32"/>
          <w:szCs w:val="32"/>
          <w:highlight w:val="none"/>
        </w:rPr>
        <w:t>。</w:t>
      </w:r>
      <w:r>
        <w:rPr>
          <w:rFonts w:hint="eastAsia" w:ascii="仿宋" w:hAnsi="仿宋" w:eastAsia="仿宋" w:cs="仿宋"/>
          <w:bCs/>
          <w:color w:val="auto"/>
          <w:sz w:val="32"/>
          <w:szCs w:val="32"/>
          <w:highlight w:val="none"/>
        </w:rPr>
        <w:t>与201</w:t>
      </w:r>
      <w:r>
        <w:rPr>
          <w:rFonts w:hint="eastAsia" w:ascii="仿宋" w:hAnsi="仿宋" w:eastAsia="仿宋" w:cs="仿宋"/>
          <w:bCs/>
          <w:color w:val="auto"/>
          <w:sz w:val="32"/>
          <w:szCs w:val="32"/>
          <w:highlight w:val="none"/>
          <w:lang w:val="en-US" w:eastAsia="zh-CN"/>
        </w:rPr>
        <w:t>7</w:t>
      </w:r>
      <w:r>
        <w:rPr>
          <w:rFonts w:hint="eastAsia" w:ascii="仿宋" w:hAnsi="仿宋" w:eastAsia="仿宋" w:cs="仿宋"/>
          <w:bCs/>
          <w:color w:val="auto"/>
          <w:sz w:val="32"/>
          <w:szCs w:val="32"/>
          <w:highlight w:val="none"/>
        </w:rPr>
        <w:t>年度决算相比，</w:t>
      </w:r>
      <w:r>
        <w:rPr>
          <w:rFonts w:hint="eastAsia" w:ascii="仿宋" w:hAnsi="仿宋" w:eastAsia="仿宋"/>
          <w:color w:val="auto"/>
          <w:sz w:val="32"/>
          <w:szCs w:val="32"/>
          <w:highlight w:val="none"/>
        </w:rPr>
        <w:t>一般公共预算财政拨款</w:t>
      </w:r>
      <w:r>
        <w:rPr>
          <w:rFonts w:hint="eastAsia" w:ascii="仿宋" w:hAnsi="仿宋" w:eastAsia="仿宋" w:cs="仿宋"/>
          <w:bCs/>
          <w:color w:val="auto"/>
          <w:sz w:val="32"/>
          <w:szCs w:val="32"/>
          <w:highlight w:val="none"/>
        </w:rPr>
        <w:t>本年</w:t>
      </w:r>
      <w:r>
        <w:rPr>
          <w:rFonts w:hint="eastAsia" w:ascii="仿宋" w:hAnsi="仿宋" w:eastAsia="仿宋"/>
          <w:color w:val="auto"/>
          <w:sz w:val="32"/>
          <w:szCs w:val="32"/>
          <w:highlight w:val="none"/>
        </w:rPr>
        <w:t>收入</w:t>
      </w:r>
      <w:r>
        <w:rPr>
          <w:rFonts w:hint="eastAsia" w:ascii="仿宋" w:hAnsi="仿宋" w:eastAsia="仿宋"/>
          <w:color w:val="auto"/>
          <w:sz w:val="32"/>
          <w:szCs w:val="32"/>
          <w:highlight w:val="none"/>
          <w:lang w:eastAsia="zh-CN"/>
        </w:rPr>
        <w:t>减少了</w:t>
      </w:r>
      <w:r>
        <w:rPr>
          <w:rFonts w:hint="eastAsia" w:ascii="仿宋" w:hAnsi="仿宋" w:eastAsia="仿宋"/>
          <w:color w:val="auto"/>
          <w:sz w:val="32"/>
          <w:szCs w:val="32"/>
          <w:highlight w:val="none"/>
          <w:lang w:val="en-US" w:eastAsia="zh-CN"/>
        </w:rPr>
        <w:t>189.21</w:t>
      </w:r>
      <w:r>
        <w:rPr>
          <w:rFonts w:hint="eastAsia" w:ascii="仿宋" w:hAnsi="仿宋" w:eastAsia="仿宋" w:cs="宋体"/>
          <w:color w:val="auto"/>
          <w:sz w:val="32"/>
          <w:szCs w:val="32"/>
          <w:highlight w:val="none"/>
        </w:rPr>
        <w:t>万元，</w:t>
      </w:r>
      <w:r>
        <w:rPr>
          <w:rFonts w:hint="eastAsia" w:ascii="仿宋" w:hAnsi="仿宋" w:eastAsia="仿宋" w:cs="宋体"/>
          <w:color w:val="auto"/>
          <w:sz w:val="32"/>
          <w:szCs w:val="32"/>
          <w:highlight w:val="none"/>
          <w:lang w:eastAsia="zh-CN"/>
        </w:rPr>
        <w:t>减少了</w:t>
      </w:r>
      <w:r>
        <w:rPr>
          <w:rFonts w:hint="eastAsia" w:ascii="仿宋" w:hAnsi="仿宋" w:eastAsia="仿宋" w:cs="宋体"/>
          <w:color w:val="auto"/>
          <w:sz w:val="32"/>
          <w:szCs w:val="32"/>
          <w:highlight w:val="none"/>
          <w:lang w:val="en-US" w:eastAsia="zh-CN"/>
        </w:rPr>
        <w:t>8</w:t>
      </w:r>
      <w:r>
        <w:rPr>
          <w:rFonts w:hint="eastAsia" w:ascii="仿宋" w:hAnsi="仿宋" w:eastAsia="仿宋" w:cs="宋体"/>
          <w:color w:val="auto"/>
          <w:sz w:val="32"/>
          <w:szCs w:val="32"/>
          <w:highlight w:val="none"/>
        </w:rPr>
        <w:t>%，</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rPr>
        <w:t>原因是</w:t>
      </w:r>
      <w:r>
        <w:rPr>
          <w:rFonts w:hint="eastAsia" w:ascii="仿宋" w:hAnsi="仿宋" w:eastAsia="仿宋"/>
          <w:color w:val="auto"/>
          <w:sz w:val="32"/>
          <w:szCs w:val="32"/>
          <w:highlight w:val="none"/>
          <w:lang w:eastAsia="zh-CN"/>
        </w:rPr>
        <w:t>2018年</w:t>
      </w:r>
      <w:r>
        <w:rPr>
          <w:rFonts w:hint="eastAsia" w:ascii="仿宋" w:hAnsi="仿宋" w:eastAsia="仿宋"/>
          <w:color w:val="auto"/>
          <w:sz w:val="32"/>
          <w:szCs w:val="32"/>
          <w:highlight w:val="none"/>
        </w:rPr>
        <w:t>度</w:t>
      </w:r>
      <w:r>
        <w:rPr>
          <w:rFonts w:hint="eastAsia" w:ascii="仿宋" w:hAnsi="仿宋" w:eastAsia="仿宋"/>
          <w:color w:val="auto"/>
          <w:sz w:val="32"/>
          <w:szCs w:val="32"/>
          <w:highlight w:val="none"/>
          <w:lang w:eastAsia="zh-CN"/>
        </w:rPr>
        <w:t>专项项目总金额比</w:t>
      </w:r>
      <w:r>
        <w:rPr>
          <w:rFonts w:hint="eastAsia" w:ascii="仿宋" w:hAnsi="仿宋" w:eastAsia="仿宋"/>
          <w:color w:val="auto"/>
          <w:sz w:val="32"/>
          <w:szCs w:val="32"/>
          <w:highlight w:val="none"/>
          <w:lang w:val="en-US" w:eastAsia="zh-CN"/>
        </w:rPr>
        <w:t>2017年度有所减少</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本年支出</w:t>
      </w:r>
      <w:r>
        <w:rPr>
          <w:rFonts w:hint="eastAsia" w:ascii="仿宋" w:hAnsi="仿宋" w:eastAsia="仿宋"/>
          <w:color w:val="auto"/>
          <w:sz w:val="32"/>
          <w:szCs w:val="32"/>
          <w:highlight w:val="none"/>
          <w:lang w:eastAsia="zh-CN"/>
        </w:rPr>
        <w:t>减少了</w:t>
      </w:r>
      <w:r>
        <w:rPr>
          <w:rFonts w:hint="eastAsia" w:ascii="仿宋" w:hAnsi="仿宋" w:eastAsia="仿宋"/>
          <w:color w:val="auto"/>
          <w:sz w:val="32"/>
          <w:szCs w:val="32"/>
          <w:highlight w:val="none"/>
          <w:lang w:val="en-US" w:eastAsia="zh-CN"/>
        </w:rPr>
        <w:t>193.07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减少了</w:t>
      </w: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rPr>
        <w:t>%，主要原因是</w:t>
      </w:r>
      <w:r>
        <w:rPr>
          <w:rFonts w:hint="eastAsia" w:ascii="仿宋" w:hAnsi="仿宋" w:eastAsia="仿宋"/>
          <w:color w:val="auto"/>
          <w:sz w:val="32"/>
          <w:szCs w:val="32"/>
          <w:highlight w:val="none"/>
          <w:lang w:val="en-US" w:eastAsia="zh-CN"/>
        </w:rPr>
        <w:t>2018年度专项项目支出金额较2017年决算有所减少，2017年部分项目为一次性项目，2018年不再继续支出。</w:t>
      </w:r>
    </w:p>
    <w:p>
      <w:pPr>
        <w:adjustRightInd w:val="0"/>
        <w:snapToGrid w:val="0"/>
        <w:spacing w:after="0" w:line="580" w:lineRule="exact"/>
        <w:jc w:val="center"/>
        <w:rPr>
          <w:rFonts w:ascii="仿宋_GB2312" w:eastAsia="仿宋_GB2312" w:cs="DengXian-Regular"/>
          <w:sz w:val="32"/>
          <w:szCs w:val="32"/>
        </w:rPr>
      </w:pPr>
      <w:r>
        <w:rPr>
          <w:rFonts w:hint="eastAsia" w:eastAsia="仿宋_GB2312"/>
          <w:sz w:val="32"/>
          <w:szCs w:val="32"/>
        </w:rPr>
        <w:t>图3：财政拨款收支情况</w:t>
      </w:r>
    </w:p>
    <w:p>
      <w:pPr>
        <w:adjustRightInd w:val="0"/>
        <w:snapToGrid w:val="0"/>
        <w:spacing w:after="0" w:line="580" w:lineRule="exact"/>
        <w:ind w:firstLine="640" w:firstLineChars="200"/>
        <w:rPr>
          <w:rFonts w:ascii="仿宋_GB2312" w:eastAsia="仿宋_GB2312" w:cs="DengXian-Regular"/>
          <w:sz w:val="32"/>
          <w:szCs w:val="32"/>
        </w:rPr>
      </w:pP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lang w:eastAsia="zh-CN"/>
        </w:rPr>
        <w:drawing>
          <wp:anchor distT="0" distB="0" distL="114300" distR="114300" simplePos="0" relativeHeight="251660288" behindDoc="1" locked="0" layoutInCell="1" allowOverlap="1">
            <wp:simplePos x="0" y="0"/>
            <wp:positionH relativeFrom="column">
              <wp:posOffset>393065</wp:posOffset>
            </wp:positionH>
            <wp:positionV relativeFrom="paragraph">
              <wp:posOffset>71755</wp:posOffset>
            </wp:positionV>
            <wp:extent cx="4336415" cy="2703830"/>
            <wp:effectExtent l="4445" t="4445" r="15240" b="952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adjustRightInd w:val="0"/>
        <w:snapToGrid w:val="0"/>
        <w:spacing w:after="0" w:line="580" w:lineRule="exact"/>
        <w:ind w:firstLine="640" w:firstLineChars="200"/>
        <w:rPr>
          <w:rFonts w:ascii="仿宋_GB2312" w:eastAsia="仿宋_GB2312" w:cs="DengXian-Regular"/>
          <w:sz w:val="32"/>
          <w:szCs w:val="32"/>
        </w:rPr>
      </w:pPr>
    </w:p>
    <w:p>
      <w:pPr>
        <w:adjustRightInd w:val="0"/>
        <w:snapToGrid w:val="0"/>
        <w:spacing w:after="0" w:line="580" w:lineRule="exact"/>
        <w:ind w:firstLine="640" w:firstLineChars="200"/>
        <w:rPr>
          <w:rFonts w:ascii="仿宋_GB2312" w:eastAsia="仿宋_GB2312" w:cs="DengXian-Regular"/>
          <w:sz w:val="32"/>
          <w:szCs w:val="32"/>
        </w:rPr>
      </w:pPr>
    </w:p>
    <w:p>
      <w:pPr>
        <w:adjustRightInd w:val="0"/>
        <w:snapToGrid w:val="0"/>
        <w:spacing w:after="0" w:line="580" w:lineRule="exact"/>
        <w:ind w:firstLine="640" w:firstLineChars="200"/>
        <w:rPr>
          <w:rFonts w:ascii="仿宋_GB2312" w:eastAsia="仿宋_GB2312" w:cs="DengXian-Regular"/>
          <w:sz w:val="32"/>
          <w:szCs w:val="32"/>
        </w:rPr>
      </w:pPr>
    </w:p>
    <w:p>
      <w:pPr>
        <w:adjustRightInd w:val="0"/>
        <w:snapToGrid w:val="0"/>
        <w:spacing w:after="0" w:line="580" w:lineRule="exact"/>
        <w:ind w:firstLine="640" w:firstLineChars="200"/>
        <w:rPr>
          <w:rFonts w:hint="eastAsia" w:ascii="仿宋_GB2312" w:eastAsia="仿宋_GB2312" w:cs="DengXian-Regular"/>
          <w:sz w:val="32"/>
          <w:szCs w:val="32"/>
          <w:lang w:eastAsia="zh-CN"/>
        </w:rPr>
      </w:pPr>
    </w:p>
    <w:p>
      <w:pPr>
        <w:adjustRightInd w:val="0"/>
        <w:snapToGrid w:val="0"/>
        <w:spacing w:after="0" w:line="580" w:lineRule="exact"/>
        <w:ind w:firstLine="640" w:firstLineChars="200"/>
        <w:rPr>
          <w:rFonts w:ascii="仿宋_GB2312" w:eastAsia="仿宋_GB2312" w:cs="DengXian-Regular"/>
          <w:sz w:val="32"/>
          <w:szCs w:val="32"/>
        </w:rPr>
      </w:pPr>
    </w:p>
    <w:p>
      <w:pPr>
        <w:adjustRightInd w:val="0"/>
        <w:snapToGrid w:val="0"/>
        <w:spacing w:after="0" w:line="580" w:lineRule="exact"/>
        <w:ind w:firstLine="640" w:firstLineChars="200"/>
        <w:rPr>
          <w:rFonts w:ascii="仿宋_GB2312" w:eastAsia="仿宋_GB2312" w:cs="DengXian-Regular"/>
          <w:sz w:val="32"/>
          <w:szCs w:val="32"/>
        </w:rPr>
      </w:pP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afterLines="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本部门2018年度一般公共预算</w:t>
      </w:r>
      <w:r>
        <w:rPr>
          <w:rFonts w:hint="eastAsia" w:ascii="仿宋_GB2312" w:eastAsia="仿宋_GB2312" w:cs="DengXian-Regular"/>
          <w:sz w:val="32"/>
          <w:szCs w:val="32"/>
          <w:highlight w:val="none"/>
        </w:rPr>
        <w:t>财政拨款收入</w:t>
      </w:r>
      <w:r>
        <w:rPr>
          <w:rFonts w:hint="eastAsia" w:ascii="仿宋" w:hAnsi="仿宋" w:eastAsia="仿宋" w:cs="仿宋_GB2312"/>
          <w:sz w:val="32"/>
          <w:szCs w:val="32"/>
          <w:highlight w:val="none"/>
          <w:lang w:val="en-US" w:eastAsia="zh-CN"/>
        </w:rPr>
        <w:t>2165万</w:t>
      </w:r>
      <w:r>
        <w:rPr>
          <w:rFonts w:hint="eastAsia" w:ascii="仿宋_GB2312" w:eastAsia="仿宋_GB2312" w:cs="DengXian-Regular"/>
          <w:sz w:val="32"/>
          <w:szCs w:val="32"/>
          <w:highlight w:val="none"/>
        </w:rPr>
        <w:t>元，完成年初预算的</w:t>
      </w:r>
      <w:r>
        <w:rPr>
          <w:rFonts w:hint="eastAsia" w:ascii="仿宋" w:hAnsi="仿宋" w:eastAsia="仿宋"/>
          <w:sz w:val="32"/>
          <w:szCs w:val="32"/>
          <w:highlight w:val="none"/>
          <w:lang w:val="en-US" w:eastAsia="zh-CN"/>
        </w:rPr>
        <w:t>110.60</w:t>
      </w:r>
      <w:r>
        <w:rPr>
          <w:rFonts w:hint="eastAsia" w:ascii="仿宋" w:hAnsi="仿宋" w:eastAsia="仿宋"/>
          <w:sz w:val="32"/>
          <w:szCs w:val="32"/>
          <w:highlight w:val="none"/>
        </w:rPr>
        <w:t>%</w:t>
      </w:r>
      <w:r>
        <w:rPr>
          <w:rFonts w:hint="eastAsia" w:ascii="仿宋_GB2312" w:eastAsia="仿宋_GB2312" w:cs="DengXian-Regular"/>
          <w:sz w:val="32"/>
          <w:szCs w:val="32"/>
          <w:highlight w:val="none"/>
        </w:rPr>
        <w:t>,比年初预算增加</w:t>
      </w:r>
      <w:r>
        <w:rPr>
          <w:rFonts w:hint="eastAsia" w:ascii="仿宋" w:hAnsi="仿宋" w:eastAsia="仿宋"/>
          <w:sz w:val="32"/>
          <w:szCs w:val="32"/>
          <w:highlight w:val="none"/>
          <w:lang w:val="en-US" w:eastAsia="zh-CN"/>
        </w:rPr>
        <w:t>207.51</w:t>
      </w:r>
      <w:r>
        <w:rPr>
          <w:rFonts w:hint="eastAsia" w:ascii="仿宋" w:hAnsi="仿宋" w:eastAsia="仿宋"/>
          <w:sz w:val="32"/>
          <w:szCs w:val="32"/>
          <w:highlight w:val="none"/>
        </w:rPr>
        <w:t>万元</w:t>
      </w:r>
      <w:r>
        <w:rPr>
          <w:rFonts w:hint="eastAsia" w:ascii="仿宋_GB2312" w:eastAsia="仿宋_GB2312" w:cs="DengXian-Regular"/>
          <w:sz w:val="32"/>
          <w:szCs w:val="32"/>
          <w:highlight w:val="none"/>
        </w:rPr>
        <w:t>，决算数大于预算数主要是</w:t>
      </w:r>
      <w:r>
        <w:rPr>
          <w:rFonts w:hint="eastAsia" w:ascii="仿宋_GB2312" w:eastAsia="仿宋_GB2312" w:cs="DengXian-Regular"/>
          <w:sz w:val="32"/>
          <w:szCs w:val="32"/>
          <w:highlight w:val="none"/>
          <w:lang w:val="en-US" w:eastAsia="zh-CN"/>
        </w:rPr>
        <w:t>人员经费增长及追加的专项业务经费</w:t>
      </w:r>
      <w:r>
        <w:rPr>
          <w:rFonts w:hint="eastAsia" w:ascii="仿宋_GB2312" w:eastAsia="仿宋_GB2312" w:cs="DengXian-Regular"/>
          <w:sz w:val="32"/>
          <w:szCs w:val="32"/>
          <w:highlight w:val="none"/>
        </w:rPr>
        <w:t>；本年支出</w:t>
      </w:r>
      <w:r>
        <w:rPr>
          <w:rFonts w:hint="eastAsia" w:ascii="仿宋" w:hAnsi="仿宋" w:eastAsia="仿宋" w:cs="仿宋_GB2312"/>
          <w:sz w:val="32"/>
          <w:szCs w:val="32"/>
          <w:highlight w:val="none"/>
          <w:lang w:val="en-US" w:eastAsia="zh-CN"/>
        </w:rPr>
        <w:t>2195.86</w:t>
      </w:r>
      <w:r>
        <w:rPr>
          <w:rFonts w:hint="eastAsia" w:ascii="仿宋_GB2312" w:eastAsia="仿宋_GB2312" w:cs="DengXian-Regular"/>
          <w:sz w:val="32"/>
          <w:szCs w:val="32"/>
          <w:highlight w:val="none"/>
        </w:rPr>
        <w:t>万元，完成年初预算的</w:t>
      </w:r>
      <w:r>
        <w:rPr>
          <w:rFonts w:hint="eastAsia" w:ascii="仿宋" w:hAnsi="仿宋" w:eastAsia="仿宋"/>
          <w:sz w:val="32"/>
          <w:szCs w:val="32"/>
          <w:highlight w:val="none"/>
          <w:lang w:val="en-US" w:eastAsia="zh-CN"/>
        </w:rPr>
        <w:t>112.17</w:t>
      </w:r>
      <w:r>
        <w:rPr>
          <w:rFonts w:hint="eastAsia" w:ascii="仿宋" w:hAnsi="仿宋" w:eastAsia="仿宋"/>
          <w:sz w:val="32"/>
          <w:szCs w:val="32"/>
          <w:highlight w:val="none"/>
        </w:rPr>
        <w:t>%</w:t>
      </w:r>
      <w:r>
        <w:rPr>
          <w:rFonts w:hint="eastAsia" w:ascii="仿宋_GB2312" w:eastAsia="仿宋_GB2312" w:cs="DengXian-Regular"/>
          <w:sz w:val="32"/>
          <w:szCs w:val="32"/>
          <w:highlight w:val="none"/>
        </w:rPr>
        <w:t>,比年初预算增加</w:t>
      </w:r>
      <w:r>
        <w:rPr>
          <w:rFonts w:hint="eastAsia" w:ascii="仿宋" w:hAnsi="仿宋" w:eastAsia="仿宋"/>
          <w:sz w:val="32"/>
          <w:szCs w:val="32"/>
          <w:highlight w:val="none"/>
          <w:lang w:val="en-US" w:eastAsia="zh-CN"/>
        </w:rPr>
        <w:t>238.37</w:t>
      </w:r>
      <w:r>
        <w:rPr>
          <w:rFonts w:hint="eastAsia" w:ascii="仿宋" w:hAnsi="仿宋" w:eastAsia="仿宋"/>
          <w:sz w:val="32"/>
          <w:szCs w:val="32"/>
          <w:highlight w:val="none"/>
        </w:rPr>
        <w:t>万元</w:t>
      </w:r>
      <w:r>
        <w:rPr>
          <w:rFonts w:hint="eastAsia" w:ascii="仿宋_GB2312" w:eastAsia="仿宋_GB2312" w:cs="DengXian-Regular"/>
          <w:sz w:val="32"/>
          <w:szCs w:val="32"/>
          <w:highlight w:val="none"/>
        </w:rPr>
        <w:t>，决算数大于预算数主要是</w:t>
      </w:r>
      <w:r>
        <w:rPr>
          <w:rFonts w:hint="eastAsia" w:ascii="仿宋_GB2312" w:eastAsia="仿宋_GB2312" w:cs="DengXian-Regular"/>
          <w:sz w:val="32"/>
          <w:szCs w:val="32"/>
          <w:lang w:val="en-US" w:eastAsia="zh-CN"/>
        </w:rPr>
        <w:t>人员增资、上级专款下达以及追加的专项业务经费支出</w:t>
      </w:r>
      <w:r>
        <w:rPr>
          <w:rFonts w:hint="eastAsia" w:ascii="仿宋_GB2312" w:eastAsia="仿宋_GB2312" w:cs="DengXian-Regular"/>
          <w:sz w:val="32"/>
          <w:szCs w:val="32"/>
        </w:rPr>
        <w:t>。</w:t>
      </w:r>
    </w:p>
    <w:p>
      <w:pPr>
        <w:adjustRightInd w:val="0"/>
        <w:snapToGrid w:val="0"/>
        <w:spacing w:after="0" w:line="580" w:lineRule="exact"/>
        <w:jc w:val="center"/>
        <w:rPr>
          <w:rFonts w:ascii="仿宋_GB2312" w:eastAsia="仿宋_GB2312" w:cs="DengXian-Regular"/>
          <w:sz w:val="24"/>
        </w:rPr>
      </w:pPr>
      <w:r>
        <w:rPr>
          <w:rFonts w:hint="eastAsia" w:eastAsia="仿宋_GB2312"/>
          <w:sz w:val="32"/>
          <w:szCs w:val="32"/>
        </w:rPr>
        <w:t>图4：财政拨款收支预决算对比情况</w:t>
      </w:r>
    </w:p>
    <w:p>
      <w:pPr>
        <w:adjustRightInd w:val="0"/>
        <w:snapToGrid w:val="0"/>
        <w:spacing w:after="0" w:line="580" w:lineRule="exact"/>
        <w:ind w:firstLine="640" w:firstLineChars="200"/>
        <w:rPr>
          <w:rFonts w:hint="eastAsia" w:ascii="仿宋_GB2312" w:eastAsia="仿宋_GB2312" w:cs="DengXian-Regular"/>
          <w:sz w:val="32"/>
          <w:szCs w:val="32"/>
          <w:highlight w:val="yellow"/>
          <w:lang w:eastAsia="zh-CN"/>
        </w:rPr>
      </w:pPr>
      <w:r>
        <w:rPr>
          <w:rFonts w:hint="eastAsia" w:ascii="仿宋_GB2312" w:eastAsia="仿宋_GB2312" w:cs="DengXian-Regular"/>
          <w:sz w:val="32"/>
          <w:szCs w:val="32"/>
          <w:highlight w:val="yellow"/>
          <w:lang w:eastAsia="zh-CN"/>
        </w:rPr>
        <w:drawing>
          <wp:anchor distT="0" distB="0" distL="114300" distR="114300" simplePos="0" relativeHeight="251661312" behindDoc="1" locked="0" layoutInCell="1" allowOverlap="1">
            <wp:simplePos x="0" y="0"/>
            <wp:positionH relativeFrom="column">
              <wp:posOffset>410845</wp:posOffset>
            </wp:positionH>
            <wp:positionV relativeFrom="paragraph">
              <wp:posOffset>208280</wp:posOffset>
            </wp:positionV>
            <wp:extent cx="4272915" cy="1697355"/>
            <wp:effectExtent l="4445" t="4445" r="15240" b="1270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adjustRightInd w:val="0"/>
        <w:snapToGrid w:val="0"/>
        <w:spacing w:after="0" w:line="580" w:lineRule="exact"/>
        <w:ind w:firstLine="640" w:firstLineChars="200"/>
        <w:rPr>
          <w:rFonts w:ascii="仿宋_GB2312" w:eastAsia="仿宋_GB2312" w:cs="DengXian-Regular"/>
          <w:sz w:val="32"/>
          <w:szCs w:val="32"/>
          <w:highlight w:val="yellow"/>
        </w:rPr>
      </w:pPr>
    </w:p>
    <w:p>
      <w:pPr>
        <w:adjustRightInd w:val="0"/>
        <w:snapToGrid w:val="0"/>
        <w:spacing w:after="0" w:line="580" w:lineRule="exact"/>
        <w:ind w:firstLine="640" w:firstLineChars="200"/>
        <w:rPr>
          <w:rFonts w:ascii="仿宋_GB2312" w:eastAsia="仿宋_GB2312" w:cs="DengXian-Regular"/>
          <w:sz w:val="32"/>
          <w:szCs w:val="32"/>
          <w:highlight w:val="yellow"/>
        </w:rPr>
      </w:pPr>
    </w:p>
    <w:p>
      <w:pPr>
        <w:adjustRightInd w:val="0"/>
        <w:snapToGrid w:val="0"/>
        <w:spacing w:after="0" w:line="580" w:lineRule="exact"/>
        <w:ind w:firstLine="640" w:firstLineChars="200"/>
        <w:rPr>
          <w:rFonts w:ascii="仿宋_GB2312" w:eastAsia="仿宋_GB2312" w:cs="DengXian-Regular"/>
          <w:sz w:val="32"/>
          <w:szCs w:val="32"/>
          <w:highlight w:val="yellow"/>
        </w:rPr>
      </w:pPr>
    </w:p>
    <w:p>
      <w:pPr>
        <w:adjustRightInd w:val="0"/>
        <w:snapToGrid w:val="0"/>
        <w:spacing w:after="0" w:line="580" w:lineRule="exact"/>
        <w:ind w:firstLine="640" w:firstLineChars="200"/>
        <w:rPr>
          <w:rFonts w:ascii="仿宋_GB2312" w:eastAsia="仿宋_GB2312" w:cs="DengXian-Regular"/>
          <w:sz w:val="32"/>
          <w:szCs w:val="32"/>
          <w:highlight w:val="yellow"/>
        </w:rPr>
      </w:pPr>
    </w:p>
    <w:p>
      <w:pPr>
        <w:adjustRightInd w:val="0"/>
        <w:snapToGrid w:val="0"/>
        <w:spacing w:after="0" w:line="580" w:lineRule="exact"/>
        <w:ind w:firstLine="640" w:firstLineChars="200"/>
        <w:rPr>
          <w:rFonts w:ascii="仿宋_GB2312" w:eastAsia="仿宋_GB2312" w:cs="DengXian-Regular"/>
          <w:sz w:val="32"/>
          <w:szCs w:val="32"/>
          <w:highlight w:val="yellow"/>
        </w:rPr>
      </w:pPr>
    </w:p>
    <w:p>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afterLines="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年度财政拨款支出</w:t>
      </w:r>
      <w:r>
        <w:rPr>
          <w:rFonts w:hint="eastAsia" w:ascii="仿宋" w:hAnsi="仿宋" w:eastAsia="仿宋" w:cs="仿宋_GB2312"/>
          <w:sz w:val="32"/>
          <w:szCs w:val="32"/>
          <w:highlight w:val="none"/>
          <w:lang w:val="en-US" w:eastAsia="zh-CN"/>
        </w:rPr>
        <w:t>2195.86</w:t>
      </w:r>
      <w:r>
        <w:rPr>
          <w:rFonts w:hint="eastAsia" w:ascii="仿宋_GB2312" w:eastAsia="仿宋_GB2312" w:cs="DengXian-Regular"/>
          <w:sz w:val="32"/>
          <w:szCs w:val="32"/>
        </w:rPr>
        <w:t>万元，主要用于以下方面</w:t>
      </w:r>
      <w:r>
        <w:rPr>
          <w:rFonts w:hint="eastAsia" w:ascii="仿宋_GB2312" w:eastAsia="仿宋_GB2312" w:cs="DengXian-Regular"/>
          <w:sz w:val="32"/>
          <w:szCs w:val="32"/>
          <w:lang w:eastAsia="zh-CN"/>
        </w:rPr>
        <w:t>：</w:t>
      </w:r>
      <w:r>
        <w:rPr>
          <w:rFonts w:hint="eastAsia" w:ascii="仿宋_GB2312" w:eastAsia="仿宋_GB2312" w:cs="DengXian-Regular"/>
          <w:sz w:val="32"/>
          <w:szCs w:val="32"/>
        </w:rPr>
        <w:t>公共安全（类）支出</w:t>
      </w:r>
      <w:r>
        <w:rPr>
          <w:rFonts w:hint="eastAsia" w:ascii="仿宋_GB2312" w:eastAsia="仿宋_GB2312" w:cs="DengXian-Regular"/>
          <w:sz w:val="32"/>
          <w:szCs w:val="32"/>
          <w:lang w:val="en-US" w:eastAsia="zh-CN"/>
        </w:rPr>
        <w:t>1953.95</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88.98</w:t>
      </w:r>
      <w:r>
        <w:rPr>
          <w:rFonts w:hint="eastAsia" w:ascii="仿宋_GB2312" w:eastAsia="仿宋_GB2312" w:cs="DengXian-Regular"/>
          <w:sz w:val="32"/>
          <w:szCs w:val="32"/>
        </w:rPr>
        <w:t>%；社会保障和就业（类）支出</w:t>
      </w:r>
      <w:r>
        <w:rPr>
          <w:rFonts w:hint="eastAsia" w:ascii="仿宋_GB2312" w:eastAsia="仿宋_GB2312" w:cs="DengXian-Regular"/>
          <w:sz w:val="32"/>
          <w:szCs w:val="32"/>
          <w:lang w:val="en-US" w:eastAsia="zh-CN"/>
        </w:rPr>
        <w:t>120.23</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5.47</w:t>
      </w:r>
      <w:r>
        <w:rPr>
          <w:rFonts w:hint="eastAsia" w:ascii="仿宋_GB2312" w:eastAsia="仿宋_GB2312" w:cs="DengXian-Regular"/>
          <w:sz w:val="32"/>
          <w:szCs w:val="32"/>
        </w:rPr>
        <w:t>%；医疗卫生与计划生育（类）支出</w:t>
      </w:r>
      <w:r>
        <w:rPr>
          <w:rFonts w:hint="eastAsia" w:ascii="仿宋_GB2312" w:eastAsia="仿宋_GB2312" w:cs="DengXian-Regular"/>
          <w:sz w:val="32"/>
          <w:szCs w:val="32"/>
          <w:lang w:val="en-US" w:eastAsia="zh-CN"/>
        </w:rPr>
        <w:t>43.02</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1.95</w:t>
      </w:r>
      <w:r>
        <w:rPr>
          <w:rFonts w:hint="eastAsia" w:ascii="仿宋_GB2312" w:eastAsia="仿宋_GB2312" w:cs="DengXian-Regular"/>
          <w:sz w:val="32"/>
          <w:szCs w:val="32"/>
        </w:rPr>
        <w:t>%；住房保障（类）支出</w:t>
      </w:r>
      <w:r>
        <w:rPr>
          <w:rFonts w:hint="eastAsia" w:ascii="仿宋_GB2312" w:eastAsia="仿宋_GB2312" w:cs="DengXian-Regular"/>
          <w:sz w:val="32"/>
          <w:szCs w:val="32"/>
          <w:lang w:val="en-US" w:eastAsia="zh-CN"/>
        </w:rPr>
        <w:t>78.66</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3.6</w:t>
      </w:r>
      <w:r>
        <w:rPr>
          <w:rFonts w:hint="eastAsia" w:ascii="仿宋_GB2312" w:eastAsia="仿宋_GB2312" w:cs="DengXian-Regular"/>
          <w:sz w:val="32"/>
          <w:szCs w:val="32"/>
        </w:rPr>
        <w:t>%。</w:t>
      </w:r>
    </w:p>
    <w:p>
      <w:pPr>
        <w:adjustRightInd w:val="0"/>
        <w:snapToGrid w:val="0"/>
        <w:spacing w:after="0" w:line="580" w:lineRule="exact"/>
        <w:jc w:val="center"/>
        <w:rPr>
          <w:rFonts w:ascii="楷体_GB2312" w:eastAsia="楷体_GB2312" w:cs="DengXian-Bold"/>
          <w:b/>
          <w:bCs/>
          <w:sz w:val="32"/>
          <w:szCs w:val="32"/>
        </w:rPr>
      </w:pPr>
      <w:r>
        <w:rPr>
          <w:rFonts w:hint="eastAsia" w:eastAsia="仿宋_GB2312"/>
          <w:sz w:val="32"/>
          <w:szCs w:val="32"/>
        </w:rPr>
        <w:t>图5：财政拨款支出决算结构（按功能分类）</w:t>
      </w:r>
    </w:p>
    <w:p>
      <w:pPr>
        <w:adjustRightInd w:val="0"/>
        <w:snapToGrid w:val="0"/>
        <w:spacing w:after="0" w:line="580" w:lineRule="exact"/>
        <w:rPr>
          <w:rFonts w:hint="eastAsia" w:ascii="楷体_GB2312" w:eastAsia="楷体_GB2312" w:cs="DengXian-Bold"/>
          <w:b/>
          <w:bCs/>
          <w:sz w:val="32"/>
          <w:szCs w:val="32"/>
          <w:lang w:eastAsia="zh-CN"/>
        </w:rPr>
      </w:pPr>
      <w:r>
        <w:rPr>
          <w:rFonts w:hint="eastAsia" w:ascii="楷体_GB2312" w:eastAsia="楷体_GB2312" w:cs="DengXian-Bold"/>
          <w:b/>
          <w:bCs/>
          <w:sz w:val="32"/>
          <w:szCs w:val="32"/>
          <w:lang w:eastAsia="zh-CN"/>
        </w:rPr>
        <w:drawing>
          <wp:anchor distT="0" distB="0" distL="114300" distR="114300" simplePos="0" relativeHeight="251662336" behindDoc="1" locked="0" layoutInCell="1" allowOverlap="1">
            <wp:simplePos x="0" y="0"/>
            <wp:positionH relativeFrom="column">
              <wp:posOffset>739140</wp:posOffset>
            </wp:positionH>
            <wp:positionV relativeFrom="paragraph">
              <wp:posOffset>-965200</wp:posOffset>
            </wp:positionV>
            <wp:extent cx="4462145" cy="2694940"/>
            <wp:effectExtent l="4445" t="4445" r="16510" b="571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adjustRightInd w:val="0"/>
        <w:snapToGrid w:val="0"/>
        <w:spacing w:after="0" w:line="580" w:lineRule="exact"/>
        <w:rPr>
          <w:rFonts w:ascii="楷体_GB2312" w:eastAsia="楷体_GB2312" w:cs="DengXian-Bold"/>
          <w:b/>
          <w:bCs/>
          <w:sz w:val="32"/>
          <w:szCs w:val="32"/>
        </w:rPr>
      </w:pPr>
    </w:p>
    <w:p>
      <w:pPr>
        <w:adjustRightInd w:val="0"/>
        <w:snapToGrid w:val="0"/>
        <w:spacing w:after="0" w:line="580" w:lineRule="exact"/>
        <w:rPr>
          <w:rFonts w:ascii="楷体_GB2312" w:eastAsia="楷体_GB2312" w:cs="DengXian-Bold"/>
          <w:b/>
          <w:bCs/>
          <w:sz w:val="32"/>
          <w:szCs w:val="32"/>
        </w:rPr>
      </w:pPr>
    </w:p>
    <w:p>
      <w:pPr>
        <w:adjustRightInd w:val="0"/>
        <w:snapToGrid w:val="0"/>
        <w:spacing w:after="0" w:line="580" w:lineRule="exact"/>
        <w:ind w:left="420" w:leftChars="200"/>
        <w:rPr>
          <w:rFonts w:ascii="楷体_GB2312" w:eastAsia="楷体_GB2312" w:cs="DengXian-Bold"/>
          <w:b/>
          <w:bCs/>
          <w:sz w:val="32"/>
          <w:szCs w:val="32"/>
        </w:rPr>
      </w:pPr>
    </w:p>
    <w:p>
      <w:pPr>
        <w:adjustRightInd w:val="0"/>
        <w:snapToGrid w:val="0"/>
        <w:spacing w:after="0" w:line="580" w:lineRule="exact"/>
        <w:ind w:left="420" w:leftChars="200"/>
        <w:rPr>
          <w:rFonts w:ascii="楷体_GB2312" w:eastAsia="楷体_GB2312" w:cs="DengXian-Bold"/>
          <w:b/>
          <w:bCs/>
          <w:sz w:val="32"/>
          <w:szCs w:val="32"/>
        </w:rPr>
      </w:pPr>
    </w:p>
    <w:p>
      <w:pPr>
        <w:adjustRightInd w:val="0"/>
        <w:snapToGrid w:val="0"/>
        <w:spacing w:after="0" w:line="580" w:lineRule="exact"/>
        <w:ind w:left="420" w:leftChars="200"/>
        <w:rPr>
          <w:rFonts w:ascii="楷体_GB2312" w:eastAsia="楷体_GB2312" w:cs="DengXian-Bold"/>
          <w:b/>
          <w:bCs/>
          <w:sz w:val="32"/>
          <w:szCs w:val="32"/>
        </w:rPr>
      </w:pPr>
    </w:p>
    <w:p>
      <w:p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（四）一般公共预算财政拨款基本支出决算情况说明</w:t>
      </w:r>
    </w:p>
    <w:p>
      <w:pPr>
        <w:adjustRightInd w:val="0"/>
        <w:snapToGrid w:val="0"/>
        <w:spacing w:after="0" w:afterLines="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年度一般公共预算财政拨款基本支出</w:t>
      </w:r>
      <w:r>
        <w:rPr>
          <w:rFonts w:hint="eastAsia" w:ascii="仿宋_GB2312" w:eastAsia="仿宋_GB2312" w:cs="DengXian-Regular"/>
          <w:sz w:val="32"/>
          <w:szCs w:val="32"/>
          <w:lang w:val="en-US" w:eastAsia="zh-CN"/>
        </w:rPr>
        <w:t>1623.71</w:t>
      </w:r>
      <w:r>
        <w:rPr>
          <w:rFonts w:hint="eastAsia" w:ascii="仿宋_GB2312" w:eastAsia="仿宋_GB2312" w:cs="DengXian-Regular"/>
          <w:sz w:val="32"/>
          <w:szCs w:val="32"/>
        </w:rPr>
        <w:t>万元，其中：人员经费</w:t>
      </w:r>
      <w:r>
        <w:rPr>
          <w:rFonts w:hint="eastAsia" w:ascii="仿宋_GB2312" w:eastAsia="仿宋_GB2312" w:cs="DengXian-Regular"/>
          <w:sz w:val="32"/>
          <w:szCs w:val="32"/>
          <w:lang w:val="en-US" w:eastAsia="zh-CN"/>
        </w:rPr>
        <w:t>1388.63</w:t>
      </w:r>
      <w:r>
        <w:rPr>
          <w:rFonts w:hint="eastAsia" w:ascii="仿宋_GB2312" w:eastAsia="仿宋_GB2312" w:cs="DengXian-Regular"/>
          <w:sz w:val="32"/>
          <w:szCs w:val="32"/>
        </w:rPr>
        <w:t>万元，主要包括基本工资、津贴补贴、奖金、绩效工资、机关事业单位基本养老保险缴费、职工基本医疗保险缴费、住房公积金、其他社会保障缴费、其他工资福利支出、生活补助、奖励金等；公用经费</w:t>
      </w:r>
      <w:r>
        <w:rPr>
          <w:rFonts w:hint="eastAsia" w:ascii="仿宋_GB2312" w:eastAsia="仿宋_GB2312" w:cs="DengXian-Regular"/>
          <w:sz w:val="32"/>
          <w:szCs w:val="32"/>
          <w:lang w:val="en-US" w:eastAsia="zh-CN"/>
        </w:rPr>
        <w:t>235.07</w:t>
      </w:r>
      <w:r>
        <w:rPr>
          <w:rFonts w:hint="eastAsia" w:ascii="仿宋_GB2312" w:eastAsia="仿宋_GB2312" w:cs="DengXian-Regular"/>
          <w:sz w:val="32"/>
          <w:szCs w:val="32"/>
        </w:rPr>
        <w:t>万元，主要包括办公费、水费、电费、邮电费、取暖费、差旅费、维修（护）费、培训费、公务接待费、劳务费、工会经费、福利费、公务用车运行维护费、其他交通费用、其他商品和服务支出、办公设备购置等。</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 经费支出决算情况说明</w:t>
      </w:r>
    </w:p>
    <w:p>
      <w:pPr>
        <w:adjustRightInd w:val="0"/>
        <w:snapToGrid w:val="0"/>
        <w:spacing w:line="584" w:lineRule="exact"/>
        <w:ind w:firstLine="640" w:firstLineChars="200"/>
        <w:rPr>
          <w:rFonts w:eastAsia="仿宋_GB2312"/>
          <w:sz w:val="32"/>
          <w:szCs w:val="32"/>
          <w:highlight w:val="yellow"/>
        </w:rPr>
      </w:pPr>
      <w:r>
        <w:rPr>
          <w:rFonts w:eastAsia="仿宋_GB2312"/>
          <w:sz w:val="32"/>
          <w:szCs w:val="32"/>
        </w:rPr>
        <w:t>本部门201</w:t>
      </w:r>
      <w:r>
        <w:rPr>
          <w:rFonts w:hint="eastAsia" w:eastAsia="仿宋_GB2312"/>
          <w:sz w:val="32"/>
          <w:szCs w:val="32"/>
        </w:rPr>
        <w:t>8</w:t>
      </w:r>
      <w:r>
        <w:rPr>
          <w:rFonts w:eastAsia="仿宋_GB2312"/>
          <w:sz w:val="32"/>
          <w:szCs w:val="32"/>
        </w:rPr>
        <w:t>年度一般公共预算财政拨款“三公”经费支出共计</w:t>
      </w:r>
      <w:r>
        <w:rPr>
          <w:rFonts w:hint="eastAsia" w:eastAsia="仿宋_GB2312"/>
          <w:sz w:val="32"/>
          <w:szCs w:val="32"/>
          <w:lang w:val="en-US" w:eastAsia="zh-CN"/>
        </w:rPr>
        <w:t>27.93万</w:t>
      </w:r>
      <w:r>
        <w:rPr>
          <w:rFonts w:hint="eastAsia" w:eastAsia="仿宋_GB2312"/>
          <w:sz w:val="32"/>
          <w:szCs w:val="32"/>
        </w:rPr>
        <w:t>元</w:t>
      </w:r>
      <w:r>
        <w:rPr>
          <w:rFonts w:eastAsia="仿宋_GB2312"/>
          <w:sz w:val="32"/>
          <w:szCs w:val="32"/>
        </w:rPr>
        <w:t>，</w:t>
      </w:r>
      <w:r>
        <w:rPr>
          <w:rFonts w:hint="eastAsia" w:eastAsia="仿宋_GB2312"/>
          <w:sz w:val="32"/>
          <w:szCs w:val="32"/>
        </w:rPr>
        <w:t>比</w:t>
      </w:r>
      <w:r>
        <w:rPr>
          <w:rFonts w:eastAsia="仿宋_GB2312"/>
          <w:sz w:val="32"/>
          <w:szCs w:val="32"/>
        </w:rPr>
        <w:t>年初预算</w:t>
      </w:r>
      <w:r>
        <w:rPr>
          <w:rFonts w:hint="eastAsia" w:eastAsia="仿宋_GB2312"/>
          <w:sz w:val="32"/>
          <w:szCs w:val="32"/>
        </w:rPr>
        <w:t>减少</w:t>
      </w:r>
      <w:r>
        <w:rPr>
          <w:rFonts w:hint="eastAsia" w:eastAsia="仿宋_GB2312"/>
          <w:sz w:val="32"/>
          <w:szCs w:val="32"/>
          <w:lang w:val="en-US" w:eastAsia="zh-CN"/>
        </w:rPr>
        <w:t>0.3</w:t>
      </w:r>
      <w:r>
        <w:rPr>
          <w:rFonts w:hint="eastAsia" w:eastAsia="仿宋_GB2312"/>
          <w:sz w:val="32"/>
          <w:szCs w:val="32"/>
        </w:rPr>
        <w:t>万元</w:t>
      </w:r>
      <w:r>
        <w:rPr>
          <w:rFonts w:eastAsia="仿宋_GB2312"/>
          <w:sz w:val="32"/>
          <w:szCs w:val="32"/>
        </w:rPr>
        <w:t>，</w:t>
      </w:r>
      <w:r>
        <w:rPr>
          <w:rFonts w:hint="eastAsia" w:eastAsia="仿宋_GB2312"/>
          <w:sz w:val="32"/>
          <w:szCs w:val="32"/>
        </w:rPr>
        <w:t>降低</w:t>
      </w:r>
      <w:r>
        <w:rPr>
          <w:rFonts w:hint="eastAsia" w:eastAsia="仿宋_GB2312"/>
          <w:sz w:val="32"/>
          <w:szCs w:val="32"/>
          <w:lang w:val="en-US" w:eastAsia="zh-CN"/>
        </w:rPr>
        <w:t>1.06</w:t>
      </w:r>
      <w:r>
        <w:rPr>
          <w:rFonts w:hint="eastAsia" w:eastAsia="仿宋_GB2312"/>
          <w:sz w:val="32"/>
          <w:szCs w:val="32"/>
        </w:rPr>
        <w:t>%</w:t>
      </w:r>
      <w:r>
        <w:rPr>
          <w:rFonts w:eastAsia="仿宋_GB2312"/>
          <w:sz w:val="32"/>
          <w:szCs w:val="32"/>
        </w:rPr>
        <w:t>，，主要是</w:t>
      </w:r>
      <w:r>
        <w:rPr>
          <w:rFonts w:hint="eastAsia" w:eastAsia="仿宋_GB2312"/>
          <w:sz w:val="32"/>
          <w:szCs w:val="32"/>
          <w:lang w:val="en-US" w:eastAsia="zh-CN"/>
        </w:rPr>
        <w:t>公车改革后，公车出行受限，公务用车运行维护费支出降低</w:t>
      </w:r>
      <w:r>
        <w:rPr>
          <w:rFonts w:eastAsia="仿宋_GB2312"/>
          <w:sz w:val="32"/>
          <w:szCs w:val="32"/>
        </w:rPr>
        <w:t>；</w:t>
      </w:r>
      <w:r>
        <w:rPr>
          <w:rFonts w:hint="eastAsia" w:eastAsia="仿宋_GB2312"/>
          <w:sz w:val="32"/>
          <w:szCs w:val="32"/>
          <w:lang w:eastAsia="zh-CN"/>
        </w:rPr>
        <w:t>严格控制“三公”经费，减少不必要的公务接待费用。</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w:t>
      </w:r>
      <w:r>
        <w:rPr>
          <w:rFonts w:hint="eastAsia" w:eastAsia="仿宋_GB2312"/>
          <w:sz w:val="32"/>
          <w:szCs w:val="32"/>
          <w:lang w:eastAsia="zh-CN"/>
        </w:rPr>
        <w:t>减少</w:t>
      </w:r>
      <w:r>
        <w:rPr>
          <w:rFonts w:hint="eastAsia" w:eastAsia="仿宋_GB2312"/>
          <w:sz w:val="32"/>
          <w:szCs w:val="32"/>
          <w:lang w:val="en-US" w:eastAsia="zh-CN"/>
        </w:rPr>
        <w:t>32.36</w:t>
      </w:r>
      <w:r>
        <w:rPr>
          <w:rFonts w:hint="eastAsia" w:eastAsia="仿宋_GB2312"/>
          <w:sz w:val="32"/>
          <w:szCs w:val="32"/>
        </w:rPr>
        <w:t>万元</w:t>
      </w:r>
      <w:r>
        <w:rPr>
          <w:rFonts w:eastAsia="仿宋_GB2312"/>
          <w:sz w:val="32"/>
          <w:szCs w:val="32"/>
        </w:rPr>
        <w:t>，降低</w:t>
      </w:r>
      <w:r>
        <w:rPr>
          <w:rFonts w:hint="eastAsia" w:eastAsia="仿宋_GB2312"/>
          <w:sz w:val="32"/>
          <w:szCs w:val="32"/>
          <w:lang w:val="en-US" w:eastAsia="zh-CN"/>
        </w:rPr>
        <w:t>53.67</w:t>
      </w:r>
      <w:r>
        <w:rPr>
          <w:rFonts w:hint="eastAsia" w:eastAsia="仿宋_GB2312"/>
          <w:sz w:val="32"/>
          <w:szCs w:val="32"/>
        </w:rPr>
        <w:t>%</w:t>
      </w:r>
      <w:r>
        <w:rPr>
          <w:rFonts w:eastAsia="仿宋_GB2312"/>
          <w:sz w:val="32"/>
          <w:szCs w:val="32"/>
        </w:rPr>
        <w:t>，，主要是</w:t>
      </w:r>
      <w:r>
        <w:rPr>
          <w:rFonts w:hint="eastAsia" w:eastAsia="仿宋_GB2312"/>
          <w:sz w:val="32"/>
          <w:szCs w:val="32"/>
          <w:lang w:val="en-US" w:eastAsia="zh-CN"/>
        </w:rPr>
        <w:t>严格控制公车，运维费用降低</w:t>
      </w:r>
      <w:r>
        <w:rPr>
          <w:rFonts w:eastAsia="仿宋_GB2312"/>
          <w:sz w:val="32"/>
          <w:szCs w:val="32"/>
        </w:rPr>
        <w:t>。具体情况如下：</w:t>
      </w:r>
    </w:p>
    <w:p>
      <w:pPr>
        <w:adjustRightInd w:val="0"/>
        <w:snapToGrid w:val="0"/>
        <w:spacing w:line="584" w:lineRule="exact"/>
        <w:ind w:firstLine="643" w:firstLineChars="200"/>
        <w:rPr>
          <w:rFonts w:eastAsia="仿宋_GB2312"/>
          <w:sz w:val="32"/>
          <w:szCs w:val="32"/>
          <w:highlight w:val="yellow"/>
        </w:rPr>
      </w:pPr>
      <w:r>
        <w:rPr>
          <w:rFonts w:eastAsia="楷体_GB2312"/>
          <w:b/>
          <w:bCs/>
          <w:sz w:val="32"/>
          <w:szCs w:val="32"/>
        </w:rPr>
        <w:t>（一）因公出国（境）费支出</w:t>
      </w:r>
      <w:r>
        <w:rPr>
          <w:rFonts w:hint="eastAsia" w:eastAsia="楷体_GB2312"/>
          <w:b/>
          <w:bCs/>
          <w:sz w:val="32"/>
          <w:szCs w:val="32"/>
          <w:lang w:val="en-US" w:eastAsia="zh-CN"/>
        </w:rPr>
        <w:t>0</w:t>
      </w:r>
      <w:r>
        <w:rPr>
          <w:rFonts w:eastAsia="楷体_GB2312"/>
          <w:b/>
          <w:bCs/>
          <w:sz w:val="32"/>
          <w:szCs w:val="32"/>
        </w:rPr>
        <w:t>万元。</w:t>
      </w:r>
      <w:r>
        <w:rPr>
          <w:rFonts w:hint="eastAsia" w:ascii="仿宋_GB2312" w:eastAsia="仿宋_GB2312" w:cs="DengXian-Regular"/>
          <w:sz w:val="32"/>
          <w:szCs w:val="32"/>
          <w:highlight w:val="none"/>
        </w:rPr>
        <w:t>无本单位组织的出国（境）团组。</w:t>
      </w:r>
      <w:r>
        <w:rPr>
          <w:rFonts w:eastAsia="仿宋_GB2312"/>
          <w:sz w:val="32"/>
          <w:szCs w:val="32"/>
          <w:highlight w:val="none"/>
        </w:rPr>
        <w:t>因公出国（境）费支出</w:t>
      </w:r>
      <w:r>
        <w:rPr>
          <w:rFonts w:hint="eastAsia" w:eastAsia="仿宋_GB2312"/>
          <w:sz w:val="32"/>
          <w:szCs w:val="32"/>
          <w:highlight w:val="none"/>
        </w:rPr>
        <w:t>比</w:t>
      </w:r>
      <w:r>
        <w:rPr>
          <w:rFonts w:eastAsia="仿宋_GB2312"/>
          <w:sz w:val="32"/>
          <w:szCs w:val="32"/>
          <w:highlight w:val="none"/>
        </w:rPr>
        <w:t>年初预算</w:t>
      </w:r>
      <w:r>
        <w:rPr>
          <w:rFonts w:hint="eastAsia" w:eastAsia="仿宋_GB2312"/>
          <w:sz w:val="32"/>
          <w:szCs w:val="32"/>
          <w:highlight w:val="none"/>
          <w:lang w:eastAsia="zh-CN"/>
        </w:rPr>
        <w:t>无增减</w:t>
      </w:r>
      <w:r>
        <w:rPr>
          <w:rFonts w:eastAsia="仿宋_GB2312"/>
          <w:sz w:val="32"/>
          <w:szCs w:val="32"/>
          <w:highlight w:val="none"/>
        </w:rPr>
        <w:t>；</w:t>
      </w:r>
      <w:r>
        <w:rPr>
          <w:rFonts w:hint="eastAsia" w:eastAsia="仿宋_GB2312"/>
          <w:sz w:val="32"/>
          <w:szCs w:val="32"/>
          <w:highlight w:val="none"/>
        </w:rPr>
        <w:t>比</w:t>
      </w:r>
      <w:r>
        <w:rPr>
          <w:rFonts w:eastAsia="仿宋_GB2312"/>
          <w:sz w:val="32"/>
          <w:szCs w:val="32"/>
          <w:highlight w:val="none"/>
        </w:rPr>
        <w:t>201</w:t>
      </w:r>
      <w:r>
        <w:rPr>
          <w:rFonts w:hint="eastAsia" w:eastAsia="仿宋_GB2312"/>
          <w:sz w:val="32"/>
          <w:szCs w:val="32"/>
          <w:highlight w:val="none"/>
        </w:rPr>
        <w:t>7</w:t>
      </w:r>
      <w:r>
        <w:rPr>
          <w:rFonts w:eastAsia="仿宋_GB2312"/>
          <w:sz w:val="32"/>
          <w:szCs w:val="32"/>
          <w:highlight w:val="none"/>
        </w:rPr>
        <w:t>年度决算</w:t>
      </w:r>
      <w:r>
        <w:rPr>
          <w:rFonts w:hint="eastAsia" w:eastAsia="仿宋_GB2312"/>
          <w:sz w:val="32"/>
          <w:szCs w:val="32"/>
          <w:highlight w:val="none"/>
          <w:lang w:eastAsia="zh-CN"/>
        </w:rPr>
        <w:t>无增减</w:t>
      </w:r>
      <w:r>
        <w:rPr>
          <w:rFonts w:eastAsia="仿宋_GB2312"/>
          <w:sz w:val="32"/>
          <w:szCs w:val="32"/>
          <w:highlight w:val="none"/>
        </w:rPr>
        <w:t>。</w:t>
      </w:r>
    </w:p>
    <w:p>
      <w:pPr>
        <w:adjustRightInd w:val="0"/>
        <w:snapToGrid w:val="0"/>
        <w:spacing w:line="584" w:lineRule="exact"/>
        <w:ind w:firstLine="643" w:firstLineChars="200"/>
        <w:rPr>
          <w:rFonts w:eastAsia="仿宋_GB2312"/>
          <w:b/>
          <w:bCs/>
          <w:sz w:val="32"/>
          <w:szCs w:val="32"/>
        </w:rPr>
      </w:pPr>
      <w:r>
        <w:rPr>
          <w:rFonts w:eastAsia="楷体_GB2312"/>
          <w:b/>
          <w:bCs/>
          <w:sz w:val="32"/>
          <w:szCs w:val="32"/>
        </w:rPr>
        <w:t>（二）公务用车购置及运行维护费支出</w:t>
      </w:r>
      <w:r>
        <w:rPr>
          <w:rFonts w:hint="eastAsia" w:eastAsia="楷体_GB2312"/>
          <w:b/>
          <w:bCs/>
          <w:sz w:val="32"/>
          <w:szCs w:val="32"/>
          <w:lang w:val="en-US" w:eastAsia="zh-CN"/>
        </w:rPr>
        <w:t>27.35</w:t>
      </w:r>
      <w:r>
        <w:rPr>
          <w:rFonts w:eastAsia="楷体_GB2312"/>
          <w:b/>
          <w:bCs/>
          <w:sz w:val="32"/>
          <w:szCs w:val="32"/>
        </w:rPr>
        <w:t>万元。</w:t>
      </w:r>
      <w:r>
        <w:rPr>
          <w:rFonts w:hint="eastAsia" w:ascii="仿宋_GB2312" w:eastAsia="仿宋_GB2312" w:cs="DengXian-Regular"/>
          <w:sz w:val="32"/>
          <w:szCs w:val="32"/>
        </w:rPr>
        <w:t>本部门2018年度公务用车购置及运行维护费比年初预算</w:t>
      </w:r>
      <w:r>
        <w:rPr>
          <w:rFonts w:eastAsia="仿宋_GB2312"/>
          <w:sz w:val="32"/>
          <w:szCs w:val="32"/>
        </w:rPr>
        <w:t>减少</w:t>
      </w:r>
      <w:r>
        <w:rPr>
          <w:rFonts w:hint="eastAsia" w:eastAsia="仿宋_GB2312"/>
          <w:sz w:val="32"/>
          <w:szCs w:val="32"/>
          <w:lang w:val="en-US" w:eastAsia="zh-CN"/>
        </w:rPr>
        <w:t>0.15</w:t>
      </w:r>
      <w:r>
        <w:rPr>
          <w:rFonts w:eastAsia="仿宋_GB2312"/>
          <w:sz w:val="32"/>
          <w:szCs w:val="32"/>
        </w:rPr>
        <w:t>万元</w:t>
      </w:r>
      <w:r>
        <w:rPr>
          <w:rFonts w:hint="eastAsia" w:ascii="仿宋_GB2312" w:eastAsia="仿宋_GB2312" w:cs="DengXian-Regular"/>
          <w:sz w:val="32"/>
          <w:szCs w:val="32"/>
        </w:rPr>
        <w:t>，</w:t>
      </w:r>
      <w:r>
        <w:rPr>
          <w:rFonts w:eastAsia="仿宋_GB2312"/>
          <w:sz w:val="32"/>
          <w:szCs w:val="32"/>
        </w:rPr>
        <w:t>降低</w:t>
      </w:r>
      <w:r>
        <w:rPr>
          <w:rFonts w:hint="eastAsia" w:eastAsia="仿宋_GB2312"/>
          <w:sz w:val="32"/>
          <w:szCs w:val="32"/>
          <w:lang w:val="en-US" w:eastAsia="zh-CN"/>
        </w:rPr>
        <w:t>0.5</w:t>
      </w:r>
      <w:r>
        <w:rPr>
          <w:rFonts w:eastAsia="仿宋_GB2312"/>
          <w:sz w:val="32"/>
          <w:szCs w:val="32"/>
        </w:rPr>
        <w:t>%</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统一办理加油卡，定点维修，控制运维费用</w:t>
      </w:r>
      <w:r>
        <w:rPr>
          <w:rFonts w:hint="eastAsia" w:ascii="仿宋_GB2312" w:eastAsia="仿宋_GB2312" w:cs="DengXian-Regular"/>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年度决算减少</w:t>
      </w:r>
      <w:r>
        <w:rPr>
          <w:rFonts w:hint="eastAsia" w:eastAsia="仿宋_GB2312"/>
          <w:sz w:val="32"/>
          <w:szCs w:val="32"/>
          <w:lang w:val="en-US" w:eastAsia="zh-CN"/>
        </w:rPr>
        <w:t>32.40</w:t>
      </w:r>
      <w:r>
        <w:rPr>
          <w:rFonts w:eastAsia="仿宋_GB2312"/>
          <w:sz w:val="32"/>
          <w:szCs w:val="32"/>
        </w:rPr>
        <w:t>万元，降低</w:t>
      </w:r>
      <w:r>
        <w:rPr>
          <w:rFonts w:hint="eastAsia" w:eastAsia="仿宋_GB2312"/>
          <w:sz w:val="32"/>
          <w:szCs w:val="32"/>
          <w:lang w:val="en-US" w:eastAsia="zh-CN"/>
        </w:rPr>
        <w:t>54.22</w:t>
      </w:r>
      <w:r>
        <w:rPr>
          <w:rFonts w:eastAsia="仿宋_GB2312"/>
          <w:sz w:val="32"/>
          <w:szCs w:val="32"/>
        </w:rPr>
        <w:t>%，主要是</w:t>
      </w:r>
      <w:r>
        <w:rPr>
          <w:rFonts w:hint="eastAsia" w:ascii="仿宋_GB2312" w:eastAsia="仿宋_GB2312" w:cs="DengXian-Regular"/>
          <w:sz w:val="32"/>
          <w:szCs w:val="32"/>
          <w:lang w:eastAsia="zh-CN"/>
        </w:rPr>
        <w:t>统一办理加油卡，定点维修，控制运维费用。</w:t>
      </w:r>
      <w:r>
        <w:rPr>
          <w:rFonts w:eastAsia="仿宋_GB2312"/>
          <w:b/>
          <w:bCs/>
          <w:sz w:val="32"/>
          <w:szCs w:val="32"/>
        </w:rPr>
        <w:t>其中：</w:t>
      </w:r>
    </w:p>
    <w:p>
      <w:pPr>
        <w:adjustRightInd w:val="0"/>
        <w:snapToGrid w:val="0"/>
        <w:spacing w:line="584" w:lineRule="exact"/>
        <w:ind w:firstLine="643" w:firstLineChars="200"/>
        <w:rPr>
          <w:rFonts w:eastAsia="仿宋_GB2312"/>
          <w:sz w:val="32"/>
          <w:szCs w:val="32"/>
          <w:highlight w:val="yellow"/>
        </w:rPr>
      </w:pPr>
      <w:r>
        <w:rPr>
          <w:rFonts w:eastAsia="仿宋_GB2312"/>
          <w:b/>
          <w:sz w:val="32"/>
          <w:szCs w:val="32"/>
        </w:rPr>
        <w:t>公务用车购置费支出</w:t>
      </w:r>
      <w:r>
        <w:rPr>
          <w:rFonts w:hint="eastAsia" w:eastAsia="仿宋_GB2312"/>
          <w:b/>
          <w:sz w:val="32"/>
          <w:szCs w:val="32"/>
          <w:lang w:val="en-US" w:eastAsia="zh-CN"/>
        </w:rPr>
        <w:t>0</w:t>
      </w:r>
      <w:r>
        <w:rPr>
          <w:rFonts w:eastAsia="仿宋_GB2312"/>
          <w:b/>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年度公务用车购置数量</w:t>
      </w:r>
      <w:r>
        <w:rPr>
          <w:rFonts w:hint="eastAsia" w:eastAsia="仿宋_GB2312"/>
          <w:sz w:val="32"/>
          <w:szCs w:val="32"/>
          <w:highlight w:val="none"/>
          <w:lang w:val="en-US" w:eastAsia="zh-CN"/>
        </w:rPr>
        <w:t>0</w:t>
      </w:r>
      <w:r>
        <w:rPr>
          <w:rFonts w:eastAsia="仿宋_GB2312"/>
          <w:sz w:val="32"/>
          <w:szCs w:val="32"/>
          <w:highlight w:val="none"/>
        </w:rPr>
        <w:t>辆。</w:t>
      </w:r>
      <w:r>
        <w:rPr>
          <w:rFonts w:hint="eastAsia" w:ascii="仿宋" w:hAnsi="仿宋" w:eastAsia="仿宋"/>
          <w:sz w:val="32"/>
          <w:szCs w:val="32"/>
          <w:highlight w:val="none"/>
        </w:rPr>
        <w:t>较</w:t>
      </w:r>
      <w:r>
        <w:rPr>
          <w:rFonts w:hint="eastAsia" w:ascii="仿宋" w:hAnsi="仿宋" w:eastAsia="仿宋"/>
          <w:sz w:val="32"/>
          <w:szCs w:val="32"/>
        </w:rPr>
        <w:t>年初预算无增减变化，较201</w:t>
      </w:r>
      <w:r>
        <w:rPr>
          <w:rFonts w:hint="eastAsia" w:ascii="仿宋" w:hAnsi="仿宋" w:eastAsia="仿宋"/>
          <w:sz w:val="32"/>
          <w:szCs w:val="32"/>
          <w:lang w:val="en-US" w:eastAsia="zh-CN"/>
        </w:rPr>
        <w:t>7</w:t>
      </w:r>
      <w:r>
        <w:rPr>
          <w:rFonts w:hint="eastAsia" w:ascii="仿宋" w:hAnsi="仿宋" w:eastAsia="仿宋"/>
          <w:sz w:val="32"/>
          <w:szCs w:val="32"/>
        </w:rPr>
        <w:t>年度决算无增减变化。</w:t>
      </w:r>
    </w:p>
    <w:p>
      <w:pPr>
        <w:adjustRightInd w:val="0"/>
        <w:snapToGrid w:val="0"/>
        <w:spacing w:line="584" w:lineRule="exact"/>
        <w:ind w:firstLine="643" w:firstLineChars="200"/>
        <w:rPr>
          <w:rFonts w:eastAsia="仿宋_GB2312"/>
          <w:sz w:val="32"/>
          <w:szCs w:val="32"/>
          <w:highlight w:val="yellow"/>
        </w:rPr>
      </w:pPr>
      <w:r>
        <w:rPr>
          <w:rFonts w:eastAsia="仿宋_GB2312"/>
          <w:b/>
          <w:sz w:val="32"/>
          <w:szCs w:val="32"/>
        </w:rPr>
        <w:t>公务用车运行维护费支出</w:t>
      </w:r>
      <w:r>
        <w:rPr>
          <w:rFonts w:hint="eastAsia" w:eastAsia="仿宋_GB2312"/>
          <w:b/>
          <w:sz w:val="32"/>
          <w:szCs w:val="32"/>
          <w:lang w:val="en-US" w:eastAsia="zh-CN"/>
        </w:rPr>
        <w:t>23.75</w:t>
      </w:r>
      <w:r>
        <w:rPr>
          <w:rFonts w:eastAsia="仿宋_GB2312"/>
          <w:b/>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年末单位公务用车保有量</w:t>
      </w:r>
      <w:r>
        <w:rPr>
          <w:rFonts w:hint="eastAsia" w:eastAsia="仿宋_GB2312"/>
          <w:sz w:val="32"/>
          <w:szCs w:val="32"/>
          <w:lang w:val="en-US" w:eastAsia="zh-CN"/>
        </w:rPr>
        <w:t>11</w:t>
      </w:r>
      <w:r>
        <w:rPr>
          <w:rFonts w:eastAsia="仿宋_GB2312"/>
          <w:sz w:val="32"/>
          <w:szCs w:val="32"/>
        </w:rPr>
        <w:t>辆。公车运行维护费支出</w:t>
      </w:r>
      <w:r>
        <w:rPr>
          <w:rFonts w:hint="eastAsia" w:eastAsia="仿宋_GB2312"/>
          <w:sz w:val="32"/>
          <w:szCs w:val="32"/>
        </w:rPr>
        <w:t>比</w:t>
      </w:r>
      <w:r>
        <w:rPr>
          <w:rFonts w:eastAsia="仿宋_GB2312"/>
          <w:sz w:val="32"/>
          <w:szCs w:val="32"/>
        </w:rPr>
        <w:t>年初预算减少</w:t>
      </w:r>
      <w:r>
        <w:rPr>
          <w:rFonts w:hint="eastAsia" w:eastAsia="仿宋_GB2312"/>
          <w:sz w:val="32"/>
          <w:szCs w:val="32"/>
          <w:lang w:val="en-US" w:eastAsia="zh-CN"/>
        </w:rPr>
        <w:t>0.15</w:t>
      </w:r>
      <w:r>
        <w:rPr>
          <w:rFonts w:eastAsia="仿宋_GB2312"/>
          <w:sz w:val="32"/>
          <w:szCs w:val="32"/>
        </w:rPr>
        <w:t>万元，降</w:t>
      </w:r>
      <w:r>
        <w:rPr>
          <w:rFonts w:hint="eastAsia" w:eastAsia="仿宋_GB2312"/>
          <w:sz w:val="32"/>
          <w:szCs w:val="32"/>
          <w:lang w:eastAsia="zh-CN"/>
        </w:rPr>
        <w:t>低</w:t>
      </w:r>
      <w:r>
        <w:rPr>
          <w:rFonts w:hint="eastAsia" w:eastAsia="仿宋_GB2312"/>
          <w:sz w:val="32"/>
          <w:szCs w:val="32"/>
          <w:lang w:val="en-US" w:eastAsia="zh-CN"/>
        </w:rPr>
        <w:t>0.5</w:t>
      </w:r>
      <w:r>
        <w:rPr>
          <w:rFonts w:eastAsia="仿宋_GB2312"/>
          <w:sz w:val="32"/>
          <w:szCs w:val="32"/>
        </w:rPr>
        <w:t>%，主要是</w:t>
      </w:r>
      <w:r>
        <w:rPr>
          <w:rFonts w:hint="eastAsia" w:ascii="仿宋_GB2312" w:eastAsia="仿宋_GB2312" w:cs="DengXian-Regular"/>
          <w:sz w:val="32"/>
          <w:szCs w:val="32"/>
          <w:lang w:eastAsia="zh-CN"/>
        </w:rPr>
        <w:t>统一办理加油卡，定点维修，控制运维费用</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年度决算减少</w:t>
      </w:r>
      <w:r>
        <w:rPr>
          <w:rFonts w:hint="eastAsia" w:eastAsia="仿宋_GB2312"/>
          <w:sz w:val="32"/>
          <w:szCs w:val="32"/>
          <w:lang w:val="en-US" w:eastAsia="zh-CN"/>
        </w:rPr>
        <w:t>32.40</w:t>
      </w:r>
      <w:r>
        <w:rPr>
          <w:rFonts w:eastAsia="仿宋_GB2312"/>
          <w:sz w:val="32"/>
          <w:szCs w:val="32"/>
        </w:rPr>
        <w:t>万元，降低</w:t>
      </w:r>
      <w:r>
        <w:rPr>
          <w:rFonts w:hint="eastAsia" w:eastAsia="仿宋_GB2312"/>
          <w:sz w:val="32"/>
          <w:szCs w:val="32"/>
          <w:lang w:val="en-US" w:eastAsia="zh-CN"/>
        </w:rPr>
        <w:t>54.22</w:t>
      </w:r>
      <w:r>
        <w:rPr>
          <w:rFonts w:eastAsia="仿宋_GB2312"/>
          <w:sz w:val="32"/>
          <w:szCs w:val="32"/>
        </w:rPr>
        <w:t>%，主要是</w:t>
      </w:r>
      <w:r>
        <w:rPr>
          <w:rFonts w:hint="eastAsia" w:ascii="仿宋_GB2312" w:eastAsia="仿宋_GB2312" w:cs="DengXian-Regular"/>
          <w:sz w:val="32"/>
          <w:szCs w:val="32"/>
          <w:lang w:eastAsia="zh-CN"/>
        </w:rPr>
        <w:t>统一办理加油卡，定点维修，控制运维费用。</w:t>
      </w:r>
    </w:p>
    <w:p>
      <w:pPr>
        <w:rPr>
          <w:rFonts w:hint="default" w:eastAsia="仿宋_GB2312"/>
          <w:sz w:val="32"/>
          <w:szCs w:val="32"/>
          <w:highlight w:val="yellow"/>
          <w:lang w:val="en-US" w:eastAsia="zh-CN"/>
        </w:rPr>
      </w:pPr>
      <w:r>
        <w:rPr>
          <w:rFonts w:eastAsia="楷体_GB2312"/>
          <w:b/>
          <w:bCs/>
          <w:sz w:val="32"/>
          <w:szCs w:val="32"/>
        </w:rPr>
        <w:t>（三）公务接待费支出</w:t>
      </w:r>
      <w:r>
        <w:rPr>
          <w:rFonts w:hint="eastAsia" w:eastAsia="楷体_GB2312"/>
          <w:b/>
          <w:bCs/>
          <w:sz w:val="32"/>
          <w:szCs w:val="32"/>
          <w:lang w:val="en-US" w:eastAsia="zh-CN"/>
        </w:rPr>
        <w:t>0.58</w:t>
      </w:r>
      <w:r>
        <w:rPr>
          <w:rFonts w:eastAsia="楷体_GB2312"/>
          <w:b/>
          <w:bCs/>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年度公务接待共</w:t>
      </w:r>
      <w:r>
        <w:rPr>
          <w:rFonts w:hint="eastAsia" w:eastAsia="仿宋_GB2312"/>
          <w:sz w:val="32"/>
          <w:szCs w:val="32"/>
          <w:lang w:val="en-US" w:eastAsia="zh-CN"/>
        </w:rPr>
        <w:t>8</w:t>
      </w:r>
      <w:r>
        <w:rPr>
          <w:rFonts w:eastAsia="仿宋_GB2312"/>
          <w:sz w:val="32"/>
          <w:szCs w:val="32"/>
        </w:rPr>
        <w:t>批次、</w:t>
      </w:r>
      <w:r>
        <w:rPr>
          <w:rFonts w:hint="eastAsia" w:eastAsia="仿宋_GB2312"/>
          <w:sz w:val="32"/>
          <w:szCs w:val="32"/>
          <w:lang w:val="en-US" w:eastAsia="zh-CN"/>
        </w:rPr>
        <w:t>129</w:t>
      </w:r>
      <w:r>
        <w:rPr>
          <w:rFonts w:eastAsia="仿宋_GB2312"/>
          <w:sz w:val="32"/>
          <w:szCs w:val="32"/>
        </w:rPr>
        <w:t>人次。公务接待费支出</w:t>
      </w:r>
      <w:r>
        <w:rPr>
          <w:rFonts w:hint="eastAsia" w:eastAsia="仿宋_GB2312"/>
          <w:sz w:val="32"/>
          <w:szCs w:val="32"/>
        </w:rPr>
        <w:t>比</w:t>
      </w:r>
      <w:r>
        <w:rPr>
          <w:rFonts w:eastAsia="仿宋_GB2312"/>
          <w:sz w:val="32"/>
          <w:szCs w:val="32"/>
        </w:rPr>
        <w:t>年初预算减少</w:t>
      </w:r>
      <w:r>
        <w:rPr>
          <w:rFonts w:hint="eastAsia" w:eastAsia="仿宋_GB2312"/>
          <w:sz w:val="32"/>
          <w:szCs w:val="32"/>
          <w:lang w:val="en-US" w:eastAsia="zh-CN"/>
        </w:rPr>
        <w:t>0.15</w:t>
      </w:r>
      <w:r>
        <w:rPr>
          <w:rFonts w:eastAsia="仿宋_GB2312"/>
          <w:sz w:val="32"/>
          <w:szCs w:val="32"/>
        </w:rPr>
        <w:t>万元，降低</w:t>
      </w:r>
      <w:r>
        <w:rPr>
          <w:rFonts w:hint="eastAsia" w:eastAsia="仿宋_GB2312"/>
          <w:sz w:val="32"/>
          <w:szCs w:val="32"/>
          <w:lang w:val="en-US" w:eastAsia="zh-CN"/>
        </w:rPr>
        <w:t>20.54</w:t>
      </w:r>
      <w:r>
        <w:rPr>
          <w:rFonts w:eastAsia="仿宋_GB2312"/>
          <w:sz w:val="32"/>
          <w:szCs w:val="32"/>
        </w:rPr>
        <w:t>%，主要是</w:t>
      </w:r>
      <w:r>
        <w:rPr>
          <w:rFonts w:hint="eastAsia" w:eastAsia="仿宋_GB2312"/>
          <w:sz w:val="32"/>
          <w:szCs w:val="32"/>
          <w:lang w:eastAsia="zh-CN"/>
        </w:rPr>
        <w:t>严格执行文件精神，控制“三公”经费，减少不必要的公务接待费用</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w:t>
      </w:r>
      <w:r>
        <w:rPr>
          <w:rFonts w:hint="eastAsia" w:eastAsia="仿宋_GB2312"/>
          <w:sz w:val="32"/>
          <w:szCs w:val="32"/>
          <w:lang w:val="en-US" w:eastAsia="zh-CN"/>
        </w:rPr>
        <w:t>0.04</w:t>
      </w:r>
      <w:r>
        <w:rPr>
          <w:rFonts w:eastAsia="仿宋_GB2312"/>
          <w:sz w:val="32"/>
          <w:szCs w:val="32"/>
        </w:rPr>
        <w:t>万元，增长</w:t>
      </w:r>
      <w:r>
        <w:rPr>
          <w:rFonts w:hint="eastAsia" w:eastAsia="仿宋_GB2312"/>
          <w:sz w:val="32"/>
          <w:szCs w:val="32"/>
          <w:lang w:val="en-US" w:eastAsia="zh-CN"/>
        </w:rPr>
        <w:t>7.4</w:t>
      </w:r>
      <w:r>
        <w:rPr>
          <w:rFonts w:eastAsia="仿宋_GB2312"/>
          <w:sz w:val="32"/>
          <w:szCs w:val="32"/>
        </w:rPr>
        <w:t>%，主要是</w:t>
      </w:r>
      <w:r>
        <w:rPr>
          <w:rFonts w:hint="eastAsia" w:eastAsia="仿宋_GB2312"/>
          <w:sz w:val="32"/>
          <w:szCs w:val="32"/>
          <w:lang w:val="en-US" w:eastAsia="zh-CN"/>
        </w:rPr>
        <w:t>2018年度工作较2017年工作较多，</w:t>
      </w:r>
      <w:r>
        <w:rPr>
          <w:rFonts w:hint="eastAsia" w:ascii="仿宋" w:hAnsi="仿宋" w:eastAsia="仿宋" w:cs="仿宋"/>
          <w:sz w:val="32"/>
          <w:szCs w:val="32"/>
          <w:highlight w:val="none"/>
        </w:rPr>
        <w:t>接待次数随之</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rPr>
        <w:t>，故公务接待费</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rPr>
        <w:t>。</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pPr>
        <w:adjustRightInd w:val="0"/>
        <w:snapToGrid w:val="0"/>
        <w:spacing w:after="0"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（一）预算绩效管理工作开展情况。</w:t>
      </w:r>
    </w:p>
    <w:p>
      <w:pPr>
        <w:adjustRightInd w:val="0"/>
        <w:snapToGrid w:val="0"/>
        <w:spacing w:after="0" w:afterLines="0"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lang w:val="en-US" w:eastAsia="zh-CN"/>
        </w:rPr>
        <w:t>2018</w:t>
      </w:r>
      <w:r>
        <w:rPr>
          <w:rFonts w:hint="eastAsia" w:ascii="仿宋_GB2312" w:eastAsia="仿宋_GB2312" w:cs="DengXian-Regular"/>
          <w:sz w:val="32"/>
          <w:szCs w:val="32"/>
        </w:rPr>
        <w:t>年度按照县财政局关于做好预算绩效管理工作的相关要求，我</w:t>
      </w:r>
      <w:r>
        <w:rPr>
          <w:rFonts w:hint="eastAsia" w:ascii="仿宋_GB2312" w:eastAsia="仿宋_GB2312" w:cs="DengXian-Regular"/>
          <w:sz w:val="32"/>
          <w:szCs w:val="32"/>
          <w:lang w:eastAsia="zh-CN"/>
        </w:rPr>
        <w:t>院</w:t>
      </w:r>
      <w:r>
        <w:rPr>
          <w:rFonts w:hint="eastAsia" w:ascii="仿宋_GB2312" w:eastAsia="仿宋_GB2312" w:cs="DengXian-Regular"/>
          <w:sz w:val="32"/>
          <w:szCs w:val="32"/>
        </w:rPr>
        <w:t>突出重点，认真抓好201</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年度部门绩效评价工作，具体开展情况如下：</w:t>
      </w:r>
    </w:p>
    <w:p>
      <w:pPr>
        <w:adjustRightInd w:val="0"/>
        <w:snapToGrid w:val="0"/>
        <w:spacing w:after="0" w:afterLines="0"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1、增强绩效意，提高资金使用效益</w:t>
      </w:r>
    </w:p>
    <w:p>
      <w:pPr>
        <w:adjustRightInd w:val="0"/>
        <w:snapToGrid w:val="0"/>
        <w:spacing w:after="0" w:afterLines="0"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“财政绩效评价”工作是建设责任政府、廉洁政府、</w:t>
      </w:r>
      <w:bookmarkStart w:id="0" w:name="_GoBack"/>
      <w:bookmarkEnd w:id="0"/>
      <w:r>
        <w:rPr>
          <w:rFonts w:hint="eastAsia" w:ascii="仿宋_GB2312" w:eastAsia="仿宋_GB2312" w:cs="DengXian-Regular"/>
          <w:sz w:val="32"/>
          <w:szCs w:val="32"/>
        </w:rPr>
        <w:t>法</w:t>
      </w:r>
      <w:r>
        <w:rPr>
          <w:rFonts w:hint="eastAsia" w:ascii="仿宋_GB2312" w:eastAsia="仿宋_GB2312" w:cs="DengXian-Regular"/>
          <w:sz w:val="32"/>
          <w:szCs w:val="32"/>
          <w:lang w:eastAsia="zh-CN"/>
        </w:rPr>
        <w:t>治</w:t>
      </w:r>
      <w:r>
        <w:rPr>
          <w:rFonts w:hint="eastAsia" w:ascii="仿宋_GB2312" w:eastAsia="仿宋_GB2312" w:cs="DengXian-Regular"/>
          <w:sz w:val="32"/>
          <w:szCs w:val="32"/>
        </w:rPr>
        <w:t>政府的方向，是我国财政支出管理改革和公共财政框架构建过程不可或缺的重要环节。随着财政资金收支规模的逐年扩大，财政资金安排是否科学合理，资金使用是否合规有效，已成为政府及公众关注的焦点和财政改革热点。201</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年度我</w:t>
      </w:r>
      <w:r>
        <w:rPr>
          <w:rFonts w:hint="eastAsia" w:ascii="仿宋_GB2312" w:eastAsia="仿宋_GB2312" w:cs="DengXian-Regular"/>
          <w:sz w:val="32"/>
          <w:szCs w:val="32"/>
          <w:lang w:eastAsia="zh-CN"/>
        </w:rPr>
        <w:t>院</w:t>
      </w:r>
      <w:r>
        <w:rPr>
          <w:rFonts w:hint="eastAsia" w:ascii="仿宋_GB2312" w:eastAsia="仿宋_GB2312" w:cs="DengXian-Regular"/>
          <w:sz w:val="32"/>
          <w:szCs w:val="32"/>
        </w:rPr>
        <w:t>继续认真学习各类相关文件精神，从树立和实践科学发展观、加快政府职能转变的高度，深刻认识到财政支出绩效评价工作的重要性，把绩效评价工作列入年度工作计划和部门目标责任制考核的内容，并加大对绩效评价工作重要性和必要性的宣传力度，提高项目资金使用的绩效意识。一是及时宣传和公布财政有关政策文件、工作制度、信息动态、学习资料等，扩大绩效评价工作的影响；二是加强单位内部的沟通，推动和加强绩效评价工作的有效开展；三是早作准备，在年度预算编制时就按照绩效考评的规范，抓好组织管理，做好年度计划；四是积极参加财政部门的绩效评价培训，学习、掌握各项评价指标记分操作等。</w:t>
      </w:r>
    </w:p>
    <w:p>
      <w:pPr>
        <w:adjustRightInd w:val="0"/>
        <w:snapToGrid w:val="0"/>
        <w:spacing w:after="0" w:afterLines="0"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2、健全绩效评价工作机构、完善评价工作机制</w:t>
      </w:r>
    </w:p>
    <w:p>
      <w:pPr>
        <w:adjustRightInd w:val="0"/>
        <w:snapToGrid w:val="0"/>
        <w:spacing w:after="0" w:afterLines="0"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 xml:space="preserve">进一步理顺财务管理与财政部门、项目单位之间的关系，明确工作职责，完善工作制度，确保财政支出绩效评价的各个环节协调运转。建立领导小组，明确分管领导和责任处室，配合财政明确绩效评价联络员，与财政业务处室人员积极联络。并将财政支出绩效评价工作列入年度工作计划和工作目标考核，确保绩效评价工作扎实、有效、全面推进。 </w:t>
      </w:r>
    </w:p>
    <w:p>
      <w:pPr>
        <w:adjustRightInd w:val="0"/>
        <w:snapToGrid w:val="0"/>
        <w:spacing w:after="0" w:afterLines="0"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3、明确重点，做好绩效自评</w:t>
      </w:r>
    </w:p>
    <w:p>
      <w:pPr>
        <w:adjustRightInd w:val="0"/>
        <w:snapToGrid w:val="0"/>
        <w:spacing w:after="0" w:afterLines="0"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财政支出绩效评价首先要减少资金使用管理中的损失浪费现象，其次要达到资金的合理、优化配给。我单位先行制定有关自评工作方案，落实专门人员，并将项目的执行情况、预期绩效完成情况、资金配置和使用等方面作出绩效报告。通过绩效自评，分析了项目实施取得的绩效，查找了项目实施中存在的问题，为下一步更好的实施项目打下了坚实的基础。</w:t>
      </w:r>
    </w:p>
    <w:p>
      <w:pPr>
        <w:numPr>
          <w:ilvl w:val="0"/>
          <w:numId w:val="2"/>
        </w:numPr>
        <w:adjustRightInd w:val="0"/>
        <w:snapToGrid w:val="0"/>
        <w:spacing w:after="0"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项目绩效自评结果。</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580" w:lineRule="exact"/>
        <w:ind w:firstLine="640" w:firstLineChars="200"/>
        <w:textAlignment w:val="auto"/>
        <w:rPr>
          <w:rFonts w:hint="eastAsia" w:ascii="仿宋_GB2312" w:eastAsia="仿宋_GB2312" w:cs="DengXian-Regular"/>
          <w:sz w:val="32"/>
          <w:szCs w:val="32"/>
        </w:rPr>
      </w:pPr>
      <w:r>
        <w:rPr>
          <w:rFonts w:hint="eastAsia" w:ascii="仿宋_GB2312" w:eastAsia="仿宋_GB2312" w:cs="DengXian-Regular"/>
          <w:sz w:val="32"/>
          <w:szCs w:val="32"/>
          <w:lang w:val="en-US" w:eastAsia="zh-CN"/>
        </w:rPr>
        <w:t xml:space="preserve"> </w:t>
      </w:r>
      <w:r>
        <w:rPr>
          <w:rFonts w:hint="eastAsia" w:ascii="仿宋_GB2312" w:eastAsia="仿宋_GB2312" w:cs="DengXian-Regular"/>
          <w:sz w:val="32"/>
          <w:szCs w:val="32"/>
        </w:rPr>
        <w:t>按照县财政预算绩效管理要求，我</w:t>
      </w:r>
      <w:r>
        <w:rPr>
          <w:rFonts w:hint="eastAsia" w:ascii="仿宋_GB2312" w:eastAsia="仿宋_GB2312" w:cs="DengXian-Regular"/>
          <w:sz w:val="32"/>
          <w:szCs w:val="32"/>
          <w:lang w:eastAsia="zh-CN"/>
        </w:rPr>
        <w:t>院</w:t>
      </w:r>
      <w:r>
        <w:rPr>
          <w:rFonts w:hint="eastAsia" w:ascii="仿宋_GB2312" w:eastAsia="仿宋_GB2312" w:cs="DengXian-Regular"/>
          <w:sz w:val="32"/>
          <w:szCs w:val="32"/>
        </w:rPr>
        <w:t>对201</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年年初确定的部门一般公共预算支出专项项目全面开展了绩效自评，绩效自评覆盖率达到100%。</w:t>
      </w:r>
    </w:p>
    <w:p>
      <w:pPr>
        <w:numPr>
          <w:ilvl w:val="0"/>
          <w:numId w:val="2"/>
        </w:numPr>
        <w:adjustRightInd w:val="0"/>
        <w:snapToGrid w:val="0"/>
        <w:spacing w:after="0" w:line="580" w:lineRule="exact"/>
        <w:ind w:left="0" w:leftChars="0"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重点项目绩效评价结果。</w:t>
      </w:r>
    </w:p>
    <w:p>
      <w:pPr>
        <w:spacing w:line="600" w:lineRule="exact"/>
        <w:ind w:firstLine="640" w:firstLineChars="200"/>
        <w:rPr>
          <w:rFonts w:hint="default" w:ascii="仿宋_GB2312" w:eastAsia="仿宋_GB2312" w:cs="DengXian-Regular"/>
          <w:sz w:val="32"/>
          <w:szCs w:val="32"/>
          <w:lang w:val="en-US" w:eastAsia="zh-CN"/>
        </w:rPr>
      </w:pPr>
      <w:r>
        <w:rPr>
          <w:rFonts w:hint="eastAsia" w:ascii="仿宋_GB2312" w:eastAsia="仿宋_GB2312" w:cs="DengXian-Regular"/>
          <w:sz w:val="32"/>
          <w:szCs w:val="32"/>
          <w:lang w:val="en-US" w:eastAsia="zh-CN"/>
        </w:rPr>
        <w:t xml:space="preserve"> 我院对中央办案经费支出从预算到开支，</w:t>
      </w:r>
      <w:r>
        <w:rPr>
          <w:rFonts w:hint="eastAsia" w:eastAsia="仿宋_GB2312"/>
          <w:sz w:val="32"/>
          <w:szCs w:val="32"/>
          <w:lang w:val="en-US" w:eastAsia="zh-CN"/>
        </w:rPr>
        <w:t>严格按照上级管理要求，规范使用范围，中央转移支付办案经费中，无购置固定资产、弥补人员经费、日常运行公用经费及办公用房维修等开支。</w:t>
      </w:r>
      <w:r>
        <w:rPr>
          <w:rFonts w:hint="eastAsia" w:ascii="Calibri" w:hAnsi="Calibri" w:eastAsia="仿宋_GB2312" w:cs="Times New Roman"/>
          <w:kern w:val="0"/>
          <w:sz w:val="32"/>
          <w:szCs w:val="32"/>
          <w:lang w:val="en-US" w:eastAsia="zh-CN"/>
        </w:rPr>
        <w:t>该专项经费通过绩效评价，结果为良好。</w:t>
      </w:r>
    </w:p>
    <w:p>
      <w:pPr>
        <w:pStyle w:val="3"/>
        <w:spacing w:before="0" w:after="0" w:line="580" w:lineRule="exact"/>
        <w:ind w:firstLine="640" w:firstLineChars="200"/>
        <w:rPr>
          <w:rFonts w:ascii="黑体" w:eastAsia="黑体" w:cs="Times New Roman"/>
          <w:b w:val="0"/>
          <w:bCs w:val="0"/>
        </w:rPr>
      </w:pPr>
      <w:r>
        <w:rPr>
          <w:rFonts w:hint="eastAsia" w:ascii="黑体" w:eastAsia="黑体" w:cs="Times New Roman"/>
          <w:b w:val="0"/>
          <w:bCs w:val="0"/>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after="0" w:afterLines="0" w:line="580" w:lineRule="exact"/>
        <w:ind w:firstLine="640" w:firstLineChars="200"/>
        <w:rPr>
          <w:rFonts w:ascii="仿宋_GB2312" w:eastAsia="仿宋_GB2312" w:cs="DengXian-Regular"/>
          <w:sz w:val="32"/>
          <w:szCs w:val="32"/>
          <w:highlight w:val="none"/>
        </w:rPr>
      </w:pPr>
      <w:r>
        <w:rPr>
          <w:rFonts w:hint="eastAsia" w:ascii="仿宋_GB2312" w:eastAsia="仿宋_GB2312" w:cs="DengXian-Regular"/>
          <w:sz w:val="32"/>
          <w:szCs w:val="32"/>
        </w:rPr>
        <w:t>本部门2018年度机关运行经费支出</w:t>
      </w:r>
      <w:r>
        <w:rPr>
          <w:rFonts w:hint="eastAsia" w:ascii="仿宋_GB2312" w:eastAsia="仿宋_GB2312" w:cs="DengXian-Regular"/>
          <w:sz w:val="32"/>
          <w:szCs w:val="32"/>
          <w:lang w:val="en-US" w:eastAsia="zh-CN"/>
        </w:rPr>
        <w:t>235.07</w:t>
      </w:r>
      <w:r>
        <w:rPr>
          <w:rFonts w:hint="eastAsia" w:ascii="仿宋_GB2312" w:eastAsia="仿宋_GB2312" w:cs="DengXian-Regular"/>
          <w:sz w:val="32"/>
          <w:szCs w:val="32"/>
        </w:rPr>
        <w:t>万元，</w:t>
      </w:r>
      <w:r>
        <w:rPr>
          <w:rFonts w:hint="eastAsia" w:ascii="仿宋_GB2312" w:eastAsia="仿宋_GB2312" w:cs="DengXian-Regular"/>
          <w:sz w:val="32"/>
          <w:szCs w:val="32"/>
          <w:highlight w:val="none"/>
        </w:rPr>
        <w:t>比年初预算数</w:t>
      </w:r>
      <w:r>
        <w:rPr>
          <w:rFonts w:hint="eastAsia" w:ascii="仿宋_GB2312" w:eastAsia="仿宋_GB2312" w:cs="DengXian-Regular"/>
          <w:sz w:val="32"/>
          <w:szCs w:val="32"/>
          <w:highlight w:val="none"/>
          <w:lang w:eastAsia="zh-CN"/>
        </w:rPr>
        <w:t>增加</w:t>
      </w:r>
      <w:r>
        <w:rPr>
          <w:rFonts w:hint="eastAsia" w:ascii="仿宋_GB2312" w:eastAsia="仿宋_GB2312" w:cs="DengXian-Regular"/>
          <w:sz w:val="32"/>
          <w:szCs w:val="32"/>
          <w:highlight w:val="none"/>
          <w:lang w:val="en-US" w:eastAsia="zh-CN"/>
        </w:rPr>
        <w:t>12.13</w:t>
      </w:r>
      <w:r>
        <w:rPr>
          <w:rFonts w:hint="eastAsia" w:ascii="仿宋_GB2312" w:eastAsia="仿宋_GB2312" w:cs="DengXian-Regular"/>
          <w:sz w:val="32"/>
          <w:szCs w:val="32"/>
          <w:highlight w:val="none"/>
        </w:rPr>
        <w:t>万元，</w:t>
      </w:r>
      <w:r>
        <w:rPr>
          <w:rFonts w:hint="eastAsia" w:ascii="仿宋_GB2312" w:eastAsia="仿宋_GB2312" w:cs="DengXian-Regular"/>
          <w:sz w:val="32"/>
          <w:szCs w:val="32"/>
          <w:highlight w:val="none"/>
          <w:lang w:eastAsia="zh-CN"/>
        </w:rPr>
        <w:t>增加</w:t>
      </w:r>
      <w:r>
        <w:rPr>
          <w:rFonts w:hint="eastAsia" w:ascii="仿宋_GB2312" w:eastAsia="仿宋_GB2312" w:cs="DengXian-Regular"/>
          <w:sz w:val="32"/>
          <w:szCs w:val="32"/>
          <w:highlight w:val="none"/>
          <w:lang w:val="en-US" w:eastAsia="zh-CN"/>
        </w:rPr>
        <w:t>5.44</w:t>
      </w:r>
      <w:r>
        <w:rPr>
          <w:rFonts w:hint="eastAsia" w:ascii="仿宋_GB2312" w:eastAsia="仿宋_GB2312" w:cs="DengXian-Regular"/>
          <w:sz w:val="32"/>
          <w:szCs w:val="32"/>
          <w:highlight w:val="none"/>
        </w:rPr>
        <w:t xml:space="preserve"> </w:t>
      </w:r>
      <w:r>
        <w:rPr>
          <w:rFonts w:eastAsia="仿宋_GB2312"/>
          <w:sz w:val="32"/>
          <w:szCs w:val="32"/>
          <w:highlight w:val="none"/>
        </w:rPr>
        <w:t>%</w:t>
      </w:r>
      <w:r>
        <w:rPr>
          <w:rFonts w:hint="eastAsia" w:ascii="仿宋_GB2312" w:eastAsia="仿宋_GB2312" w:cs="DengXian-Regular"/>
          <w:sz w:val="32"/>
          <w:szCs w:val="32"/>
          <w:highlight w:val="none"/>
        </w:rPr>
        <w:t>。主要是</w:t>
      </w:r>
      <w:r>
        <w:rPr>
          <w:rFonts w:hint="eastAsia" w:ascii="仿宋_GB2312" w:eastAsia="仿宋_GB2312" w:cs="DengXian-Regular"/>
          <w:sz w:val="32"/>
          <w:szCs w:val="32"/>
          <w:highlight w:val="none"/>
          <w:lang w:val="en-US" w:eastAsia="zh-CN"/>
        </w:rPr>
        <w:t>上年度有结转结余</w:t>
      </w:r>
      <w:r>
        <w:rPr>
          <w:rFonts w:hint="eastAsia" w:ascii="仿宋_GB2312" w:eastAsia="仿宋_GB2312" w:cs="DengXian-Regular"/>
          <w:sz w:val="32"/>
          <w:szCs w:val="32"/>
          <w:highlight w:val="none"/>
        </w:rPr>
        <w:t>。</w:t>
      </w:r>
      <w:r>
        <w:rPr>
          <w:rFonts w:eastAsia="仿宋_GB2312"/>
          <w:sz w:val="32"/>
          <w:szCs w:val="32"/>
          <w:highlight w:val="none"/>
        </w:rPr>
        <w:t>较201</w:t>
      </w:r>
      <w:r>
        <w:rPr>
          <w:rFonts w:hint="eastAsia" w:eastAsia="仿宋_GB2312"/>
          <w:sz w:val="32"/>
          <w:szCs w:val="32"/>
          <w:highlight w:val="none"/>
        </w:rPr>
        <w:t>7</w:t>
      </w:r>
      <w:r>
        <w:rPr>
          <w:rFonts w:eastAsia="仿宋_GB2312"/>
          <w:sz w:val="32"/>
          <w:szCs w:val="32"/>
          <w:highlight w:val="none"/>
        </w:rPr>
        <w:t>年度决算减少</w:t>
      </w:r>
      <w:r>
        <w:rPr>
          <w:rFonts w:hint="eastAsia" w:eastAsia="仿宋_GB2312"/>
          <w:sz w:val="32"/>
          <w:szCs w:val="32"/>
          <w:highlight w:val="none"/>
          <w:lang w:val="en-US" w:eastAsia="zh-CN"/>
        </w:rPr>
        <w:t>3.13</w:t>
      </w:r>
      <w:r>
        <w:rPr>
          <w:rFonts w:eastAsia="仿宋_GB2312"/>
          <w:sz w:val="32"/>
          <w:szCs w:val="32"/>
          <w:highlight w:val="none"/>
        </w:rPr>
        <w:t>万元，降低</w:t>
      </w:r>
      <w:r>
        <w:rPr>
          <w:rFonts w:hint="eastAsia" w:eastAsia="仿宋_GB2312"/>
          <w:sz w:val="32"/>
          <w:szCs w:val="32"/>
          <w:highlight w:val="none"/>
          <w:lang w:val="en-US" w:eastAsia="zh-CN"/>
        </w:rPr>
        <w:t>1.31</w:t>
      </w:r>
      <w:r>
        <w:rPr>
          <w:rFonts w:eastAsia="仿宋_GB2312"/>
          <w:sz w:val="32"/>
          <w:szCs w:val="32"/>
          <w:highlight w:val="none"/>
        </w:rPr>
        <w:t>%，主要是</w:t>
      </w:r>
      <w:r>
        <w:rPr>
          <w:rFonts w:hint="eastAsia" w:eastAsia="仿宋_GB2312"/>
          <w:sz w:val="32"/>
          <w:szCs w:val="32"/>
          <w:highlight w:val="none"/>
          <w:lang w:val="en-US" w:eastAsia="zh-CN"/>
        </w:rPr>
        <w:t>厉行节约，日常开支缩减</w:t>
      </w:r>
      <w:r>
        <w:rPr>
          <w:rFonts w:eastAsia="仿宋_GB2312"/>
          <w:sz w:val="32"/>
          <w:szCs w:val="32"/>
          <w:highlight w:val="none"/>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widowControl/>
        <w:spacing w:after="0"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本部门2018年度政府采购支出总额</w:t>
      </w:r>
      <w:r>
        <w:rPr>
          <w:rFonts w:hint="eastAsia" w:ascii="仿宋_GB2312" w:eastAsia="仿宋_GB2312" w:cs="DengXian-Regular"/>
          <w:sz w:val="32"/>
          <w:szCs w:val="32"/>
          <w:lang w:val="en-US" w:eastAsia="zh-CN"/>
        </w:rPr>
        <w:t>220.15</w:t>
      </w:r>
      <w:r>
        <w:rPr>
          <w:rFonts w:hint="eastAsia" w:ascii="仿宋_GB2312" w:eastAsia="仿宋_GB2312" w:cs="DengXian-Regular"/>
          <w:sz w:val="32"/>
          <w:szCs w:val="32"/>
        </w:rPr>
        <w:t>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lang w:val="en-US" w:eastAsia="zh-CN"/>
        </w:rPr>
        <w:t>220.15</w:t>
      </w:r>
      <w:r>
        <w:rPr>
          <w:rFonts w:ascii="仿宋_GB2312" w:hAnsi="仿宋_GB2312" w:eastAsia="仿宋_GB2312" w:cs="仿宋_GB2312"/>
          <w:color w:val="000000"/>
          <w:kern w:val="0"/>
          <w:sz w:val="32"/>
          <w:szCs w:val="32"/>
        </w:rPr>
        <w:t xml:space="preserve"> 万元、政府采购工程支出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万元、政府采购服务支出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hint="default" w:ascii="仿宋_GB2312" w:eastAsia="仿宋_GB2312" w:cs="DengXian-Regular"/>
          <w:sz w:val="32"/>
          <w:szCs w:val="32"/>
          <w:lang w:val="en-US" w:eastAsia="zh-CN"/>
        </w:rPr>
      </w:pPr>
      <w:r>
        <w:rPr>
          <w:rFonts w:hint="eastAsia" w:ascii="仿宋_GB2312" w:eastAsia="仿宋_GB2312" w:cs="DengXian-Regular"/>
          <w:sz w:val="32"/>
          <w:szCs w:val="32"/>
        </w:rPr>
        <w:t>截至2018年12月31日，本部门共有车辆</w:t>
      </w:r>
      <w:r>
        <w:rPr>
          <w:rFonts w:hint="eastAsia" w:ascii="仿宋_GB2312" w:eastAsia="仿宋_GB2312" w:cs="DengXian-Regular"/>
          <w:sz w:val="32"/>
          <w:szCs w:val="32"/>
          <w:lang w:val="en-US" w:eastAsia="zh-CN"/>
        </w:rPr>
        <w:t>11</w:t>
      </w:r>
      <w:r>
        <w:rPr>
          <w:rFonts w:hint="eastAsia" w:ascii="仿宋_GB2312" w:eastAsia="仿宋_GB2312" w:cs="DengXian-Regular"/>
          <w:sz w:val="32"/>
          <w:szCs w:val="32"/>
        </w:rPr>
        <w:t>辆，</w:t>
      </w:r>
      <w:r>
        <w:rPr>
          <w:rFonts w:hint="eastAsia" w:ascii="仿宋_GB2312" w:eastAsia="仿宋_GB2312" w:cs="DengXian-Regular"/>
          <w:sz w:val="32"/>
          <w:szCs w:val="32"/>
          <w:lang w:eastAsia="zh-CN"/>
        </w:rPr>
        <w:t>较</w:t>
      </w:r>
      <w:r>
        <w:rPr>
          <w:rFonts w:hint="eastAsia" w:ascii="仿宋_GB2312" w:eastAsia="仿宋_GB2312" w:cs="DengXian-Regular"/>
          <w:sz w:val="32"/>
          <w:szCs w:val="32"/>
        </w:rPr>
        <w:t>上年</w:t>
      </w:r>
      <w:r>
        <w:rPr>
          <w:rFonts w:hint="eastAsia" w:ascii="仿宋_GB2312" w:eastAsia="仿宋_GB2312" w:cs="DengXian-Regular"/>
          <w:sz w:val="32"/>
          <w:szCs w:val="32"/>
          <w:lang w:eastAsia="zh-CN"/>
        </w:rPr>
        <w:t>无增减。</w:t>
      </w:r>
      <w:r>
        <w:rPr>
          <w:rFonts w:hint="eastAsia" w:ascii="仿宋_GB2312" w:eastAsia="仿宋_GB2312" w:cs="DengXian-Regular"/>
          <w:sz w:val="32"/>
          <w:szCs w:val="32"/>
        </w:rPr>
        <w:t>其中，副部（省）级及以上领导用车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辆，主要领导干部用车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辆，机要通信用车</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辆，应急保障用车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辆，执法执勤用车</w:t>
      </w:r>
      <w:r>
        <w:rPr>
          <w:rFonts w:hint="eastAsia" w:ascii="仿宋_GB2312" w:eastAsia="仿宋_GB2312" w:cs="DengXian-Regular"/>
          <w:sz w:val="32"/>
          <w:szCs w:val="32"/>
          <w:lang w:val="en-US" w:eastAsia="zh-CN"/>
        </w:rPr>
        <w:t>10</w:t>
      </w:r>
      <w:r>
        <w:rPr>
          <w:rFonts w:hint="eastAsia" w:ascii="仿宋_GB2312" w:eastAsia="仿宋_GB2312" w:cs="DengXian-Regular"/>
          <w:sz w:val="32"/>
          <w:szCs w:val="32"/>
        </w:rPr>
        <w:t>辆，特种专业技术用车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辆，离退休干部用车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辆，其他用车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台（套）</w:t>
      </w:r>
      <w:r>
        <w:rPr>
          <w:rFonts w:hint="eastAsia" w:ascii="仿宋_GB2312" w:eastAsia="仿宋_GB2312" w:cs="DengXian-Regular"/>
          <w:sz w:val="32"/>
          <w:szCs w:val="32"/>
          <w:lang w:eastAsia="zh-CN"/>
        </w:rPr>
        <w:t>，与上年无增减变化，单位价值</w:t>
      </w:r>
      <w:r>
        <w:rPr>
          <w:rFonts w:hint="eastAsia" w:ascii="仿宋_GB2312" w:eastAsia="仿宋_GB2312" w:cs="DengXian-Regular"/>
          <w:sz w:val="32"/>
          <w:szCs w:val="32"/>
          <w:lang w:val="en-US" w:eastAsia="zh-CN"/>
        </w:rPr>
        <w:t>100万元以上专用设备0台（套），</w:t>
      </w:r>
      <w:r>
        <w:rPr>
          <w:rFonts w:hint="eastAsia" w:ascii="仿宋_GB2312" w:eastAsia="仿宋_GB2312" w:cs="DengXian-Regular"/>
          <w:sz w:val="32"/>
          <w:szCs w:val="32"/>
          <w:lang w:eastAsia="zh-CN"/>
        </w:rPr>
        <w:t>与上年无增减变化。</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afterLines="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1、本部门2018年度无政府性基金预算财政拨款收支及结转结余情况</w:t>
      </w:r>
      <w:r>
        <w:rPr>
          <w:rFonts w:hint="eastAsia" w:ascii="仿宋_GB2312" w:eastAsia="仿宋_GB2312" w:cs="DengXian-Regular"/>
          <w:sz w:val="32"/>
          <w:szCs w:val="32"/>
          <w:lang w:eastAsia="zh-CN"/>
        </w:rPr>
        <w:t>、无国有资本经营预算财政拨款支出情况</w:t>
      </w:r>
      <w:r>
        <w:rPr>
          <w:rFonts w:hint="eastAsia" w:ascii="仿宋_GB2312" w:eastAsia="仿宋_GB2312" w:cs="DengXian-Regular"/>
          <w:sz w:val="32"/>
          <w:szCs w:val="32"/>
        </w:rPr>
        <w:t>，故政府性基金预算财政拨款收入支出决算表</w:t>
      </w:r>
      <w:r>
        <w:rPr>
          <w:rFonts w:hint="eastAsia" w:ascii="仿宋_GB2312" w:eastAsia="仿宋_GB2312" w:cs="DengXian-Regular"/>
          <w:sz w:val="32"/>
          <w:szCs w:val="32"/>
          <w:lang w:eastAsia="zh-CN"/>
        </w:rPr>
        <w:t>、国有资本经营预算财政拨款支出决算表</w:t>
      </w:r>
      <w:r>
        <w:rPr>
          <w:rFonts w:hint="eastAsia" w:ascii="仿宋_GB2312" w:eastAsia="仿宋_GB2312" w:cs="DengXian-Regular"/>
          <w:sz w:val="32"/>
          <w:szCs w:val="32"/>
        </w:rPr>
        <w:t>以空表列示。</w:t>
      </w:r>
    </w:p>
    <w:p>
      <w:pPr>
        <w:adjustRightInd w:val="0"/>
        <w:snapToGrid w:val="0"/>
        <w:spacing w:after="0" w:afterLines="0" w:line="580" w:lineRule="exact"/>
        <w:ind w:firstLine="640" w:firstLineChars="200"/>
        <w:rPr>
          <w:rFonts w:ascii="宋体" w:hAnsi="宋体" w:eastAsia="宋体" w:cs="MS-UIGothic,Bold"/>
          <w:b/>
          <w:bCs/>
          <w:kern w:val="0"/>
          <w:sz w:val="44"/>
          <w:szCs w:val="44"/>
        </w:rPr>
        <w:sectPr>
          <w:pgSz w:w="11906" w:h="16838"/>
          <w:pgMar w:top="2098" w:right="1474" w:bottom="1984" w:left="1588" w:header="851" w:footer="992" w:gutter="0"/>
          <w:cols w:space="720" w:num="1"/>
          <w:docGrid w:type="lines" w:linePitch="312" w:charSpace="0"/>
        </w:sectPr>
      </w:pPr>
      <w:r>
        <w:rPr>
          <w:rFonts w:hint="eastAsia" w:ascii="仿宋_GB2312"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line="1200" w:lineRule="exact"/>
        <w:jc w:val="center"/>
        <w:rPr>
          <w:rFonts w:hint="eastAsia" w:hAnsi="宋体" w:asciiTheme="minorEastAsia" w:eastAsiaTheme="minorEastAsia"/>
          <w:color w:val="000000" w:themeColor="text1"/>
          <w:sz w:val="96"/>
          <w:szCs w:val="96"/>
        </w:rPr>
      </w:pPr>
    </w:p>
    <w:p>
      <w:pPr>
        <w:widowControl/>
        <w:spacing w:line="1200" w:lineRule="exact"/>
        <w:jc w:val="center"/>
        <w:rPr>
          <w:rFonts w:hint="eastAsia" w:hAnsi="宋体" w:asciiTheme="minorEastAsia" w:eastAsiaTheme="minorEastAsia"/>
          <w:color w:val="000000" w:themeColor="text1"/>
          <w:sz w:val="96"/>
          <w:szCs w:val="96"/>
        </w:rPr>
      </w:pPr>
    </w:p>
    <w:p>
      <w:pPr>
        <w:widowControl/>
        <w:spacing w:line="1200" w:lineRule="exact"/>
        <w:jc w:val="center"/>
        <w:rPr>
          <w:rFonts w:hint="eastAsia" w:hAnsi="宋体" w:asciiTheme="minorEastAsia" w:eastAsiaTheme="minorEastAsia"/>
          <w:color w:val="000000" w:themeColor="text1"/>
          <w:sz w:val="96"/>
          <w:szCs w:val="96"/>
        </w:rPr>
      </w:pPr>
    </w:p>
    <w:p>
      <w:pPr>
        <w:widowControl/>
        <w:spacing w:line="1200" w:lineRule="exact"/>
        <w:jc w:val="center"/>
        <w:rPr>
          <w:rFonts w:hAnsi="宋体" w:asciiTheme="minorEastAsia" w:eastAsiaTheme="minorEastAsia"/>
          <w:color w:val="000000" w:themeColor="text1"/>
          <w:sz w:val="96"/>
          <w:szCs w:val="96"/>
        </w:rPr>
      </w:pPr>
      <w:r>
        <w:rPr>
          <w:rFonts w:hint="eastAsia" w:hAnsi="宋体" w:asciiTheme="minorEastAsia" w:eastAsiaTheme="minorEastAsia"/>
          <w:color w:val="000000" w:themeColor="text1"/>
          <w:sz w:val="96"/>
          <w:szCs w:val="96"/>
        </w:rPr>
        <w:t>第四部分</w:t>
      </w:r>
    </w:p>
    <w:p>
      <w:pPr>
        <w:widowControl/>
        <w:spacing w:line="1200" w:lineRule="exact"/>
        <w:jc w:val="center"/>
        <w:rPr>
          <w:color w:val="000000" w:themeColor="text1"/>
          <w:sz w:val="96"/>
          <w:szCs w:val="96"/>
        </w:rPr>
      </w:pPr>
      <w:r>
        <w:rPr>
          <w:rFonts w:hint="eastAsia" w:hAnsi="宋体" w:asciiTheme="minorEastAsia" w:eastAsiaTheme="minorEastAsia"/>
          <w:color w:val="000000" w:themeColor="text1"/>
          <w:sz w:val="96"/>
          <w:szCs w:val="96"/>
        </w:rPr>
        <w:t>名词解释</w:t>
      </w: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（一）财政拨款收入：</w:t>
      </w:r>
      <w:r>
        <w:rPr>
          <w:rFonts w:hint="eastAsia" w:ascii="仿宋_GB2312" w:eastAsia="仿宋_GB2312" w:hAnsiTheme="majorEastAsia"/>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（二）事业收入：</w:t>
      </w:r>
      <w:r>
        <w:rPr>
          <w:rFonts w:hint="eastAsia" w:ascii="仿宋_GB2312" w:eastAsia="仿宋_GB2312" w:hAnsiTheme="majorEastAsia"/>
          <w:color w:val="000000"/>
          <w:kern w:val="0"/>
          <w:sz w:val="32"/>
          <w:szCs w:val="32"/>
        </w:rPr>
        <w:t>指事业单位开展专业业务活动及辅助活动所取得的收入。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（三）其他收入：</w:t>
      </w:r>
      <w:r>
        <w:rPr>
          <w:rFonts w:hint="eastAsia" w:ascii="仿宋_GB2312" w:eastAsia="仿宋_GB2312" w:hAnsiTheme="majorEastAsia"/>
          <w:color w:val="000000"/>
          <w:kern w:val="0"/>
          <w:sz w:val="32"/>
          <w:szCs w:val="32"/>
        </w:rPr>
        <w:t>指除上述“财政拨款收入”“事业收入”“经营收入”等以外的收入。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（四）用事业基金弥补收支差额：</w:t>
      </w:r>
      <w:r>
        <w:rPr>
          <w:rFonts w:hint="eastAsia" w:ascii="仿宋_GB2312" w:eastAsia="仿宋_GB2312" w:hAnsiTheme="major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（五）年初结转和结余：</w:t>
      </w:r>
      <w:r>
        <w:rPr>
          <w:rFonts w:hint="eastAsia" w:ascii="仿宋_GB2312" w:eastAsia="仿宋_GB2312" w:hAnsiTheme="majorEastAsia"/>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（六）结余分配：</w:t>
      </w:r>
      <w:r>
        <w:rPr>
          <w:rFonts w:hint="eastAsia" w:ascii="仿宋_GB2312" w:eastAsia="仿宋_GB2312" w:hAnsiTheme="majorEastAsia"/>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（七）年末结转和结余：</w:t>
      </w:r>
      <w:r>
        <w:rPr>
          <w:rFonts w:hint="eastAsia" w:ascii="仿宋_GB2312" w:eastAsia="仿宋_GB2312" w:hAnsiTheme="majorEastAsia"/>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（八）基本支出：</w:t>
      </w:r>
      <w:r>
        <w:rPr>
          <w:rFonts w:hint="eastAsia" w:ascii="仿宋_GB2312" w:eastAsia="仿宋_GB2312" w:hAnsiTheme="majorEastAsia"/>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（九）项目支出：</w:t>
      </w:r>
      <w:r>
        <w:rPr>
          <w:rFonts w:hint="eastAsia" w:ascii="仿宋_GB2312" w:eastAsia="仿宋_GB2312" w:hAnsiTheme="majorEastAsia"/>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（十）资本性支出（基本建设）：</w:t>
      </w:r>
      <w:r>
        <w:rPr>
          <w:rFonts w:hint="eastAsia" w:ascii="仿宋_GB2312" w:eastAsia="仿宋_GB2312" w:hAnsiTheme="majorEastAsia"/>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（十一）资本性支出：</w:t>
      </w:r>
      <w:r>
        <w:rPr>
          <w:rFonts w:hint="eastAsia" w:ascii="仿宋_GB2312" w:eastAsia="仿宋_GB2312" w:hAnsiTheme="majorEastAsia"/>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（十二）“三公”经费：</w:t>
      </w:r>
      <w:r>
        <w:rPr>
          <w:rFonts w:hint="eastAsia" w:ascii="仿宋_GB2312" w:eastAsia="仿宋_GB2312" w:hAnsiTheme="major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（十三）其他交通费用：</w:t>
      </w:r>
      <w:r>
        <w:rPr>
          <w:rFonts w:hint="eastAsia" w:ascii="仿宋_GB2312" w:eastAsia="仿宋_GB2312" w:hAnsiTheme="majorEastAsia"/>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（十四）公务用车购置：</w:t>
      </w:r>
      <w:r>
        <w:rPr>
          <w:rFonts w:hint="eastAsia" w:ascii="仿宋_GB2312" w:eastAsia="仿宋_GB2312" w:hAnsiTheme="majorEastAsia"/>
          <w:color w:val="000000"/>
          <w:kern w:val="0"/>
          <w:sz w:val="32"/>
          <w:szCs w:val="32"/>
        </w:rPr>
        <w:t>填列单位公务用车购置支出（含车辆购置税、牌照费）。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（十五）其他交通工具购置：</w:t>
      </w:r>
      <w:r>
        <w:rPr>
          <w:rFonts w:hint="eastAsia" w:ascii="仿宋_GB2312" w:eastAsia="仿宋_GB2312" w:hAnsiTheme="majorEastAsia"/>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（十六）机关运行经费：</w:t>
      </w:r>
      <w:r>
        <w:rPr>
          <w:rFonts w:hint="eastAsia" w:ascii="仿宋_GB2312" w:eastAsia="仿宋_GB2312" w:hAnsiTheme="major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eastAsia="仿宋_GB2312" w:cs="ArialUnicodeMS" w:hAnsiTheme="minorHAnsi"/>
          <w:kern w:val="0"/>
          <w:sz w:val="32"/>
          <w:szCs w:val="32"/>
        </w:rPr>
      </w:pPr>
      <w:r>
        <w:rPr>
          <w:rFonts w:hint="eastAsia" w:ascii="仿宋_GB2312" w:eastAsia="仿宋_GB2312" w:hAnsiTheme="majorEastAsia"/>
          <w:b/>
          <w:bCs/>
          <w:color w:val="000000"/>
          <w:kern w:val="0"/>
          <w:sz w:val="32"/>
          <w:szCs w:val="32"/>
        </w:rPr>
        <w:t>（十七）经费形式:</w:t>
      </w:r>
      <w:r>
        <w:rPr>
          <w:rFonts w:hint="eastAsia" w:ascii="仿宋_GB2312" w:eastAsia="仿宋_GB2312" w:hAnsiTheme="majorEastAsia"/>
          <w:color w:val="000000"/>
          <w:kern w:val="0"/>
          <w:sz w:val="32"/>
          <w:szCs w:val="32"/>
        </w:rPr>
        <w:t>按照经费来源，</w:t>
      </w:r>
      <w:r>
        <w:rPr>
          <w:rFonts w:hint="eastAsia" w:ascii="仿宋_GB2312" w:eastAsia="仿宋_GB2312" w:cs="ArialUnicodeMS" w:hAnsiTheme="minorHAnsi"/>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rPr>
          <w:rFonts w:ascii="仿宋_GB2312" w:eastAsia="仿宋_GB2312" w:cs="ArialUnicodeMS" w:hAnsiTheme="minorHAnsi"/>
          <w:kern w:val="0"/>
          <w:sz w:val="32"/>
          <w:szCs w:val="32"/>
        </w:rPr>
      </w:pPr>
    </w:p>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p>
      <w:pPr>
        <w:widowControl/>
        <w:spacing w:after="0" w:line="560" w:lineRule="exact"/>
        <w:rPr>
          <w:rFonts w:ascii="仿宋_GB2312" w:eastAsia="仿宋_GB2312" w:cs="ArialUnicodeMS" w:hAnsiTheme="minorHAnsi"/>
          <w:kern w:val="0"/>
          <w:sz w:val="32"/>
          <w:szCs w:val="32"/>
        </w:rPr>
      </w:pPr>
    </w:p>
    <w:p>
      <w:pPr>
        <w:widowControl/>
        <w:spacing w:after="0" w:line="580" w:lineRule="exact"/>
        <w:jc w:val="left"/>
        <w:rPr>
          <w:rFonts w:cs="MS-UIGothic,Bold" w:asciiTheme="majorEastAsia" w:hAnsiTheme="majorEastAsia" w:eastAsiaTheme="majorEastAsia"/>
          <w:b/>
          <w:bCs/>
          <w:kern w:val="0"/>
          <w:sz w:val="44"/>
          <w:szCs w:val="44"/>
        </w:rPr>
        <w:sectPr>
          <w:pgSz w:w="11906" w:h="16838"/>
          <w:pgMar w:top="2098" w:right="1474" w:bottom="1984" w:left="1588" w:header="851" w:footer="992" w:gutter="0"/>
          <w:cols w:space="0" w:num="1"/>
          <w:docGrid w:type="lines" w:linePitch="312" w:charSpace="0"/>
        </w:sectPr>
      </w:pPr>
    </w:p>
    <w:p>
      <w:pPr>
        <w:widowControl/>
        <w:spacing w:line="1200" w:lineRule="exact"/>
        <w:jc w:val="center"/>
        <w:rPr>
          <w:rFonts w:hAnsi="宋体" w:asciiTheme="minorEastAsia" w:eastAsiaTheme="minorEastAsia"/>
          <w:color w:val="000000" w:themeColor="text1"/>
          <w:sz w:val="96"/>
          <w:szCs w:val="96"/>
        </w:rPr>
      </w:pPr>
    </w:p>
    <w:p>
      <w:pPr>
        <w:widowControl/>
        <w:spacing w:line="1200" w:lineRule="exact"/>
        <w:jc w:val="center"/>
        <w:rPr>
          <w:rFonts w:hAnsi="宋体" w:asciiTheme="minorEastAsia" w:eastAsiaTheme="minorEastAsia"/>
          <w:color w:val="000000" w:themeColor="text1"/>
          <w:sz w:val="96"/>
          <w:szCs w:val="96"/>
        </w:rPr>
      </w:pPr>
    </w:p>
    <w:p>
      <w:pPr>
        <w:widowControl/>
        <w:spacing w:line="1200" w:lineRule="exact"/>
        <w:jc w:val="center"/>
        <w:rPr>
          <w:rFonts w:hAnsi="宋体" w:asciiTheme="minorEastAsia" w:eastAsiaTheme="minorEastAsia"/>
          <w:color w:val="000000" w:themeColor="text1"/>
          <w:sz w:val="96"/>
          <w:szCs w:val="96"/>
        </w:rPr>
      </w:pPr>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3BA163B-6589-4F77-9D0C-6A944D842696}"/>
  </w:font>
  <w:font w:name="黑体">
    <w:panose1 w:val="02010609060101010101"/>
    <w:charset w:val="86"/>
    <w:family w:val="auto"/>
    <w:pitch w:val="default"/>
    <w:sig w:usb0="800002BF" w:usb1="38CF7CFA" w:usb2="00000016" w:usb3="00000000" w:csb0="00040001" w:csb1="00000000"/>
    <w:embedRegular r:id="rId2" w:fontKey="{F7B4C03A-D7B3-4BCC-988F-30E47FAC28A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D46DF478-2CF0-41DC-AA64-0BE35774B57D}"/>
  </w:font>
  <w:font w:name="Cambria">
    <w:panose1 w:val="02040503050406030204"/>
    <w:charset w:val="00"/>
    <w:family w:val="roman"/>
    <w:pitch w:val="default"/>
    <w:sig w:usb0="E00002FF" w:usb1="400004FF" w:usb2="00000000" w:usb3="00000000" w:csb0="2000019F" w:csb1="00000000"/>
    <w:embedRegular r:id="rId4" w:fontKey="{8269401A-2A15-43A4-A926-DA0B6E9CF755}"/>
  </w:font>
  <w:font w:name="楷体">
    <w:panose1 w:val="02010609060101010101"/>
    <w:charset w:val="86"/>
    <w:family w:val="modern"/>
    <w:pitch w:val="default"/>
    <w:sig w:usb0="800002BF" w:usb1="38CF7CFA" w:usb2="00000016" w:usb3="00000000" w:csb0="00040001" w:csb1="00000000"/>
    <w:embedRegular r:id="rId5" w:fontKey="{1D1DE502-8503-4B5A-A5C2-ADB84895D3C2}"/>
  </w:font>
  <w:font w:name="仿宋_GB2312">
    <w:panose1 w:val="02010609030101010101"/>
    <w:charset w:val="86"/>
    <w:family w:val="modern"/>
    <w:pitch w:val="default"/>
    <w:sig w:usb0="00000001" w:usb1="080E0000" w:usb2="00000000" w:usb3="00000000" w:csb0="00040000" w:csb1="00000000"/>
    <w:embedRegular r:id="rId6" w:fontKey="{F90516DD-5870-4CCB-87D2-6268A44E8379}"/>
  </w:font>
  <w:font w:name="仿宋">
    <w:panose1 w:val="02010609060101010101"/>
    <w:charset w:val="86"/>
    <w:family w:val="modern"/>
    <w:pitch w:val="default"/>
    <w:sig w:usb0="800002BF" w:usb1="38CF7CFA" w:usb2="00000016" w:usb3="00000000" w:csb0="00040001" w:csb1="00000000"/>
    <w:embedRegular r:id="rId7" w:fontKey="{9E7BCB64-36BD-488C-A903-EC9A852637D2}"/>
  </w:font>
  <w:font w:name="ArialUnicodeMS">
    <w:altName w:val="Malgun Gothic"/>
    <w:panose1 w:val="00000000000000000000"/>
    <w:charset w:val="81"/>
    <w:family w:val="auto"/>
    <w:pitch w:val="default"/>
    <w:sig w:usb0="00000000" w:usb1="00000000" w:usb2="00000010" w:usb3="00000000" w:csb0="00080001" w:csb1="00000000"/>
    <w:embedRegular r:id="rId8" w:fontKey="{7C931A94-D0A4-4FCA-922C-A5171C19BF23}"/>
  </w:font>
  <w:font w:name="MS-UIGothic,Bold">
    <w:altName w:val="Malgun Gothic"/>
    <w:panose1 w:val="00000000000000000000"/>
    <w:charset w:val="81"/>
    <w:family w:val="auto"/>
    <w:pitch w:val="default"/>
    <w:sig w:usb0="00000000" w:usb1="00000000" w:usb2="00000010" w:usb3="00000000" w:csb0="00080000" w:csb1="00000000"/>
    <w:embedRegular r:id="rId9" w:fontKey="{732F58CA-E278-46F0-9721-33CD146D5C00}"/>
  </w:font>
  <w:font w:name="DengXian-Regular">
    <w:altName w:val="宋体"/>
    <w:panose1 w:val="00000000000000000000"/>
    <w:charset w:val="86"/>
    <w:family w:val="auto"/>
    <w:pitch w:val="default"/>
    <w:sig w:usb0="00000000" w:usb1="00000000" w:usb2="00000010" w:usb3="00000000" w:csb0="00040001" w:csb1="00000000"/>
    <w:embedRegular r:id="rId10" w:fontKey="{7E680046-CF3B-4E62-861C-4A51BDDF2384}"/>
  </w:font>
  <w:font w:name="楷体_GB2312">
    <w:panose1 w:val="02010609030101010101"/>
    <w:charset w:val="86"/>
    <w:family w:val="modern"/>
    <w:pitch w:val="default"/>
    <w:sig w:usb0="00000001" w:usb1="080E0000" w:usb2="00000000" w:usb3="00000000" w:csb0="00040000" w:csb1="00000000"/>
    <w:embedRegular r:id="rId11" w:fontKey="{5A4CB7A1-E8B1-4D28-9976-BC705CDDB5EA}"/>
  </w:font>
  <w:font w:name="DengXian-Bold">
    <w:altName w:val="宋体"/>
    <w:panose1 w:val="00000000000000000000"/>
    <w:charset w:val="86"/>
    <w:family w:val="auto"/>
    <w:pitch w:val="default"/>
    <w:sig w:usb0="00000000" w:usb1="00000000" w:usb2="00000010" w:usb3="00000000" w:csb0="00040001" w:csb1="00000000"/>
    <w:embedRegular r:id="rId12" w:fontKey="{BDBE36BE-DF76-4194-8CB0-ABD91FBB9D80}"/>
  </w:font>
  <w:font w:name="TimesNewRomanPSMT">
    <w:altName w:val="Arial"/>
    <w:panose1 w:val="00000000000000000000"/>
    <w:charset w:val="00"/>
    <w:family w:val="swiss"/>
    <w:pitch w:val="default"/>
    <w:sig w:usb0="00000000"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88EEB56"/>
    <w:multiLevelType w:val="singleLevel"/>
    <w:tmpl w:val="588EEB5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cyNGQzNGYwMWEyZTIwNjllNTZhMmI5ZGM4ZDRlNTYifQ=="/>
  </w:docVars>
  <w:rsids>
    <w:rsidRoot w:val="003C1413"/>
    <w:rsid w:val="00020FAF"/>
    <w:rsid w:val="00022474"/>
    <w:rsid w:val="00024E7F"/>
    <w:rsid w:val="000475A0"/>
    <w:rsid w:val="00067693"/>
    <w:rsid w:val="000838C3"/>
    <w:rsid w:val="000B2446"/>
    <w:rsid w:val="000D7C65"/>
    <w:rsid w:val="000E2F81"/>
    <w:rsid w:val="00101F8D"/>
    <w:rsid w:val="00117946"/>
    <w:rsid w:val="00117E2C"/>
    <w:rsid w:val="00146C47"/>
    <w:rsid w:val="00152FB8"/>
    <w:rsid w:val="00176658"/>
    <w:rsid w:val="0018239E"/>
    <w:rsid w:val="001B3410"/>
    <w:rsid w:val="001B7503"/>
    <w:rsid w:val="001C030D"/>
    <w:rsid w:val="001C4A84"/>
    <w:rsid w:val="001E5902"/>
    <w:rsid w:val="00233705"/>
    <w:rsid w:val="00246D99"/>
    <w:rsid w:val="00257266"/>
    <w:rsid w:val="00262306"/>
    <w:rsid w:val="00275CA2"/>
    <w:rsid w:val="002A65A5"/>
    <w:rsid w:val="002C04C4"/>
    <w:rsid w:val="002D08B0"/>
    <w:rsid w:val="002D1AE3"/>
    <w:rsid w:val="002F2ECE"/>
    <w:rsid w:val="00341C8F"/>
    <w:rsid w:val="0035463A"/>
    <w:rsid w:val="00391D9D"/>
    <w:rsid w:val="003B6C51"/>
    <w:rsid w:val="003C1413"/>
    <w:rsid w:val="003C549F"/>
    <w:rsid w:val="003D5A16"/>
    <w:rsid w:val="003E7DB3"/>
    <w:rsid w:val="00431175"/>
    <w:rsid w:val="004374A3"/>
    <w:rsid w:val="00493686"/>
    <w:rsid w:val="004B6E37"/>
    <w:rsid w:val="004C32BA"/>
    <w:rsid w:val="004C68EF"/>
    <w:rsid w:val="00575922"/>
    <w:rsid w:val="005A3C0D"/>
    <w:rsid w:val="005A6C90"/>
    <w:rsid w:val="005B37E6"/>
    <w:rsid w:val="005E3FB0"/>
    <w:rsid w:val="005F4B66"/>
    <w:rsid w:val="005F5208"/>
    <w:rsid w:val="00615C31"/>
    <w:rsid w:val="00641318"/>
    <w:rsid w:val="0064405D"/>
    <w:rsid w:val="00695557"/>
    <w:rsid w:val="006D4EA7"/>
    <w:rsid w:val="0070012A"/>
    <w:rsid w:val="0070664B"/>
    <w:rsid w:val="007071B8"/>
    <w:rsid w:val="007155C2"/>
    <w:rsid w:val="007414DE"/>
    <w:rsid w:val="00760C0C"/>
    <w:rsid w:val="007905A9"/>
    <w:rsid w:val="007E072B"/>
    <w:rsid w:val="007E5500"/>
    <w:rsid w:val="007F055B"/>
    <w:rsid w:val="00811C2F"/>
    <w:rsid w:val="00833D46"/>
    <w:rsid w:val="00836215"/>
    <w:rsid w:val="00840A97"/>
    <w:rsid w:val="00872B02"/>
    <w:rsid w:val="00873292"/>
    <w:rsid w:val="008A640A"/>
    <w:rsid w:val="008C0149"/>
    <w:rsid w:val="008D5DED"/>
    <w:rsid w:val="008E25CA"/>
    <w:rsid w:val="008F34FC"/>
    <w:rsid w:val="00944CD7"/>
    <w:rsid w:val="00961190"/>
    <w:rsid w:val="009831B2"/>
    <w:rsid w:val="009A1ABE"/>
    <w:rsid w:val="009E21A4"/>
    <w:rsid w:val="009F22C6"/>
    <w:rsid w:val="00A07E50"/>
    <w:rsid w:val="00A12C15"/>
    <w:rsid w:val="00A15397"/>
    <w:rsid w:val="00A35CE0"/>
    <w:rsid w:val="00A4462E"/>
    <w:rsid w:val="00A44AA4"/>
    <w:rsid w:val="00A61623"/>
    <w:rsid w:val="00A84687"/>
    <w:rsid w:val="00AA0458"/>
    <w:rsid w:val="00AB0A0E"/>
    <w:rsid w:val="00AD3B6E"/>
    <w:rsid w:val="00AF6D31"/>
    <w:rsid w:val="00B1751F"/>
    <w:rsid w:val="00B50F96"/>
    <w:rsid w:val="00B56722"/>
    <w:rsid w:val="00B67044"/>
    <w:rsid w:val="00B74D39"/>
    <w:rsid w:val="00B827C6"/>
    <w:rsid w:val="00B91DA4"/>
    <w:rsid w:val="00BA7174"/>
    <w:rsid w:val="00C12630"/>
    <w:rsid w:val="00C34562"/>
    <w:rsid w:val="00C3774E"/>
    <w:rsid w:val="00C57456"/>
    <w:rsid w:val="00C65387"/>
    <w:rsid w:val="00C87FAB"/>
    <w:rsid w:val="00C91FF7"/>
    <w:rsid w:val="00C92D15"/>
    <w:rsid w:val="00C94E53"/>
    <w:rsid w:val="00CE3FC3"/>
    <w:rsid w:val="00D0048E"/>
    <w:rsid w:val="00D23E7A"/>
    <w:rsid w:val="00D56D8F"/>
    <w:rsid w:val="00D61063"/>
    <w:rsid w:val="00DB35AF"/>
    <w:rsid w:val="00DD72D7"/>
    <w:rsid w:val="00DF5B88"/>
    <w:rsid w:val="00E0589E"/>
    <w:rsid w:val="00E0697F"/>
    <w:rsid w:val="00E241FA"/>
    <w:rsid w:val="00E2595E"/>
    <w:rsid w:val="00E35374"/>
    <w:rsid w:val="00E50C19"/>
    <w:rsid w:val="00E64655"/>
    <w:rsid w:val="00E73081"/>
    <w:rsid w:val="00E856C9"/>
    <w:rsid w:val="00EA4F68"/>
    <w:rsid w:val="00EB6A8B"/>
    <w:rsid w:val="00EC6814"/>
    <w:rsid w:val="00ED411D"/>
    <w:rsid w:val="00EF38C6"/>
    <w:rsid w:val="00EF67C6"/>
    <w:rsid w:val="00F679C7"/>
    <w:rsid w:val="00F7711A"/>
    <w:rsid w:val="00F80C72"/>
    <w:rsid w:val="00FA0D58"/>
    <w:rsid w:val="00FA1580"/>
    <w:rsid w:val="00FA56F4"/>
    <w:rsid w:val="00FB4EDA"/>
    <w:rsid w:val="00FD3BD5"/>
    <w:rsid w:val="00FE3DC8"/>
    <w:rsid w:val="02C84EFE"/>
    <w:rsid w:val="03587A82"/>
    <w:rsid w:val="04073F84"/>
    <w:rsid w:val="04F330AC"/>
    <w:rsid w:val="071E479A"/>
    <w:rsid w:val="079F197B"/>
    <w:rsid w:val="08166CEA"/>
    <w:rsid w:val="083B1FEE"/>
    <w:rsid w:val="095130E1"/>
    <w:rsid w:val="0AD33C18"/>
    <w:rsid w:val="0B60750A"/>
    <w:rsid w:val="0B6E4CBC"/>
    <w:rsid w:val="0BB512ED"/>
    <w:rsid w:val="0BD712BC"/>
    <w:rsid w:val="0C1C6103"/>
    <w:rsid w:val="0D173083"/>
    <w:rsid w:val="0D855EC1"/>
    <w:rsid w:val="105E01D5"/>
    <w:rsid w:val="10686488"/>
    <w:rsid w:val="107C663F"/>
    <w:rsid w:val="10DF728A"/>
    <w:rsid w:val="117A29EA"/>
    <w:rsid w:val="11FD600A"/>
    <w:rsid w:val="12396A40"/>
    <w:rsid w:val="1264200E"/>
    <w:rsid w:val="13DA4BDC"/>
    <w:rsid w:val="14122500"/>
    <w:rsid w:val="141C5B77"/>
    <w:rsid w:val="144F3732"/>
    <w:rsid w:val="148B2D47"/>
    <w:rsid w:val="160D4F1A"/>
    <w:rsid w:val="17644DBF"/>
    <w:rsid w:val="17F97AAF"/>
    <w:rsid w:val="18D8339D"/>
    <w:rsid w:val="19BA5C8E"/>
    <w:rsid w:val="1A21388F"/>
    <w:rsid w:val="1A570D2F"/>
    <w:rsid w:val="1A736C2E"/>
    <w:rsid w:val="1AC629BB"/>
    <w:rsid w:val="1D5573C6"/>
    <w:rsid w:val="1ECA7C57"/>
    <w:rsid w:val="1F0A1E33"/>
    <w:rsid w:val="1FD73BE0"/>
    <w:rsid w:val="1FFB1AA0"/>
    <w:rsid w:val="218B67E2"/>
    <w:rsid w:val="21C52809"/>
    <w:rsid w:val="2452010A"/>
    <w:rsid w:val="24A77AF1"/>
    <w:rsid w:val="2568344C"/>
    <w:rsid w:val="2788734A"/>
    <w:rsid w:val="27D4356F"/>
    <w:rsid w:val="28FB0B8D"/>
    <w:rsid w:val="2C5A554C"/>
    <w:rsid w:val="2C7D1A76"/>
    <w:rsid w:val="2CB60C9D"/>
    <w:rsid w:val="2D2B7942"/>
    <w:rsid w:val="2D46481D"/>
    <w:rsid w:val="2E733B28"/>
    <w:rsid w:val="2F322092"/>
    <w:rsid w:val="30EA2632"/>
    <w:rsid w:val="31852B5A"/>
    <w:rsid w:val="32B13E80"/>
    <w:rsid w:val="32C33160"/>
    <w:rsid w:val="32D01238"/>
    <w:rsid w:val="33B94646"/>
    <w:rsid w:val="366973B4"/>
    <w:rsid w:val="366A1E08"/>
    <w:rsid w:val="38197E93"/>
    <w:rsid w:val="38A864CE"/>
    <w:rsid w:val="38BB066F"/>
    <w:rsid w:val="38EB3CE9"/>
    <w:rsid w:val="39BF76F1"/>
    <w:rsid w:val="39CC0F00"/>
    <w:rsid w:val="3AC42CE7"/>
    <w:rsid w:val="3B6B4753"/>
    <w:rsid w:val="3CFC38C3"/>
    <w:rsid w:val="3D302435"/>
    <w:rsid w:val="3DFC59A8"/>
    <w:rsid w:val="3E970D9F"/>
    <w:rsid w:val="3ECF245E"/>
    <w:rsid w:val="3F8A11E5"/>
    <w:rsid w:val="3FB96314"/>
    <w:rsid w:val="418C133D"/>
    <w:rsid w:val="41BC34C1"/>
    <w:rsid w:val="42E70E4A"/>
    <w:rsid w:val="4365617A"/>
    <w:rsid w:val="43834AB4"/>
    <w:rsid w:val="451B47C5"/>
    <w:rsid w:val="458D4578"/>
    <w:rsid w:val="473320AD"/>
    <w:rsid w:val="47A10E69"/>
    <w:rsid w:val="480066EF"/>
    <w:rsid w:val="4A7D53ED"/>
    <w:rsid w:val="4B753A18"/>
    <w:rsid w:val="4C726B2A"/>
    <w:rsid w:val="4DC72994"/>
    <w:rsid w:val="4FEC3889"/>
    <w:rsid w:val="51283D0A"/>
    <w:rsid w:val="516862DE"/>
    <w:rsid w:val="51B937B0"/>
    <w:rsid w:val="52012FC4"/>
    <w:rsid w:val="522D673E"/>
    <w:rsid w:val="529868C5"/>
    <w:rsid w:val="53A44FAF"/>
    <w:rsid w:val="53E75805"/>
    <w:rsid w:val="55587A90"/>
    <w:rsid w:val="56983FEB"/>
    <w:rsid w:val="580B14D0"/>
    <w:rsid w:val="58FD33DB"/>
    <w:rsid w:val="594329EC"/>
    <w:rsid w:val="5B125936"/>
    <w:rsid w:val="5BA01AC1"/>
    <w:rsid w:val="5BEE1540"/>
    <w:rsid w:val="5BEF1CE7"/>
    <w:rsid w:val="5C5553D2"/>
    <w:rsid w:val="5D9A7401"/>
    <w:rsid w:val="5DE61A5D"/>
    <w:rsid w:val="5FBD6332"/>
    <w:rsid w:val="61616A2B"/>
    <w:rsid w:val="61A2064E"/>
    <w:rsid w:val="61E54A57"/>
    <w:rsid w:val="63B02C62"/>
    <w:rsid w:val="63C04243"/>
    <w:rsid w:val="64164967"/>
    <w:rsid w:val="6479149A"/>
    <w:rsid w:val="649C01C7"/>
    <w:rsid w:val="64A72DEE"/>
    <w:rsid w:val="65841909"/>
    <w:rsid w:val="65F65490"/>
    <w:rsid w:val="660E2CFC"/>
    <w:rsid w:val="6664280E"/>
    <w:rsid w:val="669B61B1"/>
    <w:rsid w:val="66CD546A"/>
    <w:rsid w:val="66F9360B"/>
    <w:rsid w:val="673A4F27"/>
    <w:rsid w:val="68F10BF4"/>
    <w:rsid w:val="691E617C"/>
    <w:rsid w:val="69746D8A"/>
    <w:rsid w:val="699A3F60"/>
    <w:rsid w:val="69DC43AA"/>
    <w:rsid w:val="6B412255"/>
    <w:rsid w:val="6B517063"/>
    <w:rsid w:val="6CA761E1"/>
    <w:rsid w:val="6D5E4CB0"/>
    <w:rsid w:val="6ED62F19"/>
    <w:rsid w:val="72902E62"/>
    <w:rsid w:val="73877FEB"/>
    <w:rsid w:val="73B72D48"/>
    <w:rsid w:val="73C61104"/>
    <w:rsid w:val="749E77D9"/>
    <w:rsid w:val="74AB0B2D"/>
    <w:rsid w:val="74D331C2"/>
    <w:rsid w:val="75C21EA4"/>
    <w:rsid w:val="75F50CA4"/>
    <w:rsid w:val="75F8317D"/>
    <w:rsid w:val="76323982"/>
    <w:rsid w:val="776452EA"/>
    <w:rsid w:val="78CC6EF3"/>
    <w:rsid w:val="79645ACC"/>
    <w:rsid w:val="797C6B3C"/>
    <w:rsid w:val="7A2F2789"/>
    <w:rsid w:val="7A4D42C3"/>
    <w:rsid w:val="7A58655D"/>
    <w:rsid w:val="7A7D2B88"/>
    <w:rsid w:val="7AFA68F5"/>
    <w:rsid w:val="7BB36AE6"/>
    <w:rsid w:val="7BB60928"/>
    <w:rsid w:val="7C1D1FDB"/>
    <w:rsid w:val="7CA723A2"/>
    <w:rsid w:val="7DC663B9"/>
    <w:rsid w:val="7E48297C"/>
    <w:rsid w:val="7F290036"/>
    <w:rsid w:val="7FD210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31"/>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21"/>
    <w:qFormat/>
    <w:uiPriority w:val="11"/>
    <w:pPr>
      <w:widowControl/>
      <w:spacing w:after="200" w:line="276" w:lineRule="auto"/>
      <w:jc w:val="left"/>
    </w:pPr>
    <w:rPr>
      <w:rFonts w:asciiTheme="majorHAnsi" w:hAnsiTheme="majorHAnsi" w:eastAsiaTheme="majorEastAsia" w:cstheme="majorBidi"/>
      <w:i/>
      <w:iCs/>
      <w:color w:val="F0A22E" w:themeColor="accent1"/>
      <w:spacing w:val="15"/>
      <w:kern w:val="0"/>
      <w:sz w:val="24"/>
    </w:rPr>
  </w:style>
  <w:style w:type="paragraph" w:styleId="11">
    <w:name w:val="Title"/>
    <w:basedOn w:val="1"/>
    <w:next w:val="1"/>
    <w:link w:val="20"/>
    <w:qFormat/>
    <w:uiPriority w:val="10"/>
    <w:pPr>
      <w:widowControl/>
      <w:pBdr>
        <w:bottom w:val="single" w:color="F0A22E" w:themeColor="accent1" w:sz="8" w:space="4"/>
      </w:pBdr>
      <w:spacing w:after="300"/>
      <w:contextualSpacing/>
      <w:jc w:val="left"/>
    </w:pPr>
    <w:rPr>
      <w:rFonts w:asciiTheme="majorHAnsi" w:hAnsiTheme="majorHAnsi" w:eastAsiaTheme="majorEastAsia" w:cstheme="majorBidi"/>
      <w:color w:val="3A2C23" w:themeColor="text2" w:themeShade="BF"/>
      <w:spacing w:val="5"/>
      <w:kern w:val="28"/>
      <w:sz w:val="52"/>
      <w:szCs w:val="52"/>
    </w:rPr>
  </w:style>
  <w:style w:type="table" w:styleId="13">
    <w:name w:val="Table Grid"/>
    <w:basedOn w:val="12"/>
    <w:qFormat/>
    <w:uiPriority w:val="1"/>
    <w:rPr>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5">
    <w:name w:val="页眉 Char"/>
    <w:basedOn w:val="14"/>
    <w:link w:val="9"/>
    <w:qFormat/>
    <w:uiPriority w:val="99"/>
    <w:rPr>
      <w:sz w:val="18"/>
      <w:szCs w:val="18"/>
    </w:rPr>
  </w:style>
  <w:style w:type="character" w:customStyle="1" w:styleId="16">
    <w:name w:val="页脚 Char"/>
    <w:basedOn w:val="14"/>
    <w:link w:val="8"/>
    <w:qFormat/>
    <w:uiPriority w:val="99"/>
    <w:rPr>
      <w:sz w:val="18"/>
      <w:szCs w:val="18"/>
    </w:rPr>
  </w:style>
  <w:style w:type="paragraph" w:styleId="17">
    <w:name w:val="No Spacing"/>
    <w:link w:val="18"/>
    <w:qFormat/>
    <w:uiPriority w:val="1"/>
    <w:pPr>
      <w:spacing w:after="160" w:line="480" w:lineRule="auto"/>
    </w:pPr>
    <w:rPr>
      <w:rFonts w:asciiTheme="minorHAnsi" w:hAnsiTheme="minorHAnsi" w:eastAsiaTheme="minorEastAsia" w:cstheme="minorBidi"/>
      <w:sz w:val="22"/>
      <w:szCs w:val="22"/>
      <w:lang w:val="en-US" w:eastAsia="zh-CN" w:bidi="ar-SA"/>
    </w:rPr>
  </w:style>
  <w:style w:type="character" w:customStyle="1" w:styleId="18">
    <w:name w:val="无间隔 Char"/>
    <w:basedOn w:val="14"/>
    <w:link w:val="17"/>
    <w:qFormat/>
    <w:uiPriority w:val="1"/>
    <w:rPr>
      <w:kern w:val="0"/>
      <w:sz w:val="22"/>
    </w:rPr>
  </w:style>
  <w:style w:type="character" w:customStyle="1" w:styleId="19">
    <w:name w:val="批注框文本 Char"/>
    <w:basedOn w:val="14"/>
    <w:link w:val="7"/>
    <w:semiHidden/>
    <w:qFormat/>
    <w:uiPriority w:val="99"/>
    <w:rPr>
      <w:rFonts w:ascii="Times New Roman" w:hAnsi="Times New Roman" w:eastAsia="宋体" w:cs="Times New Roman"/>
      <w:sz w:val="18"/>
      <w:szCs w:val="18"/>
    </w:rPr>
  </w:style>
  <w:style w:type="character" w:customStyle="1" w:styleId="20">
    <w:name w:val="标题 Char"/>
    <w:basedOn w:val="14"/>
    <w:link w:val="11"/>
    <w:qFormat/>
    <w:uiPriority w:val="10"/>
    <w:rPr>
      <w:rFonts w:asciiTheme="majorHAnsi" w:hAnsiTheme="majorHAnsi" w:eastAsiaTheme="majorEastAsia" w:cstheme="majorBidi"/>
      <w:color w:val="3A2C23" w:themeColor="text2" w:themeShade="BF"/>
      <w:spacing w:val="5"/>
      <w:kern w:val="28"/>
      <w:sz w:val="52"/>
      <w:szCs w:val="52"/>
    </w:rPr>
  </w:style>
  <w:style w:type="character" w:customStyle="1" w:styleId="21">
    <w:name w:val="副标题 Char"/>
    <w:basedOn w:val="14"/>
    <w:link w:val="10"/>
    <w:qFormat/>
    <w:uiPriority w:val="11"/>
    <w:rPr>
      <w:rFonts w:asciiTheme="majorHAnsi" w:hAnsiTheme="majorHAnsi" w:eastAsiaTheme="majorEastAsia" w:cstheme="majorBidi"/>
      <w:i/>
      <w:iCs/>
      <w:color w:val="F0A22E" w:themeColor="accent1"/>
      <w:spacing w:val="15"/>
      <w:kern w:val="0"/>
      <w:sz w:val="24"/>
      <w:szCs w:val="24"/>
    </w:rPr>
  </w:style>
  <w:style w:type="character" w:customStyle="1" w:styleId="22">
    <w:name w:val="Style1"/>
    <w:basedOn w:val="14"/>
    <w:qFormat/>
    <w:uiPriority w:val="1"/>
    <w:rPr>
      <w:rFonts w:asciiTheme="minorHAnsi" w:hAnsiTheme="minorEastAsia" w:eastAsiaTheme="minorEastAsia" w:cstheme="minorBidi"/>
      <w:sz w:val="22"/>
      <w:szCs w:val="22"/>
      <w:lang w:eastAsia="zh-CN"/>
    </w:rPr>
  </w:style>
  <w:style w:type="character" w:customStyle="1" w:styleId="23">
    <w:name w:val="Style2"/>
    <w:basedOn w:val="14"/>
    <w:qFormat/>
    <w:uiPriority w:val="1"/>
    <w:rPr>
      <w:rFonts w:asciiTheme="minorHAnsi" w:hAnsiTheme="minorEastAsia" w:eastAsiaTheme="minorEastAsia" w:cstheme="minorBidi"/>
      <w:sz w:val="22"/>
      <w:szCs w:val="22"/>
      <w:lang w:eastAsia="zh-CN"/>
    </w:rPr>
  </w:style>
  <w:style w:type="character" w:customStyle="1" w:styleId="24">
    <w:name w:val="Style3"/>
    <w:basedOn w:val="14"/>
    <w:qFormat/>
    <w:uiPriority w:val="1"/>
    <w:rPr>
      <w:rFonts w:asciiTheme="minorHAnsi" w:hAnsiTheme="minorEastAsia" w:eastAsiaTheme="minorEastAsia" w:cstheme="minorBidi"/>
      <w:szCs w:val="22"/>
      <w:lang w:eastAsia="zh-CN"/>
    </w:rPr>
  </w:style>
  <w:style w:type="character" w:customStyle="1" w:styleId="25">
    <w:name w:val="Style4"/>
    <w:basedOn w:val="14"/>
    <w:qFormat/>
    <w:uiPriority w:val="1"/>
    <w:rPr>
      <w:rFonts w:asciiTheme="minorHAnsi" w:hAnsiTheme="minorEastAsia" w:eastAsiaTheme="minorEastAsia" w:cstheme="minorBidi"/>
      <w:szCs w:val="22"/>
      <w:lang w:eastAsia="zh-CN"/>
    </w:rPr>
  </w:style>
  <w:style w:type="character" w:customStyle="1" w:styleId="26">
    <w:name w:val="Style5"/>
    <w:basedOn w:val="14"/>
    <w:qFormat/>
    <w:uiPriority w:val="1"/>
    <w:rPr>
      <w:rFonts w:asciiTheme="minorHAnsi" w:hAnsiTheme="minorEastAsia" w:eastAsiaTheme="minorEastAsia" w:cstheme="minorBidi"/>
      <w:sz w:val="22"/>
      <w:szCs w:val="22"/>
      <w:lang w:eastAsia="zh-CN"/>
    </w:rPr>
  </w:style>
  <w:style w:type="character" w:customStyle="1" w:styleId="27">
    <w:name w:val="标题 1 Char"/>
    <w:basedOn w:val="14"/>
    <w:link w:val="2"/>
    <w:qFormat/>
    <w:uiPriority w:val="9"/>
    <w:rPr>
      <w:rFonts w:ascii="Times New Roman" w:hAnsi="Times New Roman" w:eastAsia="宋体" w:cs="Times New Roman"/>
      <w:b/>
      <w:bCs/>
      <w:kern w:val="44"/>
      <w:sz w:val="44"/>
      <w:szCs w:val="44"/>
    </w:rPr>
  </w:style>
  <w:style w:type="character" w:customStyle="1" w:styleId="28">
    <w:name w:val="标题 2 Char"/>
    <w:basedOn w:val="14"/>
    <w:link w:val="3"/>
    <w:qFormat/>
    <w:uiPriority w:val="9"/>
    <w:rPr>
      <w:rFonts w:asciiTheme="majorHAnsi" w:hAnsiTheme="majorHAnsi" w:eastAsiaTheme="majorEastAsia" w:cstheme="majorBidi"/>
      <w:b/>
      <w:bCs/>
      <w:sz w:val="32"/>
      <w:szCs w:val="32"/>
    </w:rPr>
  </w:style>
  <w:style w:type="character" w:customStyle="1" w:styleId="29">
    <w:name w:val="标题 3 Char"/>
    <w:basedOn w:val="14"/>
    <w:link w:val="4"/>
    <w:qFormat/>
    <w:uiPriority w:val="9"/>
    <w:rPr>
      <w:rFonts w:ascii="Times New Roman" w:hAnsi="Times New Roman" w:eastAsia="宋体" w:cs="Times New Roman"/>
      <w:b/>
      <w:bCs/>
      <w:sz w:val="32"/>
      <w:szCs w:val="32"/>
    </w:rPr>
  </w:style>
  <w:style w:type="character" w:customStyle="1" w:styleId="30">
    <w:name w:val="标题 4 Char"/>
    <w:basedOn w:val="14"/>
    <w:link w:val="5"/>
    <w:qFormat/>
    <w:uiPriority w:val="9"/>
    <w:rPr>
      <w:rFonts w:asciiTheme="majorHAnsi" w:hAnsiTheme="majorHAnsi" w:eastAsiaTheme="majorEastAsia" w:cstheme="majorBidi"/>
      <w:b/>
      <w:bCs/>
      <w:sz w:val="28"/>
      <w:szCs w:val="28"/>
    </w:rPr>
  </w:style>
  <w:style w:type="character" w:customStyle="1" w:styleId="31">
    <w:name w:val="日期 Char"/>
    <w:basedOn w:val="14"/>
    <w:link w:val="6"/>
    <w:semiHidden/>
    <w:qFormat/>
    <w:uiPriority w:val="99"/>
    <w:rPr>
      <w:rFonts w:ascii="Times New Roman" w:hAnsi="Times New Roman" w:eastAsia="宋体" w:cs="Times New Roman"/>
      <w:szCs w:val="24"/>
    </w:rPr>
  </w:style>
  <w:style w:type="paragraph" w:styleId="3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tint val="100000"/>
                  <a:shade val="100000"/>
                  <a:hueMod val="100000"/>
                  <a:satMod val="100000"/>
                </a:schemeClr>
              </a:solidFill>
              <a:ln w="19050">
                <a:solidFill>
                  <a:schemeClr val="lt1"/>
                </a:solidFill>
              </a:ln>
              <a:effectLst/>
            </c:spPr>
          </c:dPt>
          <c:dPt>
            <c:idx val="1"/>
            <c:bubble3D val="0"/>
            <c:spPr>
              <a:solidFill>
                <a:schemeClr val="accent2">
                  <a:tint val="100000"/>
                  <a:shade val="100000"/>
                  <a:hueMod val="100000"/>
                  <a:satMod val="100000"/>
                </a:schemeClr>
              </a:solidFill>
              <a:ln w="19050">
                <a:solidFill>
                  <a:schemeClr val="lt1"/>
                </a:solidFill>
              </a:ln>
              <a:effectLst/>
            </c:spPr>
          </c:dPt>
          <c:dPt>
            <c:idx val="2"/>
            <c:bubble3D val="0"/>
            <c:spPr>
              <a:solidFill>
                <a:schemeClr val="accent3">
                  <a:tint val="100000"/>
                  <a:shade val="100000"/>
                  <a:hueMod val="100000"/>
                  <a:satMod val="100000"/>
                </a:schemeClr>
              </a:solidFill>
              <a:ln w="19050">
                <a:solidFill>
                  <a:schemeClr val="lt1"/>
                </a:solidFill>
              </a:ln>
              <a:effectLst/>
            </c:spPr>
          </c:dPt>
          <c:dLbls>
            <c:delete val="1"/>
          </c:dLbls>
          <c:cat>
            <c:strRef>
              <c:f>Sheet1!$A$2:$A$4</c:f>
              <c:strCache>
                <c:ptCount val="3"/>
                <c:pt idx="0">
                  <c:v>基本支出</c:v>
                </c:pt>
                <c:pt idx="1">
                  <c:v>项目支出</c:v>
                </c:pt>
                <c:pt idx="2">
                  <c:v>经营支出</c:v>
                </c:pt>
              </c:strCache>
            </c:strRef>
          </c:cat>
          <c:val>
            <c:numRef>
              <c:f>Sheet1!$B$2:$B$4</c:f>
              <c:numCache>
                <c:formatCode>General</c:formatCode>
                <c:ptCount val="3"/>
                <c:pt idx="0">
                  <c:v>73.95</c:v>
                </c:pt>
                <c:pt idx="1">
                  <c:v>26.05</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58793381168546"/>
          <c:y val="0.0818639423829654"/>
          <c:w val="0.9268"/>
          <c:h val="0.717233333333333"/>
        </c:manualLayout>
      </c:layout>
      <c:barChart>
        <c:barDir val="col"/>
        <c:grouping val="clustered"/>
        <c:varyColors val="0"/>
        <c:ser>
          <c:idx val="0"/>
          <c:order val="0"/>
          <c:tx>
            <c:strRef>
              <c:f>Sheet1!$B$1</c:f>
              <c:strCache>
                <c:ptCount val="1"/>
                <c:pt idx="0">
                  <c:v>2017年</c:v>
                </c:pt>
              </c:strCache>
            </c:strRef>
          </c:tx>
          <c:spPr>
            <a:solidFill>
              <a:schemeClr val="accent1">
                <a:tint val="100000"/>
                <a:shade val="100000"/>
                <a:hueMod val="100000"/>
                <a:satMod val="10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收入（万元）</c:v>
                </c:pt>
                <c:pt idx="1">
                  <c:v>支出（万元）</c:v>
                </c:pt>
              </c:strCache>
            </c:strRef>
          </c:cat>
          <c:val>
            <c:numRef>
              <c:f>Sheet1!$B$2:$B$3</c:f>
              <c:numCache>
                <c:formatCode>General</c:formatCode>
                <c:ptCount val="2"/>
                <c:pt idx="0">
                  <c:v>2354.21</c:v>
                </c:pt>
                <c:pt idx="1">
                  <c:v>2388.93</c:v>
                </c:pt>
              </c:numCache>
            </c:numRef>
          </c:val>
        </c:ser>
        <c:ser>
          <c:idx val="1"/>
          <c:order val="1"/>
          <c:tx>
            <c:strRef>
              <c:f>Sheet1!$C$1</c:f>
              <c:strCache>
                <c:ptCount val="1"/>
                <c:pt idx="0">
                  <c:v>2018年</c:v>
                </c:pt>
              </c:strCache>
            </c:strRef>
          </c:tx>
          <c:spPr>
            <a:solidFill>
              <a:schemeClr val="accent2">
                <a:tint val="100000"/>
                <a:shade val="100000"/>
                <a:hueMod val="100000"/>
                <a:satMod val="10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收入（万元）</c:v>
                </c:pt>
                <c:pt idx="1">
                  <c:v>支出（万元）</c:v>
                </c:pt>
              </c:strCache>
            </c:strRef>
          </c:cat>
          <c:val>
            <c:numRef>
              <c:f>Sheet1!$C$2:$C$3</c:f>
              <c:numCache>
                <c:formatCode>General</c:formatCode>
                <c:ptCount val="2"/>
                <c:pt idx="0">
                  <c:v>2165</c:v>
                </c:pt>
                <c:pt idx="1">
                  <c:v>2195.86</c:v>
                </c:pt>
              </c:numCache>
            </c:numRef>
          </c:val>
        </c:ser>
        <c:ser>
          <c:idx val="2"/>
          <c:order val="2"/>
          <c:tx>
            <c:strRef>
              <c:f>Sheet1!#REF!</c:f>
              <c:strCache>
                <c:ptCount val="1"/>
                <c:pt idx="0">
                  <c:v/>
                </c:pt>
              </c:strCache>
            </c:strRef>
          </c:tx>
          <c:spPr>
            <a:solidFill>
              <a:schemeClr val="accent3">
                <a:tint val="100000"/>
                <a:shade val="100000"/>
                <a:hueMod val="100000"/>
                <a:satMod val="100000"/>
              </a:schemeClr>
            </a:solidFill>
            <a:ln>
              <a:noFill/>
            </a:ln>
            <a:effectLst/>
          </c:spPr>
          <c:invertIfNegative val="0"/>
          <c:dLbls>
            <c:delete val="1"/>
          </c:dLbls>
          <c:cat>
            <c:strRef>
              <c:f>Sheet1!$A$2:$A$3</c:f>
              <c:strCache>
                <c:ptCount val="2"/>
                <c:pt idx="0">
                  <c:v>收入（万元）</c:v>
                </c:pt>
                <c:pt idx="1">
                  <c:v>支出（万元）</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528924014"/>
        <c:axId val="256704367"/>
      </c:barChart>
      <c:catAx>
        <c:axId val="52892401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6704367"/>
        <c:crosses val="autoZero"/>
        <c:auto val="1"/>
        <c:lblAlgn val="ctr"/>
        <c:lblOffset val="100"/>
        <c:noMultiLvlLbl val="0"/>
      </c:catAx>
      <c:valAx>
        <c:axId val="2567043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8924014"/>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2018年预算</c:v>
                </c:pt>
              </c:strCache>
            </c:strRef>
          </c:tx>
          <c:spPr>
            <a:solidFill>
              <a:schemeClr val="accent1">
                <a:tint val="100000"/>
                <a:shade val="100000"/>
                <a:hueMod val="100000"/>
                <a:satMod val="10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1">
                  <c:v>收入（万元）</c:v>
                </c:pt>
                <c:pt idx="2">
                  <c:v>支出（万元）</c:v>
                </c:pt>
              </c:strCache>
            </c:strRef>
          </c:cat>
          <c:val>
            <c:numRef>
              <c:f>Sheet1!$B$2:$B$4</c:f>
              <c:numCache>
                <c:formatCode>General</c:formatCode>
                <c:ptCount val="3"/>
                <c:pt idx="1">
                  <c:v>1957.49</c:v>
                </c:pt>
                <c:pt idx="2">
                  <c:v>1957.49</c:v>
                </c:pt>
              </c:numCache>
            </c:numRef>
          </c:val>
        </c:ser>
        <c:ser>
          <c:idx val="1"/>
          <c:order val="1"/>
          <c:tx>
            <c:strRef>
              <c:f>Sheet1!$C$1</c:f>
              <c:strCache>
                <c:ptCount val="1"/>
                <c:pt idx="0">
                  <c:v>2018年决算</c:v>
                </c:pt>
              </c:strCache>
            </c:strRef>
          </c:tx>
          <c:spPr>
            <a:solidFill>
              <a:schemeClr val="accent2">
                <a:tint val="100000"/>
                <a:shade val="100000"/>
                <a:hueMod val="100000"/>
                <a:satMod val="10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1">
                  <c:v>收入（万元）</c:v>
                </c:pt>
                <c:pt idx="2">
                  <c:v>支出（万元）</c:v>
                </c:pt>
              </c:strCache>
            </c:strRef>
          </c:cat>
          <c:val>
            <c:numRef>
              <c:f>Sheet1!$C$2:$C$4</c:f>
              <c:numCache>
                <c:formatCode>General</c:formatCode>
                <c:ptCount val="3"/>
                <c:pt idx="1">
                  <c:v>2165</c:v>
                </c:pt>
                <c:pt idx="2">
                  <c:v>2195.86</c:v>
                </c:pt>
              </c:numCache>
            </c:numRef>
          </c:val>
        </c:ser>
        <c:ser>
          <c:idx val="2"/>
          <c:order val="2"/>
          <c:tx>
            <c:strRef>
              <c:f>Sheet1!#REF!</c:f>
              <c:strCache>
                <c:ptCount val="1"/>
                <c:pt idx="0">
                  <c:v/>
                </c:pt>
              </c:strCache>
            </c:strRef>
          </c:tx>
          <c:spPr>
            <a:solidFill>
              <a:schemeClr val="accent3">
                <a:tint val="100000"/>
                <a:shade val="100000"/>
                <a:hueMod val="100000"/>
                <a:satMod val="10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1">
                  <c:v>收入（万元）</c:v>
                </c:pt>
                <c:pt idx="2">
                  <c:v>支出（万元）</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965893796"/>
        <c:axId val="936169190"/>
      </c:barChart>
      <c:catAx>
        <c:axId val="9658937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6169190"/>
        <c:crosses val="autoZero"/>
        <c:auto val="1"/>
        <c:lblAlgn val="ctr"/>
        <c:lblOffset val="100"/>
        <c:noMultiLvlLbl val="0"/>
      </c:catAx>
      <c:valAx>
        <c:axId val="93616919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5893796"/>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tint val="100000"/>
                  <a:shade val="100000"/>
                  <a:hueMod val="100000"/>
                  <a:satMod val="100000"/>
                </a:schemeClr>
              </a:solidFill>
              <a:ln w="19050">
                <a:solidFill>
                  <a:schemeClr val="lt1"/>
                </a:solidFill>
              </a:ln>
              <a:effectLst/>
            </c:spPr>
          </c:dPt>
          <c:dPt>
            <c:idx val="1"/>
            <c:bubble3D val="0"/>
            <c:spPr>
              <a:solidFill>
                <a:schemeClr val="accent2">
                  <a:tint val="100000"/>
                  <a:shade val="100000"/>
                  <a:hueMod val="100000"/>
                  <a:satMod val="100000"/>
                </a:schemeClr>
              </a:solidFill>
              <a:ln w="19050">
                <a:solidFill>
                  <a:schemeClr val="lt1"/>
                </a:solidFill>
              </a:ln>
              <a:effectLst/>
            </c:spPr>
          </c:dPt>
          <c:dPt>
            <c:idx val="2"/>
            <c:bubble3D val="0"/>
            <c:spPr>
              <a:solidFill>
                <a:schemeClr val="accent3">
                  <a:tint val="100000"/>
                  <a:shade val="100000"/>
                  <a:hueMod val="100000"/>
                  <a:satMod val="100000"/>
                </a:schemeClr>
              </a:solidFill>
              <a:ln w="19050">
                <a:solidFill>
                  <a:schemeClr val="lt1"/>
                </a:solidFill>
              </a:ln>
              <a:effectLst/>
            </c:spPr>
          </c:dPt>
          <c:dPt>
            <c:idx val="3"/>
            <c:bubble3D val="0"/>
            <c:spPr>
              <a:solidFill>
                <a:schemeClr val="accent4">
                  <a:tint val="100000"/>
                  <a:shade val="100000"/>
                  <a:hueMod val="100000"/>
                  <a:satMod val="10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公共安全（类）支出</c:v>
                </c:pt>
                <c:pt idx="1">
                  <c:v>社会保障和就业（类）支出</c:v>
                </c:pt>
                <c:pt idx="2">
                  <c:v>医疗卫生与计划生育（类）支出</c:v>
                </c:pt>
                <c:pt idx="3">
                  <c:v>住房保障（类）支出</c:v>
                </c:pt>
              </c:strCache>
            </c:strRef>
          </c:cat>
          <c:val>
            <c:numRef>
              <c:f>Sheet1!$B$2:$B$5</c:f>
              <c:numCache>
                <c:formatCode>0.00%</c:formatCode>
                <c:ptCount val="4"/>
                <c:pt idx="0">
                  <c:v>0.8898</c:v>
                </c:pt>
                <c:pt idx="1">
                  <c:v>0.0547</c:v>
                </c:pt>
                <c:pt idx="2">
                  <c:v>0.0195</c:v>
                </c:pt>
                <c:pt idx="3">
                  <c:v>0.036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凤舞九天">
      <a:fillStyleLst>
        <a:solidFill>
          <a:schemeClr val="phClr">
            <a:tint val="100000"/>
            <a:shade val="100000"/>
            <a:hueMod val="100000"/>
            <a:satMod val="100000"/>
          </a:schemeClr>
        </a:solidFill>
        <a:gradFill rotWithShape="1">
          <a:gsLst>
            <a:gs pos="0">
              <a:schemeClr val="phClr">
                <a:tint val="65000"/>
                <a:satMod val="180000"/>
              </a:schemeClr>
            </a:gs>
            <a:gs pos="50000">
              <a:schemeClr val="phClr">
                <a:tint val="40000"/>
                <a:satMod val="175000"/>
              </a:schemeClr>
            </a:gs>
            <a:gs pos="100000">
              <a:schemeClr val="phClr">
                <a:tint val="65000"/>
                <a:satMod val="180000"/>
              </a:schemeClr>
            </a:gs>
          </a:gsLst>
          <a:lin ang="0" scaled="1"/>
        </a:gradFill>
        <a:gradFill rotWithShape="1">
          <a:gsLst>
            <a:gs pos="0">
              <a:schemeClr val="phClr">
                <a:shade val="38000"/>
                <a:satMod val="150000"/>
              </a:schemeClr>
            </a:gs>
            <a:gs pos="50000">
              <a:schemeClr val="phClr">
                <a:shade val="100000"/>
                <a:satMod val="100000"/>
              </a:schemeClr>
            </a:gs>
            <a:gs pos="100000">
              <a:schemeClr val="phClr">
                <a:shade val="38000"/>
                <a:satMod val="150000"/>
              </a:schemeClr>
            </a:gs>
          </a:gsLst>
          <a:lin ang="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Exts>
</s:customData>
</file>

<file path=customXml/item2.xml><?xml version="1.0" encoding="utf-8"?>
<CoverPageProperties xmlns="http://schemas.microsoft.com/office/2006/coverPageProps">
  <PublishDate>2017</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customXml/itemProps3.xml><?xml version="1.0" encoding="utf-8"?>
<ds:datastoreItem xmlns:ds="http://schemas.openxmlformats.org/officeDocument/2006/customXml" ds:itemID="{1D59DA58-3CA2-4856-9A51-CD581AE1A76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1657</Words>
  <Characters>9446</Characters>
  <Lines>78</Lines>
  <Paragraphs>22</Paragraphs>
  <TotalTime>0</TotalTime>
  <ScaleCrop>false</ScaleCrop>
  <LinksUpToDate>false</LinksUpToDate>
  <CharactersWithSpaces>11081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2019-09-26T01:09:00Z</dcterms:created>
  <dc:creator>User</dc:creator>
  <cp:lastModifiedBy>Administrator</cp:lastModifiedBy>
  <cp:lastPrinted>2019-11-20T08:18:00Z</cp:lastPrinted>
  <dcterms:modified xsi:type="dcterms:W3CDTF">2023-11-06T07:18:35Z</dcterms:modified>
  <dc:subject>石家庄市xxx部门</dc:subject>
  <dc:title>2017年度部门决算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A7C0CC106B8841AB93955A12D437680A</vt:lpwstr>
  </property>
</Properties>
</file>