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line="600" w:lineRule="exact"/>
        <w:ind w:right="119"/>
        <w:jc w:val="right"/>
        <w:rPr>
          <w:rFonts w:ascii="Times New Roman" w:hAnsi="Times New Roman" w:eastAsia="华文楷体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项目序号</w:t>
      </w:r>
      <w:r>
        <w:rPr>
          <w:rFonts w:ascii="Times New Roman" w:hAnsi="Times New Roman" w:eastAsia="华文楷体"/>
          <w:bCs/>
          <w:sz w:val="18"/>
          <w:szCs w:val="18"/>
        </w:rPr>
        <w:t>：</w:t>
      </w:r>
      <w:r>
        <w:rPr>
          <w:rFonts w:hint="eastAsia" w:ascii="Times New Roman" w:hAnsi="Times New Roman" w:eastAsia="华文楷体"/>
          <w:bCs/>
          <w:sz w:val="18"/>
          <w:szCs w:val="18"/>
        </w:rPr>
        <w:t>340102222404200100008</w:t>
      </w:r>
    </w:p>
    <w:p>
      <w:pPr>
        <w:ind w:right="120"/>
        <w:jc w:val="right"/>
        <w:rPr>
          <w:rFonts w:ascii="Times New Roman" w:hAnsi="Times New Roman" w:eastAsia="华文楷体"/>
          <w:bCs/>
          <w:sz w:val="16"/>
          <w:szCs w:val="21"/>
        </w:rPr>
      </w:pPr>
    </w:p>
    <w:p>
      <w:pPr>
        <w:ind w:right="120"/>
        <w:jc w:val="right"/>
        <w:rPr>
          <w:rFonts w:ascii="Times New Roman" w:hAnsi="Times New Roman" w:eastAsia="华文楷体"/>
          <w:bCs/>
          <w:sz w:val="16"/>
          <w:szCs w:val="21"/>
        </w:rPr>
      </w:pPr>
    </w:p>
    <w:p>
      <w:pPr>
        <w:jc w:val="center"/>
        <w:rPr>
          <w:rFonts w:ascii="Times New Roman" w:hAnsi="Times New Roman" w:eastAsia="黑体"/>
          <w:bCs/>
          <w:sz w:val="44"/>
        </w:rPr>
      </w:pPr>
    </w:p>
    <w:p>
      <w:pPr>
        <w:jc w:val="center"/>
        <w:rPr>
          <w:rFonts w:ascii="Times New Roman" w:hAnsi="Times New Roman" w:eastAsia="黑体"/>
          <w:bCs/>
          <w:sz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bCs/>
          <w:sz w:val="44"/>
        </w:rPr>
      </w:pPr>
      <w:r>
        <w:rPr>
          <w:rFonts w:ascii="Times New Roman" w:hAnsi="Times New Roman" w:eastAsia="方正小标宋简体"/>
          <w:bCs/>
          <w:sz w:val="44"/>
        </w:rPr>
        <w:t>合肥市财政支出项目</w:t>
      </w:r>
      <w:r>
        <w:rPr>
          <w:rFonts w:hint="eastAsia" w:ascii="Times New Roman" w:hAnsi="Times New Roman" w:eastAsia="方正小标宋简体"/>
          <w:bCs/>
          <w:sz w:val="44"/>
        </w:rPr>
        <w:t>部门评价</w:t>
      </w:r>
      <w:r>
        <w:rPr>
          <w:rFonts w:ascii="Times New Roman" w:hAnsi="Times New Roman" w:eastAsia="方正小标宋简体"/>
          <w:bCs/>
          <w:sz w:val="44"/>
        </w:rPr>
        <w:t>报告</w:t>
      </w:r>
    </w:p>
    <w:p>
      <w:pPr>
        <w:jc w:val="center"/>
        <w:rPr>
          <w:rFonts w:ascii="Times New Roman" w:hAnsi="Times New Roman" w:eastAsia="楷体_GB2312"/>
          <w:b/>
          <w:bCs/>
          <w:sz w:val="32"/>
        </w:rPr>
      </w:pPr>
    </w:p>
    <w:p>
      <w:pPr>
        <w:spacing w:before="156" w:beforeLines="50" w:after="156" w:afterLines="50"/>
        <w:ind w:firstLine="614" w:firstLineChars="192"/>
        <w:rPr>
          <w:rFonts w:ascii="Times New Roman" w:hAnsi="Times New Roman" w:eastAsia="楷体_GB2312"/>
          <w:sz w:val="32"/>
        </w:rPr>
      </w:pPr>
    </w:p>
    <w:p>
      <w:pPr>
        <w:spacing w:before="156" w:beforeLines="50" w:after="156" w:afterLines="50"/>
        <w:ind w:left="2207" w:leftChars="289" w:hanging="1600" w:hangingChars="500"/>
        <w:rPr>
          <w:rFonts w:ascii="Times New Roman" w:hAnsi="Times New Roman" w:eastAsia="楷体_GB2312"/>
          <w:sz w:val="32"/>
          <w:u w:val="single"/>
        </w:rPr>
      </w:pPr>
      <w:r>
        <w:rPr>
          <w:rFonts w:ascii="Times New Roman" w:hAnsi="Times New Roman" w:eastAsia="楷体_GB2312"/>
          <w:sz w:val="32"/>
        </w:rPr>
        <w:t>项   目   名   称 ：</w:t>
      </w:r>
      <w:r>
        <w:rPr>
          <w:rFonts w:hint="eastAsia" w:ascii="Times New Roman" w:hAnsi="Times New Roman" w:eastAsia="楷体_GB2312"/>
          <w:sz w:val="32"/>
          <w:u w:val="single"/>
        </w:rPr>
        <w:t>办案业务经费</w:t>
      </w:r>
      <w:r>
        <w:rPr>
          <w:rFonts w:ascii="Times New Roman" w:hAnsi="Times New Roman" w:eastAsia="楷体_GB2312"/>
          <w:sz w:val="32"/>
          <w:u w:val="single"/>
        </w:rPr>
        <w:t xml:space="preserve">      </w:t>
      </w:r>
    </w:p>
    <w:p>
      <w:pPr>
        <w:spacing w:before="156" w:beforeLines="50" w:after="156" w:afterLines="50"/>
        <w:ind w:left="1887" w:leftChars="289" w:hanging="1280" w:hangingChars="400"/>
        <w:rPr>
          <w:rFonts w:ascii="Times New Roman" w:hAnsi="Times New Roman" w:eastAsia="楷体_GB2312"/>
          <w:sz w:val="32"/>
          <w:u w:val="single"/>
        </w:rPr>
      </w:pPr>
      <w:r>
        <w:rPr>
          <w:rFonts w:ascii="Times New Roman" w:hAnsi="Times New Roman" w:eastAsia="楷体_GB2312"/>
          <w:sz w:val="32"/>
        </w:rPr>
        <w:t>项   目   单   位 ：</w:t>
      </w:r>
      <w:r>
        <w:rPr>
          <w:rFonts w:hint="eastAsia" w:ascii="Times New Roman" w:hAnsi="Times New Roman" w:eastAsia="楷体_GB2312"/>
          <w:sz w:val="32"/>
          <w:u w:val="single"/>
          <w:lang w:val="en-US" w:eastAsia="zh-CN"/>
        </w:rPr>
        <w:t>瑶海区人民法院</w:t>
      </w:r>
      <w:r>
        <w:rPr>
          <w:rFonts w:ascii="Times New Roman" w:hAnsi="Times New Roman" w:eastAsia="楷体_GB2312"/>
          <w:sz w:val="32"/>
          <w:u w:val="single"/>
        </w:rPr>
        <w:t xml:space="preserve">     </w:t>
      </w:r>
    </w:p>
    <w:p>
      <w:pPr>
        <w:spacing w:before="156" w:beforeLines="50" w:after="156" w:afterLines="50"/>
        <w:ind w:left="1887" w:leftChars="289" w:hanging="1280" w:hangingChars="400"/>
        <w:rPr>
          <w:rFonts w:ascii="Times New Roman" w:hAnsi="Times New Roman" w:eastAsia="楷体_GB2312"/>
          <w:sz w:val="32"/>
          <w:u w:val="single"/>
        </w:rPr>
      </w:pPr>
      <w:r>
        <w:rPr>
          <w:rFonts w:ascii="Times New Roman" w:hAnsi="Times New Roman" w:eastAsia="楷体_GB2312"/>
          <w:sz w:val="32"/>
        </w:rPr>
        <w:t>项目责任人 （签字）：</w:t>
      </w:r>
      <w:r>
        <w:rPr>
          <w:rFonts w:ascii="Times New Roman" w:hAnsi="Times New Roman" w:eastAsia="楷体_GB2312"/>
          <w:sz w:val="32"/>
          <w:u w:val="single"/>
        </w:rPr>
        <w:t xml:space="preserve">                           </w:t>
      </w:r>
    </w:p>
    <w:p>
      <w:pPr>
        <w:spacing w:before="156" w:beforeLines="50" w:after="156" w:afterLines="50"/>
        <w:ind w:firstLine="614" w:firstLineChars="192"/>
        <w:rPr>
          <w:rFonts w:ascii="Times New Roman" w:hAnsi="Times New Roman" w:eastAsia="楷体_GB2312"/>
          <w:sz w:val="32"/>
          <w:u w:val="single"/>
        </w:rPr>
      </w:pPr>
      <w:r>
        <w:rPr>
          <w:rFonts w:ascii="Times New Roman" w:hAnsi="Times New Roman" w:eastAsia="楷体_GB2312"/>
          <w:sz w:val="32"/>
        </w:rPr>
        <w:t>主 管 部 门（盖章）：</w:t>
      </w:r>
      <w:r>
        <w:rPr>
          <w:rFonts w:ascii="Times New Roman" w:hAnsi="Times New Roman" w:eastAsia="楷体_GB2312"/>
          <w:sz w:val="32"/>
          <w:u w:val="single"/>
        </w:rPr>
        <w:t xml:space="preserve">                           </w:t>
      </w:r>
    </w:p>
    <w:p>
      <w:pPr>
        <w:spacing w:before="156" w:beforeLines="50" w:after="156" w:afterLines="50"/>
        <w:ind w:firstLine="614" w:firstLineChars="192"/>
        <w:rPr>
          <w:rFonts w:ascii="Times New Roman" w:hAnsi="Times New Roman" w:eastAsia="楷体_GB2312"/>
          <w:sz w:val="32"/>
        </w:rPr>
      </w:pPr>
    </w:p>
    <w:p>
      <w:pPr>
        <w:ind w:firstLine="614" w:firstLineChars="192"/>
        <w:jc w:val="center"/>
        <w:rPr>
          <w:rFonts w:ascii="Times New Roman" w:hAnsi="Times New Roman" w:eastAsia="楷体_GB2312"/>
          <w:sz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24"/>
        </w:rPr>
      </w:pPr>
      <w:r>
        <w:rPr>
          <w:rFonts w:ascii="Times New Roman" w:hAnsi="Times New Roman" w:eastAsia="楷体"/>
          <w:sz w:val="32"/>
        </w:rPr>
        <w:t xml:space="preserve">      202</w:t>
      </w:r>
      <w:r>
        <w:rPr>
          <w:rFonts w:hint="eastAsia" w:ascii="Times New Roman" w:hAnsi="Times New Roman" w:eastAsia="楷体"/>
          <w:sz w:val="32"/>
          <w:lang w:val="en-US" w:eastAsia="zh-CN"/>
        </w:rPr>
        <w:t>3</w:t>
      </w:r>
      <w:r>
        <w:rPr>
          <w:rFonts w:ascii="Times New Roman" w:hAnsi="Times New Roman" w:eastAsia="楷体_GB2312"/>
          <w:sz w:val="32"/>
        </w:rPr>
        <w:t>年</w:t>
      </w:r>
      <w:r>
        <w:rPr>
          <w:rFonts w:ascii="Times New Roman" w:hAnsi="Times New Roman" w:eastAsia="楷体"/>
          <w:sz w:val="32"/>
        </w:rPr>
        <w:t>1</w:t>
      </w:r>
      <w:r>
        <w:rPr>
          <w:rFonts w:ascii="Times New Roman" w:hAnsi="Times New Roman" w:eastAsia="楷体_GB2312"/>
          <w:sz w:val="32"/>
        </w:rPr>
        <w:t>月</w:t>
      </w:r>
      <w:r>
        <w:rPr>
          <w:rFonts w:ascii="Times New Roman" w:hAnsi="Times New Roman" w:eastAsia="楷体_GB2312"/>
          <w:sz w:val="32"/>
        </w:rPr>
        <w:br w:type="page"/>
      </w:r>
      <w:r>
        <w:rPr>
          <w:rFonts w:ascii="Times New Roman" w:hAnsi="Times New Roman" w:eastAsia="方正小标宋简体"/>
          <w:bCs/>
          <w:sz w:val="44"/>
          <w:szCs w:val="24"/>
        </w:rPr>
        <w:t>202</w:t>
      </w:r>
      <w:r>
        <w:rPr>
          <w:rFonts w:hint="eastAsia" w:ascii="Times New Roman" w:hAnsi="Times New Roman" w:eastAsia="方正小标宋简体"/>
          <w:bCs/>
          <w:sz w:val="44"/>
          <w:szCs w:val="24"/>
          <w:lang w:val="en-US" w:eastAsia="zh-CN"/>
        </w:rPr>
        <w:t>2</w:t>
      </w:r>
      <w:r>
        <w:rPr>
          <w:rFonts w:ascii="Times New Roman" w:hAnsi="Times New Roman" w:eastAsia="方正小标宋简体"/>
          <w:bCs/>
          <w:sz w:val="44"/>
          <w:szCs w:val="24"/>
        </w:rPr>
        <w:t>年</w:t>
      </w:r>
      <w:r>
        <w:rPr>
          <w:rFonts w:hint="eastAsia" w:ascii="Times New Roman" w:hAnsi="Times New Roman" w:eastAsia="方正小标宋简体"/>
          <w:bCs/>
          <w:sz w:val="44"/>
          <w:szCs w:val="24"/>
        </w:rPr>
        <w:t>办案业务经费</w:t>
      </w:r>
      <w:r>
        <w:rPr>
          <w:rFonts w:ascii="Times New Roman" w:hAnsi="Times New Roman" w:eastAsia="方正小标宋简体"/>
          <w:bCs/>
          <w:sz w:val="44"/>
          <w:szCs w:val="24"/>
        </w:rPr>
        <w:t>项目</w:t>
      </w:r>
      <w:r>
        <w:rPr>
          <w:rFonts w:hint="eastAsia" w:ascii="Times New Roman" w:hAnsi="Times New Roman" w:eastAsia="方正小标宋简体"/>
          <w:bCs/>
          <w:sz w:val="44"/>
          <w:szCs w:val="24"/>
        </w:rPr>
        <w:t>部门评价</w:t>
      </w:r>
      <w:r>
        <w:rPr>
          <w:rFonts w:ascii="Times New Roman" w:hAnsi="Times New Roman" w:eastAsia="方正小标宋简体"/>
          <w:bCs/>
          <w:sz w:val="44"/>
          <w:szCs w:val="24"/>
        </w:rPr>
        <w:t>报告</w:t>
      </w:r>
    </w:p>
    <w:p>
      <w:pPr>
        <w:spacing w:line="580" w:lineRule="exact"/>
        <w:jc w:val="center"/>
        <w:rPr>
          <w:rFonts w:ascii="Times New Roman" w:hAnsi="Times New Roman" w:eastAsia="仿宋_GB2312"/>
          <w:bCs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一、项目基本情况</w:t>
      </w:r>
    </w:p>
    <w:p>
      <w:pPr>
        <w:widowControl/>
        <w:spacing w:line="56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（一）项目概况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napToGrid w:val="0"/>
          <w:color w:val="00000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>1.项目立项情况</w:t>
      </w:r>
    </w:p>
    <w:p>
      <w:pPr>
        <w:spacing w:line="600" w:lineRule="exact"/>
        <w:ind w:firstLine="646" w:firstLineChars="202"/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</w:rPr>
        <w:t>为了给法院开展工作提供充足的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经费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</w:rPr>
        <w:t>保障力量，申请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办案业务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</w:rPr>
        <w:t>经费，具体包括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差旅费、邮电费、培训费、劳务费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</w:rPr>
        <w:t>等项目。该项目的设立主要为了开展工作所需。批复财政资金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155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</w:rPr>
        <w:t>万元，为经常性业务经费，实施周期为每年度，项目实施主管部门为法院本级。</w:t>
      </w:r>
    </w:p>
    <w:p>
      <w:pPr>
        <w:spacing w:line="560" w:lineRule="exact"/>
        <w:rPr>
          <w:rFonts w:ascii="Times New Roman" w:hAnsi="Times New Roman" w:eastAsia="仿宋_GB2312"/>
          <w:snapToGrid w:val="0"/>
          <w:color w:val="00000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>2.项目执行情况</w:t>
      </w:r>
    </w:p>
    <w:p>
      <w:pPr>
        <w:spacing w:line="560" w:lineRule="exac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项</w:t>
      </w:r>
      <w:r>
        <w:rPr>
          <w:rFonts w:ascii="Times New Roman" w:hAnsi="Times New Roman" w:eastAsia="仿宋_GB2312"/>
          <w:sz w:val="32"/>
          <w:szCs w:val="32"/>
        </w:rPr>
        <w:t>目进展及任务完成情况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:根据实际支付需求，按照保障时间进行支付</w:t>
      </w:r>
    </w:p>
    <w:p>
      <w:pPr>
        <w:spacing w:line="560" w:lineRule="exac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预算执行情况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:预算下达155万元，资金到账率100%，资金使用率151.45万元。</w:t>
      </w:r>
    </w:p>
    <w:p>
      <w:pPr>
        <w:spacing w:line="560" w:lineRule="exac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项目资金投入和使用情况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项目分别指标为培训费5万元；办公费60万元；差旅费60万元；劳务费30万元；维修费5万元；邮电费70万元。全部合计支出数1514544.43元</w:t>
      </w:r>
    </w:p>
    <w:p>
      <w:pPr>
        <w:widowControl/>
        <w:spacing w:line="56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（二）项目绩效目标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1.项目年度总体目标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维系本院正常办案经费支出，包括培训、办公、差旅、劳务、维修等日常后勤保障工作。提高全员办公效率。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2.总体目标完成情况</w:t>
      </w:r>
    </w:p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完成情况良好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二、绩效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评价</w:t>
      </w:r>
      <w:r>
        <w:rPr>
          <w:rFonts w:ascii="Times New Roman" w:hAnsi="Times New Roman" w:eastAsia="黑体"/>
          <w:color w:val="000000"/>
          <w:sz w:val="32"/>
          <w:szCs w:val="32"/>
        </w:rPr>
        <w:t>结论</w:t>
      </w:r>
    </w:p>
    <w:p>
      <w:pPr>
        <w:widowControl/>
        <w:spacing w:line="56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（一）总体结论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年度，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办案业务经费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项目通过申请财政资金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155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万元，共完成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支付各类办案经费保障功日常运转</w:t>
      </w:r>
      <w:r>
        <w:rPr>
          <w:rFonts w:ascii="Times New Roman" w:hAnsi="Times New Roman" w:eastAsia="仿宋_GB2312"/>
          <w:color w:val="000000"/>
          <w:sz w:val="32"/>
          <w:szCs w:val="32"/>
        </w:rPr>
        <w:t>等工作。具体包括：一是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坚持节约开支原则</w:t>
      </w:r>
      <w:r>
        <w:rPr>
          <w:rFonts w:ascii="Times New Roman" w:hAnsi="Times New Roman" w:eastAsia="仿宋_GB2312"/>
          <w:color w:val="000000"/>
          <w:sz w:val="32"/>
          <w:szCs w:val="32"/>
        </w:rPr>
        <w:t>；二是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提升办公办案效率</w:t>
      </w:r>
      <w:r>
        <w:rPr>
          <w:rFonts w:ascii="Times New Roman" w:hAnsi="Times New Roman" w:eastAsia="仿宋_GB2312"/>
          <w:color w:val="000000"/>
          <w:sz w:val="32"/>
          <w:szCs w:val="32"/>
        </w:rPr>
        <w:t>；三是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改善工作环境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（二）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</w:rPr>
        <w:t>评价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结果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办案业务经费</w:t>
      </w:r>
      <w:r>
        <w:rPr>
          <w:rFonts w:ascii="Times New Roman" w:hAnsi="Times New Roman" w:eastAsia="仿宋_GB2312"/>
          <w:sz w:val="32"/>
          <w:szCs w:val="32"/>
        </w:rPr>
        <w:t>项目</w:t>
      </w:r>
      <w:r>
        <w:rPr>
          <w:rFonts w:ascii="Times New Roman" w:hAnsi="Times New Roman" w:eastAsia="仿宋_GB2312"/>
          <w:color w:val="000000"/>
          <w:sz w:val="32"/>
          <w:szCs w:val="32"/>
        </w:rPr>
        <w:t>综合得分为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86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结果为“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良</w:t>
      </w:r>
      <w:r>
        <w:rPr>
          <w:rFonts w:ascii="Times New Roman" w:hAnsi="Times New Roman" w:eastAsia="仿宋_GB2312"/>
          <w:color w:val="000000"/>
          <w:sz w:val="32"/>
          <w:szCs w:val="32"/>
        </w:rPr>
        <w:t>”。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三、指标分析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办案业务经费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项目绩效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指标体系设置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预算执行率和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个一级指标，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000000"/>
          <w:sz w:val="32"/>
          <w:szCs w:val="32"/>
        </w:rPr>
        <w:t>个二级指标，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000000"/>
          <w:sz w:val="32"/>
          <w:szCs w:val="32"/>
        </w:rPr>
        <w:t>个三级指标，各项指标评分情况分析如下：</w:t>
      </w:r>
    </w:p>
    <w:p>
      <w:pPr>
        <w:spacing w:line="592" w:lineRule="exact"/>
        <w:ind w:firstLine="643" w:firstLineChars="200"/>
        <w:rPr>
          <w:rFonts w:ascii="Times New Roman" w:hAnsi="Times New Roman" w:eastAsia="楷体_GB2312"/>
          <w:b/>
          <w:bCs/>
          <w:sz w:val="32"/>
        </w:rPr>
      </w:pPr>
      <w:r>
        <w:rPr>
          <w:rFonts w:ascii="Times New Roman" w:hAnsi="Times New Roman" w:eastAsia="楷体_GB2312"/>
          <w:b/>
          <w:bCs/>
          <w:sz w:val="32"/>
        </w:rPr>
        <w:t>（一）预算执行率（满分10分，实得</w:t>
      </w:r>
      <w:r>
        <w:rPr>
          <w:rFonts w:hint="eastAsia" w:ascii="Times New Roman" w:hAnsi="Times New Roman" w:eastAsia="楷体_GB2312"/>
          <w:b/>
          <w:bCs/>
          <w:sz w:val="32"/>
          <w:lang w:val="en-US" w:eastAsia="zh-CN"/>
        </w:rPr>
        <w:t>9.77</w:t>
      </w:r>
      <w:r>
        <w:rPr>
          <w:rFonts w:ascii="Times New Roman" w:hAnsi="Times New Roman" w:eastAsia="楷体_GB2312"/>
          <w:b/>
          <w:bCs/>
          <w:sz w:val="32"/>
        </w:rPr>
        <w:t>分）</w:t>
      </w:r>
    </w:p>
    <w:p>
      <w:pPr>
        <w:spacing w:line="592" w:lineRule="exact"/>
        <w:ind w:right="-283"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办案业务经费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项目</w:t>
      </w:r>
      <w:r>
        <w:rPr>
          <w:rFonts w:ascii="Times New Roman" w:hAnsi="Times New Roman" w:eastAsia="仿宋_GB2312"/>
          <w:color w:val="000000"/>
          <w:sz w:val="32"/>
          <w:szCs w:val="32"/>
        </w:rPr>
        <w:t>全年预算安排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155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万元，全年执行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151.45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万元，预算执行率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97.71</w:t>
      </w:r>
      <w:r>
        <w:rPr>
          <w:rFonts w:ascii="Times New Roman" w:hAnsi="Times New Roman" w:eastAsia="仿宋_GB2312"/>
          <w:color w:val="000000"/>
          <w:sz w:val="32"/>
          <w:szCs w:val="32"/>
        </w:rPr>
        <w:t>%，得分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9.77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分。未完成的主要原因是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疫情导出培训费支出较少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二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）产出指标（满分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47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1.数量指标（满分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sz w:val="32"/>
          <w:szCs w:val="32"/>
        </w:rPr>
        <w:t>分，</w:t>
      </w:r>
      <w:r>
        <w:rPr>
          <w:rFonts w:ascii="Times New Roman" w:hAnsi="Times New Roman" w:eastAsia="仿宋_GB2312"/>
          <w:color w:val="000000"/>
          <w:sz w:val="32"/>
          <w:szCs w:val="32"/>
        </w:rPr>
        <w:t>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年度设定的数量指标为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预计</w:t>
      </w:r>
      <w:r>
        <w:rPr>
          <w:rFonts w:ascii="Times New Roman" w:hAnsi="Times New Roman" w:eastAsia="仿宋_GB2312"/>
          <w:color w:val="000000"/>
          <w:sz w:val="32"/>
          <w:szCs w:val="32"/>
        </w:rPr>
        <w:t>；年度设定的数量指标为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案件结案≥20000件</w:t>
      </w:r>
      <w:r>
        <w:rPr>
          <w:rFonts w:ascii="Times New Roman" w:hAnsi="Times New Roman" w:eastAsia="仿宋_GB2312"/>
          <w:color w:val="000000"/>
          <w:sz w:val="32"/>
          <w:szCs w:val="32"/>
        </w:rPr>
        <w:t>；截至202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年底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实际完成47193件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</w:rPr>
        <w:t>，实际完成率为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/>
          <w:color w:val="00000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2.时效指标（满分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年度设定的时效指标为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及时支付</w:t>
      </w:r>
      <w:r>
        <w:rPr>
          <w:rFonts w:ascii="Times New Roman" w:hAnsi="Times New Roman" w:eastAsia="仿宋_GB2312"/>
          <w:color w:val="000000"/>
          <w:sz w:val="32"/>
          <w:szCs w:val="32"/>
        </w:rPr>
        <w:t>；实际完成情况为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良好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3.质量指标（满分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年度设定的质量指标为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案件受理率85%</w:t>
      </w:r>
      <w:r>
        <w:rPr>
          <w:rFonts w:ascii="Times New Roman" w:hAnsi="Times New Roman" w:eastAsia="仿宋_GB2312"/>
          <w:color w:val="000000"/>
          <w:sz w:val="32"/>
          <w:szCs w:val="32"/>
        </w:rPr>
        <w:t>；实际完成情况为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完成良好</w:t>
      </w:r>
      <w:r>
        <w:rPr>
          <w:rFonts w:ascii="Times New Roman" w:hAnsi="Times New Roman" w:eastAsia="仿宋_GB2312"/>
          <w:color w:val="000000"/>
          <w:sz w:val="32"/>
          <w:szCs w:val="32"/>
        </w:rPr>
        <w:t>，得分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4.成本指标（满分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  <w:r>
        <w:rPr>
          <w:rFonts w:ascii="Times New Roman" w:hAnsi="Times New Roman" w:eastAsia="仿宋_GB2312"/>
          <w:sz w:val="32"/>
          <w:szCs w:val="32"/>
        </w:rPr>
        <w:tab/>
      </w:r>
    </w:p>
    <w:p>
      <w:pPr>
        <w:spacing w:line="600" w:lineRule="exact"/>
        <w:ind w:right="-283"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年度设定的成本指标为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控制预算数</w:t>
      </w:r>
      <w:r>
        <w:rPr>
          <w:rFonts w:ascii="Times New Roman" w:hAnsi="Times New Roman" w:eastAsia="仿宋_GB2312"/>
          <w:color w:val="000000"/>
          <w:sz w:val="32"/>
          <w:szCs w:val="32"/>
        </w:rPr>
        <w:t>；实际完成情况为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完成情况一般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</w:t>
      </w:r>
    </w:p>
    <w:p>
      <w:pPr>
        <w:widowControl/>
        <w:spacing w:line="600" w:lineRule="exact"/>
        <w:ind w:right="-283"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三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）效益指标（满分30分，实得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</w:rPr>
        <w:t>.社会效益指标（满分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.可持续影响指标（满分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right="-283" w:firstLine="643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四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满意度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指标（满分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满意度</w:t>
      </w:r>
      <w:r>
        <w:rPr>
          <w:rFonts w:ascii="Times New Roman" w:hAnsi="Times New Roman" w:eastAsia="仿宋_GB2312"/>
          <w:color w:val="000000"/>
          <w:sz w:val="32"/>
          <w:szCs w:val="32"/>
        </w:rPr>
        <w:t>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四、存在问题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通过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发现，202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办案业务经费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项目实施虽取得了一定的成效，但还存在一些问题和不足，主要表现在：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项目资金使用率有待提高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没有及时调整资金到需要的科目上。</w:t>
      </w:r>
      <w:r>
        <w:rPr>
          <w:rFonts w:ascii="Times New Roman" w:hAnsi="Times New Roman" w:eastAsia="黑体"/>
          <w:color w:val="000000"/>
          <w:sz w:val="32"/>
          <w:szCs w:val="32"/>
        </w:rPr>
        <w:t>五、意见和建议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为进一步提高专项资金使用效益，针对存在的问题，提出如下建议：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1、加快项目资金的使用进度，提高财政资金的使用效率: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、加强财务监控，对项目资金进行事前、事中、事后的检查分析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六、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评价</w:t>
      </w:r>
      <w:r>
        <w:rPr>
          <w:rFonts w:ascii="Times New Roman" w:hAnsi="Times New Roman" w:eastAsia="黑体"/>
          <w:color w:val="000000"/>
          <w:sz w:val="32"/>
          <w:szCs w:val="32"/>
        </w:rPr>
        <w:t>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财政部《财政支出绩效评价暂行管理办法》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财政部《推进预算绩效管理的指导意见》</w:t>
      </w:r>
      <w:bookmarkStart w:id="0" w:name="_GoBack"/>
      <w:bookmarkEnd w:id="0"/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财政部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预算绩效管理共性指标体系框架》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七、附件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1.项目支出绩效自评表（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从预算管理一体化系统导出</w:t>
      </w:r>
      <w:r>
        <w:rPr>
          <w:rFonts w:ascii="Times New Roman" w:hAnsi="Times New Roman" w:eastAsia="仿宋_GB2312"/>
          <w:color w:val="000000"/>
          <w:sz w:val="32"/>
          <w:szCs w:val="32"/>
        </w:rPr>
        <w:t>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2.服务对象满意度调查问卷统计分析表（有明确服务对象或受益人的项目）；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3.与报告相关的其他附件。</w:t>
      </w:r>
    </w:p>
    <w:p>
      <w:pPr>
        <w:widowControl/>
        <w:jc w:val="left"/>
      </w:pPr>
      <w:r>
        <w:rPr>
          <w:rFonts w:ascii="Times New Roman" w:hAnsi="Times New Roman" w:eastAsia="仿宋_GB2312"/>
          <w:color w:val="000000"/>
          <w:spacing w:val="-10"/>
          <w:sz w:val="32"/>
          <w:szCs w:val="32"/>
        </w:rPr>
        <w:br w:type="page"/>
      </w:r>
    </w:p>
    <w:p>
      <w:pPr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600" w:lineRule="exact"/>
        <w:rPr>
          <w:rFonts w:ascii="黑体" w:eastAsia="黑体"/>
          <w:bCs/>
          <w:sz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eastAsia="方正小标宋简体"/>
          <w:bCs/>
          <w:sz w:val="44"/>
        </w:rPr>
      </w:pPr>
      <w:r>
        <w:rPr>
          <w:rFonts w:hint="eastAsia" w:ascii="Times New Roman" w:eastAsia="方正小标宋简体"/>
          <w:bCs/>
          <w:sz w:val="44"/>
        </w:rPr>
        <w:t>部门绩效自评工作情况总结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bCs/>
          <w:sz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bCs/>
          <w:sz w:val="32"/>
        </w:rPr>
      </w:pPr>
      <w:r>
        <w:rPr>
          <w:rFonts w:hint="eastAsia" w:ascii="Times New Roman" w:hAnsi="Times New Roman" w:eastAsia="黑体"/>
          <w:bCs/>
          <w:sz w:val="32"/>
        </w:rPr>
        <w:t>一、自评工作开展情况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hint="eastAsia" w:ascii="Times New Roman" w:eastAsia="仿宋_GB2312"/>
          <w:color w:val="000000"/>
          <w:sz w:val="32"/>
          <w:szCs w:val="32"/>
        </w:rPr>
        <w:t>简要说明部门整体和项目支出自评的基本情况，包括部门年度主要工作任务、自评项目个数、预算总金额、项目内容等，部门自评工作的组织实施情况。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黑体"/>
          <w:color w:val="000000"/>
          <w:sz w:val="32"/>
          <w:szCs w:val="32"/>
        </w:rPr>
      </w:pPr>
      <w:r>
        <w:rPr>
          <w:rFonts w:hint="eastAsia" w:ascii="Times New Roman" w:eastAsia="黑体"/>
          <w:color w:val="000000"/>
          <w:sz w:val="32"/>
          <w:szCs w:val="32"/>
        </w:rPr>
        <w:t>二、自评结果概述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hint="eastAsia" w:ascii="Times New Roman" w:eastAsia="仿宋_GB2312"/>
          <w:color w:val="000000"/>
          <w:sz w:val="32"/>
          <w:szCs w:val="32"/>
        </w:rPr>
        <w:t>简要说明部门整体和项目支出自评结果总体情况，包括节支增效等方面的经验做法和创新举措、取得的主要成效和发现的主要问题。对绩效较差和绩效目标偏离较大的项目，总结分析相关原因，说明改进管理的具体措施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</w:rPr>
        <w:t>三</w:t>
      </w:r>
      <w:r>
        <w:rPr>
          <w:rFonts w:hint="eastAsia" w:ascii="Times New Roman" w:eastAsia="黑体"/>
          <w:color w:val="000000"/>
          <w:sz w:val="32"/>
          <w:szCs w:val="32"/>
        </w:rPr>
        <w:t>、下一步工作举措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简要说明自评工作打算、拟采取的改进措施和自评结果应用情况，包括自评结果通报反馈、与预算分配挂钩、调整完善政策和改进预算管理等。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eastAsia="黑体"/>
          <w:color w:val="000000"/>
          <w:sz w:val="32"/>
          <w:szCs w:val="32"/>
        </w:rPr>
        <w:t>四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、附件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部门认为其它需要作为绩效自评报告附件的有关文件、资料等</w:t>
      </w:r>
      <w:r>
        <w:rPr>
          <w:rFonts w:hint="eastAsia" w:ascii="Times New Roman" w:eastAsia="仿宋_GB2312"/>
          <w:color w:val="00000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ZTUxMDM4Y2MwMTFmZmNlOGIzZjUyODJmOWJjMWYifQ=="/>
  </w:docVars>
  <w:rsids>
    <w:rsidRoot w:val="75FD6B24"/>
    <w:rsid w:val="559A56EC"/>
    <w:rsid w:val="58E75153"/>
    <w:rsid w:val="5A2E0FA6"/>
    <w:rsid w:val="60B66CB8"/>
    <w:rsid w:val="75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1766</Words>
  <Characters>1915</Characters>
  <Lines>0</Lines>
  <Paragraphs>0</Paragraphs>
  <TotalTime>0</TotalTime>
  <ScaleCrop>false</ScaleCrop>
  <LinksUpToDate>false</LinksUpToDate>
  <CharactersWithSpaces>2014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2023-03-14T06:46:00Z</dcterms:created>
  <dc:creator>草莓biu</dc:creator>
  <cp:lastModifiedBy>草莓biu</cp:lastModifiedBy>
  <dcterms:modified xsi:type="dcterms:W3CDTF">2023-03-15T02:12:17Z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49556FA9280C49C3A34498BB5FF7D512</vt:lpwstr>
  </property>
</Properties>
</file>