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line="600" w:lineRule="exact"/>
        <w:ind w:right="119"/>
        <w:jc w:val="right"/>
        <w:rPr>
          <w:rFonts w:ascii="Times New Roman" w:hAnsi="Times New Roman" w:eastAsia="华文楷体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项目序号</w:t>
      </w:r>
      <w:r>
        <w:rPr>
          <w:rFonts w:ascii="Times New Roman" w:hAnsi="Times New Roman" w:eastAsia="华文楷体"/>
          <w:bCs/>
          <w:sz w:val="18"/>
          <w:szCs w:val="18"/>
        </w:rPr>
        <w:t>：</w:t>
      </w:r>
      <w:r>
        <w:rPr>
          <w:rFonts w:hint="eastAsia" w:ascii="Times New Roman" w:hAnsi="Times New Roman" w:eastAsia="华文楷体"/>
          <w:bCs/>
          <w:sz w:val="18"/>
          <w:szCs w:val="18"/>
        </w:rPr>
        <w:t>340102222404200100012</w:t>
      </w:r>
    </w:p>
    <w:p>
      <w:pPr>
        <w:ind w:right="120"/>
        <w:jc w:val="right"/>
        <w:rPr>
          <w:rFonts w:ascii="Times New Roman" w:hAnsi="Times New Roman" w:eastAsia="华文楷体"/>
          <w:bCs/>
          <w:sz w:val="16"/>
          <w:szCs w:val="21"/>
        </w:rPr>
      </w:pPr>
    </w:p>
    <w:p>
      <w:pPr>
        <w:ind w:right="120"/>
        <w:jc w:val="right"/>
        <w:rPr>
          <w:rFonts w:ascii="Times New Roman" w:hAnsi="Times New Roman" w:eastAsia="华文楷体"/>
          <w:bCs/>
          <w:sz w:val="16"/>
          <w:szCs w:val="21"/>
        </w:rPr>
      </w:pPr>
    </w:p>
    <w:p>
      <w:pPr>
        <w:jc w:val="center"/>
        <w:rPr>
          <w:rFonts w:ascii="Times New Roman" w:hAnsi="Times New Roman" w:eastAsia="黑体"/>
          <w:bCs/>
          <w:sz w:val="44"/>
        </w:rPr>
      </w:pPr>
    </w:p>
    <w:p>
      <w:pPr>
        <w:jc w:val="center"/>
        <w:rPr>
          <w:rFonts w:ascii="Times New Roman" w:hAnsi="Times New Roman" w:eastAsia="黑体"/>
          <w:bCs/>
          <w:sz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bCs/>
          <w:sz w:val="44"/>
        </w:rPr>
      </w:pPr>
      <w:r>
        <w:rPr>
          <w:rFonts w:ascii="Times New Roman" w:hAnsi="Times New Roman" w:eastAsia="方正小标宋简体"/>
          <w:bCs/>
          <w:sz w:val="44"/>
        </w:rPr>
        <w:t>合肥市财政支出项目</w:t>
      </w:r>
      <w:r>
        <w:rPr>
          <w:rFonts w:hint="eastAsia" w:ascii="Times New Roman" w:hAnsi="Times New Roman" w:eastAsia="方正小标宋简体"/>
          <w:bCs/>
          <w:sz w:val="44"/>
        </w:rPr>
        <w:t>部门评价</w:t>
      </w:r>
      <w:r>
        <w:rPr>
          <w:rFonts w:ascii="Times New Roman" w:hAnsi="Times New Roman" w:eastAsia="方正小标宋简体"/>
          <w:bCs/>
          <w:sz w:val="44"/>
        </w:rPr>
        <w:t>报告</w:t>
      </w:r>
    </w:p>
    <w:p>
      <w:pPr>
        <w:jc w:val="center"/>
        <w:rPr>
          <w:rFonts w:ascii="Times New Roman" w:hAnsi="Times New Roman" w:eastAsia="楷体_GB2312"/>
          <w:b/>
          <w:bCs/>
          <w:sz w:val="32"/>
        </w:rPr>
      </w:pPr>
    </w:p>
    <w:p>
      <w:pPr>
        <w:spacing w:before="156" w:beforeLines="50" w:after="156" w:afterLines="50"/>
        <w:ind w:firstLine="614" w:firstLineChars="192"/>
        <w:rPr>
          <w:rFonts w:ascii="Times New Roman" w:hAnsi="Times New Roman" w:eastAsia="楷体_GB2312"/>
          <w:sz w:val="32"/>
        </w:rPr>
      </w:pPr>
    </w:p>
    <w:p>
      <w:pPr>
        <w:spacing w:before="156" w:beforeLines="50" w:after="156" w:afterLines="50"/>
        <w:ind w:left="2207" w:leftChars="289" w:hanging="1600" w:hangingChars="500"/>
        <w:rPr>
          <w:rFonts w:ascii="Times New Roman" w:hAnsi="Times New Roman" w:eastAsia="楷体_GB2312"/>
          <w:sz w:val="32"/>
          <w:u w:val="single"/>
        </w:rPr>
      </w:pPr>
      <w:r>
        <w:rPr>
          <w:rFonts w:ascii="Times New Roman" w:hAnsi="Times New Roman" w:eastAsia="楷体_GB2312"/>
          <w:sz w:val="32"/>
        </w:rPr>
        <w:t>项   目   名   称 ：</w:t>
      </w:r>
      <w:r>
        <w:rPr>
          <w:rFonts w:hint="eastAsia" w:ascii="Times New Roman" w:hAnsi="Times New Roman" w:eastAsia="楷体_GB2312"/>
          <w:sz w:val="32"/>
          <w:u w:val="single"/>
        </w:rPr>
        <w:t>送达司法辅助事务服务外包</w:t>
      </w:r>
      <w:r>
        <w:rPr>
          <w:rFonts w:ascii="Times New Roman" w:hAnsi="Times New Roman" w:eastAsia="楷体_GB2312"/>
          <w:sz w:val="32"/>
          <w:u w:val="single"/>
        </w:rPr>
        <w:t xml:space="preserve"> </w:t>
      </w:r>
    </w:p>
    <w:p>
      <w:pPr>
        <w:spacing w:before="156" w:beforeLines="50" w:after="156" w:afterLines="50"/>
        <w:ind w:left="1887" w:leftChars="289" w:hanging="1280" w:hangingChars="400"/>
        <w:rPr>
          <w:rFonts w:ascii="Times New Roman" w:hAnsi="Times New Roman" w:eastAsia="楷体_GB2312"/>
          <w:sz w:val="32"/>
          <w:u w:val="single"/>
        </w:rPr>
      </w:pPr>
      <w:r>
        <w:rPr>
          <w:rFonts w:ascii="Times New Roman" w:hAnsi="Times New Roman" w:eastAsia="楷体_GB2312"/>
          <w:sz w:val="32"/>
        </w:rPr>
        <w:t>项   目   单   位 ：</w:t>
      </w:r>
      <w:r>
        <w:rPr>
          <w:rFonts w:ascii="Times New Roman" w:hAnsi="Times New Roman" w:eastAsia="楷体_GB2312"/>
          <w:sz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u w:val="single"/>
          <w:lang w:val="en-US" w:eastAsia="zh-CN"/>
        </w:rPr>
        <w:t>瑶海区人民</w:t>
      </w:r>
      <w:bookmarkStart w:id="0" w:name="_GoBack"/>
      <w:bookmarkEnd w:id="0"/>
      <w:r>
        <w:rPr>
          <w:rFonts w:hint="eastAsia" w:ascii="Times New Roman" w:hAnsi="Times New Roman" w:eastAsia="楷体_GB2312"/>
          <w:sz w:val="32"/>
          <w:u w:val="single"/>
          <w:lang w:val="en-US" w:eastAsia="zh-CN"/>
        </w:rPr>
        <w:t>法院</w:t>
      </w:r>
      <w:r>
        <w:rPr>
          <w:rFonts w:ascii="Times New Roman" w:hAnsi="Times New Roman" w:eastAsia="楷体_GB2312"/>
          <w:sz w:val="32"/>
          <w:u w:val="single"/>
        </w:rPr>
        <w:t xml:space="preserve">          </w:t>
      </w:r>
    </w:p>
    <w:p>
      <w:pPr>
        <w:spacing w:before="156" w:beforeLines="50" w:after="156" w:afterLines="50"/>
        <w:ind w:left="1887" w:leftChars="289" w:hanging="1280" w:hangingChars="400"/>
        <w:rPr>
          <w:rFonts w:ascii="Times New Roman" w:hAnsi="Times New Roman" w:eastAsia="楷体_GB2312"/>
          <w:sz w:val="32"/>
          <w:u w:val="single"/>
        </w:rPr>
      </w:pPr>
      <w:r>
        <w:rPr>
          <w:rFonts w:ascii="Times New Roman" w:hAnsi="Times New Roman" w:eastAsia="楷体_GB2312"/>
          <w:sz w:val="32"/>
        </w:rPr>
        <w:t>项目责任人 （签字）：</w:t>
      </w:r>
      <w:r>
        <w:rPr>
          <w:rFonts w:ascii="Times New Roman" w:hAnsi="Times New Roman" w:eastAsia="楷体_GB2312"/>
          <w:sz w:val="32"/>
          <w:u w:val="single"/>
        </w:rPr>
        <w:t xml:space="preserve">                           </w:t>
      </w:r>
    </w:p>
    <w:p>
      <w:pPr>
        <w:spacing w:before="156" w:beforeLines="50" w:after="156" w:afterLines="50"/>
        <w:ind w:firstLine="614" w:firstLineChars="192"/>
        <w:rPr>
          <w:rFonts w:ascii="Times New Roman" w:hAnsi="Times New Roman" w:eastAsia="楷体_GB2312"/>
          <w:sz w:val="32"/>
          <w:u w:val="single"/>
        </w:rPr>
      </w:pPr>
      <w:r>
        <w:rPr>
          <w:rFonts w:ascii="Times New Roman" w:hAnsi="Times New Roman" w:eastAsia="楷体_GB2312"/>
          <w:sz w:val="32"/>
        </w:rPr>
        <w:t>主 管 部 门（盖章）：</w:t>
      </w:r>
      <w:r>
        <w:rPr>
          <w:rFonts w:ascii="Times New Roman" w:hAnsi="Times New Roman" w:eastAsia="楷体_GB2312"/>
          <w:sz w:val="32"/>
          <w:u w:val="single"/>
        </w:rPr>
        <w:t xml:space="preserve">                           </w:t>
      </w:r>
    </w:p>
    <w:p>
      <w:pPr>
        <w:spacing w:before="156" w:beforeLines="50" w:after="156" w:afterLines="50"/>
        <w:ind w:firstLine="614" w:firstLineChars="192"/>
        <w:rPr>
          <w:rFonts w:ascii="Times New Roman" w:hAnsi="Times New Roman" w:eastAsia="楷体_GB2312"/>
          <w:sz w:val="32"/>
        </w:rPr>
      </w:pPr>
    </w:p>
    <w:p>
      <w:pPr>
        <w:ind w:firstLine="614" w:firstLineChars="192"/>
        <w:jc w:val="center"/>
        <w:rPr>
          <w:rFonts w:ascii="Times New Roman" w:hAnsi="Times New Roman" w:eastAsia="楷体_GB2312"/>
          <w:sz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24"/>
        </w:rPr>
      </w:pPr>
      <w:r>
        <w:rPr>
          <w:rFonts w:ascii="Times New Roman" w:hAnsi="Times New Roman" w:eastAsia="楷体"/>
          <w:sz w:val="32"/>
        </w:rPr>
        <w:t xml:space="preserve">      202</w:t>
      </w:r>
      <w:r>
        <w:rPr>
          <w:rFonts w:hint="eastAsia" w:ascii="Times New Roman" w:hAnsi="Times New Roman" w:eastAsia="楷体"/>
          <w:sz w:val="32"/>
          <w:lang w:val="en-US" w:eastAsia="zh-CN"/>
        </w:rPr>
        <w:t>3</w:t>
      </w:r>
      <w:r>
        <w:rPr>
          <w:rFonts w:ascii="Times New Roman" w:hAnsi="Times New Roman" w:eastAsia="楷体_GB2312"/>
          <w:sz w:val="32"/>
        </w:rPr>
        <w:t>年</w:t>
      </w:r>
      <w:r>
        <w:rPr>
          <w:rFonts w:ascii="Times New Roman" w:hAnsi="Times New Roman" w:eastAsia="楷体"/>
          <w:sz w:val="32"/>
        </w:rPr>
        <w:t>1</w:t>
      </w:r>
      <w:r>
        <w:rPr>
          <w:rFonts w:ascii="Times New Roman" w:hAnsi="Times New Roman" w:eastAsia="楷体_GB2312"/>
          <w:sz w:val="32"/>
        </w:rPr>
        <w:t>月</w:t>
      </w:r>
      <w:r>
        <w:rPr>
          <w:rFonts w:ascii="Times New Roman" w:hAnsi="Times New Roman" w:eastAsia="楷体_GB2312"/>
          <w:sz w:val="32"/>
        </w:rPr>
        <w:br w:type="page"/>
      </w:r>
      <w:r>
        <w:rPr>
          <w:rFonts w:ascii="Times New Roman" w:hAnsi="Times New Roman" w:eastAsia="方正小标宋简体"/>
          <w:bCs/>
          <w:sz w:val="44"/>
          <w:szCs w:val="24"/>
        </w:rPr>
        <w:t>202</w:t>
      </w:r>
      <w:r>
        <w:rPr>
          <w:rFonts w:hint="eastAsia" w:ascii="Times New Roman" w:hAnsi="Times New Roman" w:eastAsia="方正小标宋简体"/>
          <w:bCs/>
          <w:sz w:val="44"/>
          <w:szCs w:val="24"/>
          <w:lang w:val="en-US" w:eastAsia="zh-CN"/>
        </w:rPr>
        <w:t>2</w:t>
      </w:r>
      <w:r>
        <w:rPr>
          <w:rFonts w:ascii="Times New Roman" w:hAnsi="Times New Roman" w:eastAsia="方正小标宋简体"/>
          <w:bCs/>
          <w:sz w:val="44"/>
          <w:szCs w:val="24"/>
        </w:rPr>
        <w:t>年</w:t>
      </w:r>
      <w:r>
        <w:rPr>
          <w:rFonts w:hint="eastAsia" w:ascii="Times New Roman" w:hAnsi="Times New Roman" w:eastAsia="方正小标宋简体"/>
          <w:bCs/>
          <w:sz w:val="44"/>
          <w:szCs w:val="24"/>
        </w:rPr>
        <w:t>送达司法辅助事务服务外包</w:t>
      </w:r>
      <w:r>
        <w:rPr>
          <w:rFonts w:ascii="Times New Roman" w:hAnsi="Times New Roman" w:eastAsia="方正小标宋简体"/>
          <w:bCs/>
          <w:sz w:val="44"/>
          <w:szCs w:val="24"/>
        </w:rPr>
        <w:t>项目</w:t>
      </w:r>
      <w:r>
        <w:rPr>
          <w:rFonts w:hint="eastAsia" w:ascii="Times New Roman" w:hAnsi="Times New Roman" w:eastAsia="方正小标宋简体"/>
          <w:bCs/>
          <w:sz w:val="44"/>
          <w:szCs w:val="24"/>
        </w:rPr>
        <w:t>部门评价</w:t>
      </w:r>
      <w:r>
        <w:rPr>
          <w:rFonts w:ascii="Times New Roman" w:hAnsi="Times New Roman" w:eastAsia="方正小标宋简体"/>
          <w:bCs/>
          <w:sz w:val="44"/>
          <w:szCs w:val="24"/>
        </w:rPr>
        <w:t>报告</w:t>
      </w:r>
    </w:p>
    <w:p>
      <w:pPr>
        <w:spacing w:line="580" w:lineRule="exact"/>
        <w:jc w:val="center"/>
        <w:rPr>
          <w:rFonts w:ascii="Times New Roman" w:hAnsi="Times New Roman" w:eastAsia="仿宋_GB2312"/>
          <w:bCs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一、项目基本情况</w:t>
      </w:r>
    </w:p>
    <w:p>
      <w:pPr>
        <w:widowControl/>
        <w:spacing w:line="560" w:lineRule="exact"/>
        <w:ind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（一）项目概况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snapToGrid w:val="0"/>
          <w:color w:val="00000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sz w:val="32"/>
          <w:szCs w:val="32"/>
        </w:rPr>
        <w:t>1.项目立项情况</w:t>
      </w:r>
    </w:p>
    <w:p>
      <w:pPr>
        <w:spacing w:line="600" w:lineRule="exact"/>
        <w:ind w:firstLine="646" w:firstLineChars="202"/>
        <w:rPr>
          <w:rFonts w:ascii="Times New Roman" w:hAnsi="Times New Roman" w:eastAsia="仿宋_GB2312" w:cs="Times New Roman"/>
          <w:snapToGrid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000000"/>
          <w:sz w:val="32"/>
          <w:szCs w:val="32"/>
          <w:lang w:val="en-US" w:eastAsia="zh-CN"/>
        </w:rPr>
        <w:t>委托中国邮政提供的服务成立司法辅助集约化中心，将法官立案、审理、归档全流程中繁杂的辅助性事务剥离出来，统一交由中国邮政司法辅助集约化中心，改变传统法官助理书记员的团队审判模式，构建以法官中心，司法辅助工作集约化管理审判模式。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</w:rPr>
        <w:t>批复财政资金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>300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</w:rPr>
        <w:t>万元，为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>专项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</w:rPr>
        <w:t>性业务经费，实施周期为每年度，项目实施主管部门为法院本级。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/>
          <w:snapToGrid w:val="0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ind w:firstLine="646" w:firstLineChars="202"/>
        <w:rPr>
          <w:rFonts w:ascii="Times New Roman" w:hAnsi="Times New Roman" w:eastAsia="仿宋_GB2312"/>
          <w:snapToGrid w:val="0"/>
          <w:color w:val="00000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sz w:val="32"/>
          <w:szCs w:val="32"/>
        </w:rPr>
        <w:t>2.项目执行情况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项</w:t>
      </w:r>
      <w:r>
        <w:rPr>
          <w:rFonts w:ascii="Times New Roman" w:hAnsi="Times New Roman" w:eastAsia="仿宋_GB2312"/>
          <w:sz w:val="32"/>
          <w:szCs w:val="32"/>
        </w:rPr>
        <w:t>目进展及任务完成情况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根据实际支付需求，按照保障时间进行支付</w:t>
      </w:r>
    </w:p>
    <w:p>
      <w:pPr>
        <w:spacing w:line="560" w:lineRule="exac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预算执行情况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预算下达300万元，资金到账率100%，资金使用率24.97%</w:t>
      </w:r>
    </w:p>
    <w:p>
      <w:pPr>
        <w:spacing w:line="560" w:lineRule="exac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项目资金投入和使用情况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资金投入支付季度。</w:t>
      </w:r>
    </w:p>
    <w:p>
      <w:pPr>
        <w:widowControl/>
        <w:spacing w:line="560" w:lineRule="exact"/>
        <w:ind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（二）项目绩效目标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1.项目年度总体目标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运用外包司法辅助减轻院内工作，加强工作效率。</w:t>
      </w:r>
    </w:p>
    <w:p>
      <w:pPr>
        <w:numPr>
          <w:ilvl w:val="0"/>
          <w:numId w:val="1"/>
        </w:numPr>
        <w:spacing w:line="560" w:lineRule="exact"/>
        <w:ind w:firstLine="960" w:firstLineChars="3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总体目标完成情况</w:t>
      </w:r>
    </w:p>
    <w:p>
      <w:pPr>
        <w:numPr>
          <w:ilvl w:val="0"/>
          <w:numId w:val="0"/>
        </w:numPr>
        <w:spacing w:line="560" w:lineRule="exact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完成情况良好</w:t>
      </w:r>
    </w:p>
    <w:p>
      <w:pPr>
        <w:numPr>
          <w:ilvl w:val="0"/>
          <w:numId w:val="0"/>
        </w:numPr>
        <w:spacing w:line="56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二、绩效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评价</w:t>
      </w:r>
      <w:r>
        <w:rPr>
          <w:rFonts w:ascii="Times New Roman" w:hAnsi="Times New Roman" w:eastAsia="黑体"/>
          <w:color w:val="000000"/>
          <w:sz w:val="32"/>
          <w:szCs w:val="32"/>
        </w:rPr>
        <w:t>结论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widowControl/>
        <w:spacing w:line="560" w:lineRule="exact"/>
        <w:ind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（一）总体结论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年度，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送达司法辅助事务服务外包</w:t>
      </w:r>
      <w:r>
        <w:rPr>
          <w:rFonts w:ascii="Times New Roman" w:hAnsi="Times New Roman" w:eastAsia="仿宋_GB2312"/>
          <w:color w:val="000000"/>
          <w:sz w:val="32"/>
          <w:szCs w:val="32"/>
        </w:rPr>
        <w:t>项目通过申请财政资金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300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万元，共完成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辅助司法事务</w:t>
      </w:r>
      <w:r>
        <w:rPr>
          <w:rFonts w:ascii="Times New Roman" w:hAnsi="Times New Roman" w:eastAsia="仿宋_GB2312"/>
          <w:color w:val="000000"/>
          <w:sz w:val="32"/>
          <w:szCs w:val="32"/>
        </w:rPr>
        <w:t>等工作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。</w:t>
      </w:r>
    </w:p>
    <w:p>
      <w:pPr>
        <w:widowControl/>
        <w:spacing w:line="600" w:lineRule="exact"/>
        <w:ind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（二）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</w:rPr>
        <w:t>评价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结果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经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评价</w:t>
      </w:r>
      <w:r>
        <w:rPr>
          <w:rFonts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年度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送达司法辅助事务服务外包</w:t>
      </w:r>
      <w:r>
        <w:rPr>
          <w:rFonts w:ascii="Times New Roman" w:hAnsi="Times New Roman" w:eastAsia="仿宋_GB2312"/>
          <w:sz w:val="32"/>
          <w:szCs w:val="32"/>
        </w:rPr>
        <w:t>项目</w:t>
      </w:r>
      <w:r>
        <w:rPr>
          <w:rFonts w:ascii="Times New Roman" w:hAnsi="Times New Roman" w:eastAsia="仿宋_GB2312"/>
          <w:color w:val="000000"/>
          <w:sz w:val="32"/>
          <w:szCs w:val="32"/>
        </w:rPr>
        <w:t>综合得分为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85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评价</w:t>
      </w:r>
      <w:r>
        <w:rPr>
          <w:rFonts w:ascii="Times New Roman" w:hAnsi="Times New Roman" w:eastAsia="仿宋_GB2312"/>
          <w:color w:val="000000"/>
          <w:sz w:val="32"/>
          <w:szCs w:val="32"/>
        </w:rPr>
        <w:t>结果为“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良</w:t>
      </w:r>
      <w:r>
        <w:rPr>
          <w:rFonts w:ascii="Times New Roman" w:hAnsi="Times New Roman" w:eastAsia="仿宋_GB2312"/>
          <w:color w:val="000000"/>
          <w:sz w:val="32"/>
          <w:szCs w:val="32"/>
        </w:rPr>
        <w:t>”。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三、指标分析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年度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送达司法辅助事务服务外包</w:t>
      </w:r>
      <w:r>
        <w:rPr>
          <w:rFonts w:ascii="Times New Roman" w:hAnsi="Times New Roman" w:eastAsia="仿宋_GB2312"/>
          <w:color w:val="000000"/>
          <w:sz w:val="32"/>
          <w:szCs w:val="32"/>
        </w:rPr>
        <w:t>项目绩效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评价</w:t>
      </w:r>
      <w:r>
        <w:rPr>
          <w:rFonts w:ascii="Times New Roman" w:hAnsi="Times New Roman" w:eastAsia="仿宋_GB2312"/>
          <w:color w:val="000000"/>
          <w:sz w:val="32"/>
          <w:szCs w:val="32"/>
        </w:rPr>
        <w:t>指标体系设置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预算执行率和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>个一级指标，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color w:val="000000"/>
          <w:sz w:val="32"/>
          <w:szCs w:val="32"/>
        </w:rPr>
        <w:t>个二级指标，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color w:val="000000"/>
          <w:sz w:val="32"/>
          <w:szCs w:val="32"/>
        </w:rPr>
        <w:t>个三级指标，各项指标评分情况分析如下：</w:t>
      </w:r>
    </w:p>
    <w:p>
      <w:pPr>
        <w:spacing w:line="592" w:lineRule="exact"/>
        <w:ind w:firstLine="643" w:firstLineChars="200"/>
        <w:rPr>
          <w:rFonts w:ascii="Times New Roman" w:hAnsi="Times New Roman" w:eastAsia="楷体_GB2312"/>
          <w:b/>
          <w:bCs/>
          <w:sz w:val="32"/>
        </w:rPr>
      </w:pPr>
      <w:r>
        <w:rPr>
          <w:rFonts w:ascii="Times New Roman" w:hAnsi="Times New Roman" w:eastAsia="楷体_GB2312"/>
          <w:b/>
          <w:bCs/>
          <w:sz w:val="32"/>
        </w:rPr>
        <w:t>（一）预算执行率（满分10分，实得</w:t>
      </w:r>
      <w:r>
        <w:rPr>
          <w:rFonts w:hint="eastAsia" w:ascii="Times New Roman" w:hAnsi="Times New Roman" w:eastAsia="楷体_GB2312"/>
          <w:b/>
          <w:bCs/>
          <w:sz w:val="32"/>
          <w:lang w:val="en-US" w:eastAsia="zh-CN"/>
        </w:rPr>
        <w:t>10</w:t>
      </w:r>
      <w:r>
        <w:rPr>
          <w:rFonts w:ascii="Times New Roman" w:hAnsi="Times New Roman" w:eastAsia="楷体_GB2312"/>
          <w:b/>
          <w:bCs/>
          <w:sz w:val="32"/>
        </w:rPr>
        <w:t>分）</w:t>
      </w:r>
    </w:p>
    <w:p>
      <w:pPr>
        <w:spacing w:line="592" w:lineRule="exact"/>
        <w:ind w:right="-283"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送达司法辅助事务服务外包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项目</w:t>
      </w:r>
      <w:r>
        <w:rPr>
          <w:rFonts w:ascii="Times New Roman" w:hAnsi="Times New Roman" w:eastAsia="仿宋_GB2312"/>
          <w:color w:val="000000"/>
          <w:sz w:val="32"/>
          <w:szCs w:val="32"/>
        </w:rPr>
        <w:t>全年预算安排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300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万元，全年执行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74.9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万元，预算执行率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24.97</w:t>
      </w:r>
      <w:r>
        <w:rPr>
          <w:rFonts w:ascii="Times New Roman" w:hAnsi="Times New Roman" w:eastAsia="仿宋_GB2312"/>
          <w:color w:val="000000"/>
          <w:sz w:val="32"/>
          <w:szCs w:val="32"/>
        </w:rPr>
        <w:t>%，得分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2.5</w:t>
      </w:r>
      <w:r>
        <w:rPr>
          <w:rFonts w:ascii="Times New Roman" w:hAnsi="Times New Roman" w:eastAsia="仿宋_GB2312"/>
          <w:color w:val="000000"/>
          <w:sz w:val="32"/>
          <w:szCs w:val="32"/>
        </w:rPr>
        <w:t>分。未完成的主要原因是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招标进程较慢，支付周期晚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widowControl/>
        <w:spacing w:line="600" w:lineRule="exact"/>
        <w:ind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eastAsia="zh-CN"/>
        </w:rPr>
        <w:t>二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）产出指标（满分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50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分，实得XX分）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1.数量指标（满分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/>
          <w:sz w:val="32"/>
          <w:szCs w:val="32"/>
        </w:rPr>
        <w:t>分，</w:t>
      </w:r>
      <w:r>
        <w:rPr>
          <w:rFonts w:ascii="Times New Roman" w:hAnsi="Times New Roman" w:eastAsia="仿宋_GB2312"/>
          <w:color w:val="000000"/>
          <w:sz w:val="32"/>
          <w:szCs w:val="32"/>
        </w:rPr>
        <w:t>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年度设定的数量指标为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完成全院案件的综合送达案件大于3万件</w:t>
      </w:r>
      <w:r>
        <w:rPr>
          <w:rFonts w:ascii="Times New Roman" w:hAnsi="Times New Roman" w:eastAsia="仿宋_GB2312"/>
          <w:color w:val="000000"/>
          <w:sz w:val="32"/>
          <w:szCs w:val="32"/>
        </w:rPr>
        <w:t>；截至202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年底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辅助完成4万件</w:t>
      </w:r>
      <w:r>
        <w:rPr>
          <w:rFonts w:ascii="Times New Roman" w:hAnsi="Times New Roman" w:eastAsia="仿宋_GB2312"/>
          <w:color w:val="000000"/>
          <w:sz w:val="32"/>
          <w:szCs w:val="32"/>
        </w:rPr>
        <w:t>，实际完成率为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/>
          <w:color w:val="000000"/>
          <w:sz w:val="32"/>
          <w:szCs w:val="32"/>
        </w:rPr>
        <w:t>%，得分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/>
          <w:color w:val="000000"/>
          <w:sz w:val="32"/>
          <w:szCs w:val="32"/>
        </w:rPr>
        <w:t>分。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2.时效指标（满分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年度设定的时效指标为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送达的及时性</w:t>
      </w:r>
      <w:r>
        <w:rPr>
          <w:rFonts w:ascii="Times New Roman" w:hAnsi="Times New Roman" w:eastAsia="仿宋_GB2312"/>
          <w:color w:val="000000"/>
          <w:sz w:val="32"/>
          <w:szCs w:val="32"/>
        </w:rPr>
        <w:t>；实际完成情况为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良好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得分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/>
          <w:color w:val="000000"/>
          <w:sz w:val="32"/>
          <w:szCs w:val="32"/>
        </w:rPr>
        <w:t>分。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3.质量指标（满分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年度设定的质量指标为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经费支出的合规性</w:t>
      </w:r>
      <w:r>
        <w:rPr>
          <w:rFonts w:ascii="Times New Roman" w:hAnsi="Times New Roman" w:eastAsia="仿宋_GB2312"/>
          <w:color w:val="000000"/>
          <w:sz w:val="32"/>
          <w:szCs w:val="32"/>
        </w:rPr>
        <w:t>；实际完成情况为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良好</w:t>
      </w:r>
      <w:r>
        <w:rPr>
          <w:rFonts w:ascii="Times New Roman" w:hAnsi="Times New Roman" w:eastAsia="仿宋_GB2312"/>
          <w:color w:val="000000"/>
          <w:sz w:val="32"/>
          <w:szCs w:val="32"/>
        </w:rPr>
        <w:t>，得分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color w:val="000000"/>
          <w:sz w:val="32"/>
          <w:szCs w:val="32"/>
        </w:rPr>
        <w:t>分。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4.成本指标（满分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  <w:r>
        <w:rPr>
          <w:rFonts w:ascii="Times New Roman" w:hAnsi="Times New Roman" w:eastAsia="仿宋_GB2312"/>
          <w:sz w:val="32"/>
          <w:szCs w:val="32"/>
        </w:rPr>
        <w:tab/>
      </w:r>
    </w:p>
    <w:p>
      <w:pPr>
        <w:spacing w:line="600" w:lineRule="exact"/>
        <w:ind w:right="-283"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年度设定的成本指标为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小于预算数 </w:t>
      </w:r>
      <w:r>
        <w:rPr>
          <w:rFonts w:ascii="Times New Roman" w:hAnsi="Times New Roman" w:eastAsia="仿宋_GB2312"/>
          <w:color w:val="000000"/>
          <w:sz w:val="32"/>
          <w:szCs w:val="32"/>
        </w:rPr>
        <w:t>；实际完成情况为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支付一季度金额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得分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color w:val="000000"/>
          <w:sz w:val="32"/>
          <w:szCs w:val="32"/>
        </w:rPr>
        <w:t>分。未完成的主要原因是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招标进程较慢，支付周期晚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widowControl/>
        <w:spacing w:line="600" w:lineRule="exact"/>
        <w:ind w:right="-283"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eastAsia="zh-CN"/>
        </w:rPr>
        <w:t>三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）效益指标（满分30分，实得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color w:val="000000"/>
          <w:sz w:val="32"/>
          <w:szCs w:val="32"/>
        </w:rPr>
        <w:t>.社会效益指标（满分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4.可持续影响指标（满分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right="-283" w:firstLine="643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eastAsia="zh-CN"/>
        </w:rPr>
        <w:t>四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eastAsia="zh-CN"/>
        </w:rPr>
        <w:t>满意度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指标（满分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满意度</w:t>
      </w:r>
      <w:r>
        <w:rPr>
          <w:rFonts w:ascii="Times New Roman" w:hAnsi="Times New Roman" w:eastAsia="仿宋_GB2312"/>
          <w:color w:val="000000"/>
          <w:sz w:val="32"/>
          <w:szCs w:val="32"/>
        </w:rPr>
        <w:t>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四、存在问题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通过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评价</w:t>
      </w:r>
      <w:r>
        <w:rPr>
          <w:rFonts w:ascii="Times New Roman" w:hAnsi="Times New Roman" w:eastAsia="仿宋_GB2312"/>
          <w:color w:val="000000"/>
          <w:sz w:val="32"/>
          <w:szCs w:val="32"/>
        </w:rPr>
        <w:t>发现，202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年度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送达司法辅助外包</w:t>
      </w:r>
      <w:r>
        <w:rPr>
          <w:rFonts w:ascii="Times New Roman" w:hAnsi="Times New Roman" w:eastAsia="仿宋_GB2312"/>
          <w:color w:val="000000"/>
          <w:sz w:val="32"/>
          <w:szCs w:val="32"/>
        </w:rPr>
        <w:t>项目实施虽取得了一定的成效，但还存在一些问题和不足，主要表现在：</w:t>
      </w:r>
    </w:p>
    <w:p>
      <w:pPr>
        <w:spacing w:line="60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前期工作较久，招标进程慢，导致预算要的多，实际支付少</w:t>
      </w:r>
      <w:r>
        <w:rPr>
          <w:rFonts w:ascii="Times New Roman" w:hAnsi="Times New Roman" w:eastAsia="仿宋_GB2312"/>
          <w:color w:val="000000"/>
          <w:sz w:val="32"/>
          <w:szCs w:val="32"/>
        </w:rPr>
        <w:t>；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五、意见和建议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为进一步提高专项资金使用效益，针对存在的问题，提出如下建议：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项目负责人多学习，催促支付进度。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六、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评价</w:t>
      </w:r>
      <w:r>
        <w:rPr>
          <w:rFonts w:ascii="Times New Roman" w:hAnsi="Times New Roman" w:eastAsia="黑体"/>
          <w:color w:val="000000"/>
          <w:sz w:val="32"/>
          <w:szCs w:val="32"/>
        </w:rPr>
        <w:t>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财政部《财政支出绩效评价暂行管理办法》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财政部《推进预算绩效管理的指导意见》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财政部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预算绩效管理共性指标体系框架》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七、附件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1.项目支出绩效自评表（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从预算管理一体化系统导出</w:t>
      </w:r>
      <w:r>
        <w:rPr>
          <w:rFonts w:ascii="Times New Roman" w:hAnsi="Times New Roman" w:eastAsia="仿宋_GB2312"/>
          <w:color w:val="000000"/>
          <w:sz w:val="32"/>
          <w:szCs w:val="32"/>
        </w:rPr>
        <w:t>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2.服务对象满意度调查问卷统计分析表（有明确服务对象或受益人的项目）；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3.与报告相关的其他附件。</w:t>
      </w:r>
    </w:p>
    <w:p>
      <w:pPr>
        <w:widowControl/>
        <w:jc w:val="left"/>
      </w:pPr>
      <w:r>
        <w:rPr>
          <w:rFonts w:ascii="Times New Roman" w:hAnsi="Times New Roman" w:eastAsia="仿宋_GB2312"/>
          <w:color w:val="000000"/>
          <w:spacing w:val="-10"/>
          <w:sz w:val="32"/>
          <w:szCs w:val="32"/>
        </w:rPr>
        <w:br w:type="page"/>
      </w:r>
    </w:p>
    <w:p>
      <w:pPr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spacing w:line="600" w:lineRule="exact"/>
        <w:rPr>
          <w:rFonts w:ascii="黑体" w:eastAsia="黑体"/>
          <w:bCs/>
          <w:sz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Times New Roman" w:eastAsia="方正小标宋简体"/>
          <w:bCs/>
          <w:sz w:val="44"/>
        </w:rPr>
      </w:pPr>
      <w:r>
        <w:rPr>
          <w:rFonts w:hint="eastAsia" w:ascii="Times New Roman" w:eastAsia="方正小标宋简体"/>
          <w:bCs/>
          <w:sz w:val="44"/>
        </w:rPr>
        <w:t>部门绩效自评工作情况总结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bCs/>
          <w:sz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bCs/>
          <w:sz w:val="32"/>
        </w:rPr>
      </w:pPr>
      <w:r>
        <w:rPr>
          <w:rFonts w:hint="eastAsia" w:ascii="Times New Roman" w:hAnsi="Times New Roman" w:eastAsia="黑体"/>
          <w:bCs/>
          <w:sz w:val="32"/>
        </w:rPr>
        <w:t>一、自评工作开展情况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hint="eastAsia" w:ascii="Times New Roman" w:eastAsia="仿宋_GB2312"/>
          <w:color w:val="000000"/>
          <w:sz w:val="32"/>
          <w:szCs w:val="32"/>
        </w:rPr>
        <w:t>简要说明部门整体和项目支出自评的基本情况，包括部门年度主要工作任务、自评项目个数、预算总金额、项目内容等，部门自评工作的组织实施情况。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黑体"/>
          <w:color w:val="000000"/>
          <w:sz w:val="32"/>
          <w:szCs w:val="32"/>
        </w:rPr>
      </w:pPr>
      <w:r>
        <w:rPr>
          <w:rFonts w:hint="eastAsia" w:ascii="Times New Roman" w:eastAsia="黑体"/>
          <w:color w:val="000000"/>
          <w:sz w:val="32"/>
          <w:szCs w:val="32"/>
        </w:rPr>
        <w:t>二、自评结果概述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hint="eastAsia" w:ascii="Times New Roman" w:eastAsia="仿宋_GB2312"/>
          <w:color w:val="000000"/>
          <w:sz w:val="32"/>
          <w:szCs w:val="32"/>
        </w:rPr>
        <w:t>简要说明部门整体和项目支出自评结果总体情况，包括节支增效等方面的经验做法和创新举措、取得的主要成效和发现的主要问题。对绩效较差和绩效目标偏离较大的项目，总结分析相关原因，说明改进管理的具体措施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</w:rPr>
        <w:t>三</w:t>
      </w:r>
      <w:r>
        <w:rPr>
          <w:rFonts w:hint="eastAsia" w:ascii="Times New Roman" w:eastAsia="黑体"/>
          <w:color w:val="000000"/>
          <w:sz w:val="32"/>
          <w:szCs w:val="32"/>
        </w:rPr>
        <w:t>、下一步工作举措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简要说明自评工作打算、拟采取的改进措施和自评结果应用情况，包括自评结果通报反馈、与预算分配挂钩、调整完善政策和改进预算管理等。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eastAsia="黑体"/>
          <w:color w:val="000000"/>
          <w:sz w:val="32"/>
          <w:szCs w:val="32"/>
        </w:rPr>
        <w:t>四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、附件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部门认为其它需要作为绩效自评报告附件的有关文件、资料等</w:t>
      </w:r>
      <w:r>
        <w:rPr>
          <w:rFonts w:hint="eastAsia" w:ascii="Times New Roman" w:eastAsia="仿宋_GB2312"/>
          <w:color w:val="000000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3D359B"/>
    <w:multiLevelType w:val="singleLevel"/>
    <w:tmpl w:val="883D359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ZTUxMDM4Y2MwMTFmZmNlOGIzZjUyODJmOWJjMWYifQ=="/>
  </w:docVars>
  <w:rsids>
    <w:rsidRoot w:val="75FD6B24"/>
    <w:rsid w:val="07924405"/>
    <w:rsid w:val="4F7554A7"/>
    <w:rsid w:val="60B66CB8"/>
    <w:rsid w:val="6B8F7929"/>
    <w:rsid w:val="705B5EC6"/>
    <w:rsid w:val="75FD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1601</Words>
  <Characters>1712</Characters>
  <Lines>0</Lines>
  <Paragraphs>0</Paragraphs>
  <TotalTime>0</TotalTime>
  <ScaleCrop>false</ScaleCrop>
  <LinksUpToDate>false</LinksUpToDate>
  <CharactersWithSpaces>1810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2023-03-14T06:46:00Z</dcterms:created>
  <dc:creator>草莓biu</dc:creator>
  <cp:lastModifiedBy>草莓biu</cp:lastModifiedBy>
  <cp:lastPrinted>2023-03-17T00:41:16Z</cp:lastPrinted>
  <dcterms:modified xsi:type="dcterms:W3CDTF">2023-03-17T00:41:19Z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49556FA9280C49C3A34498BB5FF7D512</vt:lpwstr>
  </property>
</Properties>
</file>