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right="119"/>
        <w:jc w:val="right"/>
        <w:rPr>
          <w:rFonts w:ascii="Times New Roman" w:hAnsi="Times New Roman" w:eastAsia="华文楷体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</w:rPr>
        <w:t>340102222404200100010</w:t>
      </w: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</w:rPr>
      </w:pPr>
      <w:r>
        <w:rPr>
          <w:rFonts w:ascii="Times New Roman" w:hAnsi="Times New Roman" w:eastAsia="方正小标宋简体"/>
          <w:bCs/>
          <w:sz w:val="44"/>
        </w:rPr>
        <w:t>合肥市财政支出项目</w:t>
      </w:r>
      <w:r>
        <w:rPr>
          <w:rFonts w:hint="eastAsia" w:ascii="Times New Roman" w:hAnsi="Times New Roman" w:eastAsia="方正小标宋简体"/>
          <w:bCs/>
          <w:sz w:val="44"/>
        </w:rPr>
        <w:t>部门评价</w:t>
      </w:r>
      <w:r>
        <w:rPr>
          <w:rFonts w:ascii="Times New Roman" w:hAnsi="Times New Roman" w:eastAsia="方正小标宋简体"/>
          <w:bCs/>
          <w:sz w:val="44"/>
        </w:rPr>
        <w:t>报告</w:t>
      </w: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spacing w:before="156" w:beforeLines="50" w:after="156" w:afterLines="50"/>
        <w:ind w:left="2207" w:leftChars="289" w:hanging="1600" w:hangingChars="5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名   称 ：</w:t>
      </w:r>
      <w:r>
        <w:rPr>
          <w:rFonts w:hint="eastAsia" w:ascii="Times New Roman" w:hAnsi="Times New Roman" w:eastAsia="楷体_GB2312"/>
          <w:sz w:val="32"/>
          <w:u w:val="single"/>
        </w:rPr>
        <w:t>中央政法转移资金</w:t>
      </w:r>
      <w:r>
        <w:rPr>
          <w:rFonts w:ascii="Times New Roman" w:hAnsi="Times New Roman" w:eastAsia="楷体_GB2312"/>
          <w:sz w:val="32"/>
          <w:u w:val="single"/>
        </w:rPr>
        <w:t xml:space="preserve">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单   位 ：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瑶海区人民法院</w:t>
      </w:r>
      <w:r>
        <w:rPr>
          <w:rFonts w:ascii="Times New Roman" w:hAnsi="Times New Roman" w:eastAsia="楷体_GB2312"/>
          <w:sz w:val="32"/>
          <w:u w:val="single"/>
        </w:rPr>
        <w:t xml:space="preserve">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项目责任人 （签字）：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主 管 部 门（盖章）：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ind w:firstLine="614" w:firstLineChars="192"/>
        <w:jc w:val="center"/>
        <w:rPr>
          <w:rFonts w:ascii="Times New Roman" w:hAnsi="Times New Roman" w:eastAsia="楷体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0"/>
          <w:szCs w:val="22"/>
        </w:rPr>
      </w:pPr>
      <w:r>
        <w:rPr>
          <w:rFonts w:ascii="Times New Roman" w:hAnsi="Times New Roman" w:eastAsia="楷体"/>
          <w:sz w:val="32"/>
        </w:rPr>
        <w:t xml:space="preserve">      202</w:t>
      </w:r>
      <w:r>
        <w:rPr>
          <w:rFonts w:hint="eastAsia" w:ascii="Times New Roman" w:hAnsi="Times New Roman" w:eastAsia="楷体"/>
          <w:sz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</w:rPr>
        <w:t>年</w:t>
      </w:r>
      <w:r>
        <w:rPr>
          <w:rFonts w:ascii="Times New Roman" w:hAnsi="Times New Roman" w:eastAsia="楷体"/>
          <w:sz w:val="32"/>
        </w:rPr>
        <w:t>1</w:t>
      </w:r>
      <w:r>
        <w:rPr>
          <w:rFonts w:ascii="Times New Roman" w:hAnsi="Times New Roman" w:eastAsia="楷体_GB2312"/>
          <w:sz w:val="32"/>
        </w:rPr>
        <w:t>月</w:t>
      </w:r>
      <w:r>
        <w:rPr>
          <w:rFonts w:ascii="Times New Roman" w:hAnsi="Times New Roman" w:eastAsia="楷体_GB2312"/>
          <w:sz w:val="32"/>
        </w:rPr>
        <w:br w:type="page"/>
      </w:r>
      <w:r>
        <w:rPr>
          <w:rFonts w:ascii="Times New Roman" w:hAnsi="Times New Roman" w:eastAsia="方正小标宋简体"/>
          <w:bCs/>
          <w:sz w:val="40"/>
          <w:szCs w:val="22"/>
        </w:rPr>
        <w:t>202</w:t>
      </w:r>
      <w:r>
        <w:rPr>
          <w:rFonts w:hint="eastAsia" w:ascii="Times New Roman" w:hAnsi="Times New Roman" w:eastAsia="方正小标宋简体"/>
          <w:bCs/>
          <w:sz w:val="40"/>
          <w:szCs w:val="22"/>
          <w:lang w:val="en-US" w:eastAsia="zh-CN"/>
        </w:rPr>
        <w:t>2</w:t>
      </w:r>
      <w:r>
        <w:rPr>
          <w:rFonts w:ascii="Times New Roman" w:hAnsi="Times New Roman" w:eastAsia="方正小标宋简体"/>
          <w:bCs/>
          <w:sz w:val="40"/>
          <w:szCs w:val="22"/>
        </w:rPr>
        <w:t>年</w:t>
      </w:r>
      <w:r>
        <w:rPr>
          <w:rFonts w:hint="eastAsia" w:ascii="Times New Roman" w:hAnsi="Times New Roman" w:eastAsia="方正小标宋简体"/>
          <w:bCs/>
          <w:sz w:val="40"/>
          <w:szCs w:val="22"/>
        </w:rPr>
        <w:t>中央政法转移资金</w:t>
      </w:r>
      <w:r>
        <w:rPr>
          <w:rFonts w:ascii="Times New Roman" w:hAnsi="Times New Roman" w:eastAsia="方正小标宋简体"/>
          <w:bCs/>
          <w:sz w:val="40"/>
          <w:szCs w:val="22"/>
        </w:rPr>
        <w:t>项目</w:t>
      </w:r>
      <w:r>
        <w:rPr>
          <w:rFonts w:hint="eastAsia" w:ascii="Times New Roman" w:hAnsi="Times New Roman" w:eastAsia="方正小标宋简体"/>
          <w:bCs/>
          <w:sz w:val="40"/>
          <w:szCs w:val="22"/>
        </w:rPr>
        <w:t>部门评价</w:t>
      </w:r>
      <w:r>
        <w:rPr>
          <w:rFonts w:ascii="Times New Roman" w:hAnsi="Times New Roman" w:eastAsia="方正小标宋简体"/>
          <w:bCs/>
          <w:sz w:val="40"/>
          <w:szCs w:val="22"/>
        </w:rPr>
        <w:t>报告</w:t>
      </w:r>
    </w:p>
    <w:p>
      <w:pPr>
        <w:spacing w:line="58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1.项目立项情况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snapToGrid w:val="0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napToGrid w:val="0"/>
          <w:color w:val="000000"/>
          <w:sz w:val="32"/>
          <w:szCs w:val="32"/>
          <w:lang w:val="en-US" w:eastAsia="zh-CN"/>
        </w:rPr>
        <w:t>根据《中央政法委员会关于深化司法体制和工作机制改革若干问题的意见》文件精神，加强政法队伍建设、加强政法经费保障，通过政法转移支付资金，建立起新型的更加完善的法院经费保障机制，以确保法院依法履行职责。保障法院完成各类案件的审判、执行工作，完成法院计划内信息网络建设和设备的更新换代。预算来源一般性转移支付资金、项目类型为专项业务经费。实施周期为常态化实施</w:t>
      </w:r>
    </w:p>
    <w:p>
      <w:pPr>
        <w:numPr>
          <w:ilvl w:val="0"/>
          <w:numId w:val="1"/>
        </w:numPr>
        <w:spacing w:line="560" w:lineRule="exact"/>
        <w:ind w:firstLine="646" w:firstLineChars="202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项目执行情况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</w:t>
      </w:r>
      <w:r>
        <w:rPr>
          <w:rFonts w:ascii="Times New Roman" w:hAnsi="Times New Roman" w:eastAsia="仿宋_GB2312"/>
          <w:sz w:val="32"/>
          <w:szCs w:val="32"/>
        </w:rPr>
        <w:t>目进展及任务完成情况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根据实际支付需求，按照保障时间进行支付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预算执行情况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预算下达306万元，资金到账率100%，资金使用率98.97%</w:t>
      </w:r>
    </w:p>
    <w:p>
      <w:pPr>
        <w:spacing w:line="56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项目资金投入和使用情况等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项目分别指标为被装购置费40万；邮电费1288830万；办公设备购置728520元；其他资本性支出109660元；其他商品服务支出132990元；劳务费40万元。全部合计支出数3028368.4元。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1.项目年度总体目标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运用上级转移资金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开展法院业务的监察、监督，提高法院办案办公现代化水平，强化科学技术与法院工作的深度融合，促进法院工作增效，推进刑事办案、民事纠纷、行政诉讼、公益诉讼等法院的发展，维护国家政治安全，确保社会大局稳定，促进社会公平正义，保障人民安居乐业，服务社会经济发展，为全面建设现代化五大发展美好安徽创造安全的政治环境，稳定的社会环境，公正的法治环境，优质的服务环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color w:val="000000"/>
          <w:sz w:val="32"/>
          <w:szCs w:val="32"/>
        </w:rPr>
        <w:t>总体目标完成情况</w:t>
      </w:r>
    </w:p>
    <w:p>
      <w:pPr>
        <w:numPr>
          <w:ilvl w:val="0"/>
          <w:numId w:val="0"/>
        </w:numPr>
        <w:spacing w:line="560" w:lineRule="exact"/>
        <w:ind w:leftChars="202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保障了我院办公设备、被装的购置，完成了几千件案件的邮电费支付和食堂大型设备的更新。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年度，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中央政法资金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项目通过申请财政资金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306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万元，共完成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结案47193件；保证我院干警的被装更换；邮寄案件114458件</w:t>
      </w:r>
      <w:r>
        <w:rPr>
          <w:rFonts w:ascii="Times New Roman" w:hAnsi="Times New Roman" w:eastAsia="仿宋_GB2312"/>
          <w:color w:val="000000"/>
          <w:sz w:val="32"/>
          <w:szCs w:val="32"/>
        </w:rPr>
        <w:t>等工效目标，达到（未达到）项目预期效果。具体包括：一是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规划好了被装的购买数量</w:t>
      </w:r>
      <w:r>
        <w:rPr>
          <w:rFonts w:ascii="Times New Roman" w:hAnsi="Times New Roman" w:eastAsia="仿宋_GB2312"/>
          <w:color w:val="000000"/>
          <w:sz w:val="32"/>
          <w:szCs w:val="32"/>
        </w:rPr>
        <w:t>；二是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与邮政签订邮寄服务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中央政法转移资金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综合得分为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87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结果为“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良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1.产出指标完成情况分析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（1）数量指标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办理各类案件数量到达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47193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（2）质量指标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减少资金下达时间；装备设备质量仔细验收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（3）时效指标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经费支出及时；项目完成支付及时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2.效益指标完成情况分析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（1）社会效益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提升了法院的办公效率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满意度指标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人民群众满意度大于90%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9.9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中央政法资金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306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302.83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97.97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9.9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被装购置费部分结余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47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案件结案≥20000件</w:t>
      </w:r>
      <w:r>
        <w:rPr>
          <w:rFonts w:ascii="Times New Roman" w:hAnsi="Times New Roman" w:eastAsia="仿宋_GB2312"/>
          <w:color w:val="000000"/>
          <w:sz w:val="32"/>
          <w:szCs w:val="32"/>
        </w:rPr>
        <w:t>；截至202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实际完成47193件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，实际完成率为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分。完成值高于指标值较多的主要原因是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案件结案流转速度加快</w:t>
      </w:r>
      <w:r>
        <w:rPr>
          <w:rFonts w:ascii="Times New Roman" w:hAnsi="Times New Roman" w:eastAsia="仿宋_GB2312"/>
          <w:color w:val="000000"/>
          <w:sz w:val="32"/>
          <w:szCs w:val="32"/>
        </w:rPr>
        <w:t>。年度设定的数量指标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为购买办公设备，保障办公设备的充足，实际完成部分达到预期，未达到完成值的主要原因是年初下达预算时经济科目未明细，导出办公家具部分未购买足够。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年度设定的时效指标为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经费支付及项目完成及时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完成良好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年度设定的质量指标为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经费支出合规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达成预期指标</w:t>
      </w:r>
      <w:r>
        <w:rPr>
          <w:rFonts w:ascii="Times New Roman" w:hAnsi="Times New Roman" w:eastAsia="仿宋_GB2312"/>
          <w:color w:val="000000"/>
          <w:sz w:val="32"/>
          <w:szCs w:val="32"/>
        </w:rPr>
        <w:t>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年度设定的成本指标为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项目总成本为预算数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完成良好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被装购置费部分结余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发现，202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中央政法资金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项目资金使用率有待提高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1、加快项目资金的使用进度，提高财政资金的使用效率: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、加强财务监控，对项目资金进行事前、事中、事后的检查分析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财政部《财政支出绩效评价暂行管理办法》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财政部《推进预算绩效管理的指导意见》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预算绩效管理共性指标体系框架》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1.项目支出绩效自评表（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从预算管理一体化系统导出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2.服务对象满意度调查问卷统计分析表（有明确服务对象或受益人的项目）；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3.与报告相关的其他附件。</w:t>
      </w:r>
    </w:p>
    <w:p>
      <w:pPr>
        <w:widowControl/>
        <w:jc w:val="left"/>
      </w:pPr>
      <w:bookmarkStart w:id="0" w:name="_GoBack"/>
      <w:bookmarkEnd w:id="0"/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81A03"/>
    <w:multiLevelType w:val="singleLevel"/>
    <w:tmpl w:val="CD581A0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TUxMDM4Y2MwMTFmZmNlOGIzZjUyODJmOWJjMWYifQ=="/>
  </w:docVars>
  <w:rsids>
    <w:rsidRoot w:val="75FD6B24"/>
    <w:rsid w:val="0D4D6458"/>
    <w:rsid w:val="15CA0B89"/>
    <w:rsid w:val="3DAC214A"/>
    <w:rsid w:val="46CC03D6"/>
    <w:rsid w:val="48754EE4"/>
    <w:rsid w:val="60B66CB8"/>
    <w:rsid w:val="68880ABC"/>
    <w:rsid w:val="75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2100</Words>
  <Characters>2265</Characters>
  <Lines>0</Lines>
  <Paragraphs>0</Paragraphs>
  <TotalTime>22</TotalTime>
  <ScaleCrop>false</ScaleCrop>
  <LinksUpToDate>false</LinksUpToDate>
  <CharactersWithSpaces>2365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草莓biu</dc:creator>
  <cp:lastModifiedBy>草莓biu</cp:lastModifiedBy>
  <dcterms:modified xsi:type="dcterms:W3CDTF">2023-03-15T02:13:12Z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49556FA9280C49C3A34498BB5FF7D512</vt:lpwstr>
  </property>
</Properties>
</file>