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  <w:t>北京法院对外委托专业机构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  <w:lang w:eastAsia="zh-CN"/>
        </w:rPr>
        <w:t>备选名册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  <w:t>入围机构名单</w:t>
      </w:r>
    </w:p>
    <w:p>
      <w:pP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</w:pPr>
    </w:p>
    <w:p>
      <w:pPr>
        <w:rPr>
          <w:rFonts w:hint="default" w:ascii="仿宋_GB2312" w:hAnsi="宋体" w:eastAsia="仿宋_GB2312" w:cs="Times New Roman"/>
          <w:b/>
          <w:bCs/>
          <w:sz w:val="24"/>
          <w:szCs w:val="28"/>
          <w:highlight w:val="none"/>
          <w:lang w:val="en-US" w:eastAsia="zh-CN"/>
        </w:rPr>
      </w:pPr>
      <w: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  <w:t>1.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</w:rPr>
        <w:t>四类内鉴定机构</w:t>
      </w:r>
    </w:p>
    <w:tbl>
      <w:tblPr>
        <w:tblStyle w:val="7"/>
        <w:tblW w:w="7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8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法大法庭科学技术鉴定研究所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北京华夏物证鉴定中心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北京法源司法科学证据鉴定中心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首都医科大学附属北京安定医院精神疾病司法鉴定科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北京信诺司法鉴定所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北京长城司法鉴定所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北京通达首诚司法鉴定所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北京市红十字会急诊抢救中心司法鉴定中心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北京网络行业协会电子数据司法鉴定中心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82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北京明正司法鉴定中心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北京龙晟交通事故司法鉴定所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北京博大司法鉴定所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北京民生物证科学司法鉴定所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北京协知鉴定技术服务有限公司司法鉴定所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北京回龙观医院精神疾病司法鉴定科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北京盛唐司法鉴定所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北京中衡司法鉴定所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北京京安拓普司法鉴定中心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北京通达法正司法鉴定中心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北京公大弘正医学研究院司法鉴定中心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北京正德泽丰科技咨询有限公司司法鉴定所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北京秦镜科技有限公司司法鉴定中心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北京博睿检测有限公司司法鉴定中心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北京永泰安达科技有限公司司法鉴定中心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北京凤凰可丽法医学研究中心（有限合伙）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北京汇正卓越科技有限公司司法鉴定中心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北京中一诺达科技有限公司司法鉴定中心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华升证鉴（北京）技术有限公司司法鉴定所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北京迪安法润鉴定技术有限公司司法鉴定所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北京鉴道医学科技有限公司司法鉴定所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北京华大方瑞鉴定技术有限公司司法鉴定中心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北京恒旭华创司法鉴定所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北京中科德贤技术有限公司司法鉴定中心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交通运输部公路科学研究所司法鉴定中心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北京正研工程技术研究院有限公司司法鉴定中心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北京首运交通安全技术研究院司法鉴定所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北京中机车辆司法鉴定中心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北京天康昊正医疗技术服务有限公司司法鉴定所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北京中誉德诚医学技术有限公司司法鉴定中心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憬视通（北京）科技有限公司司法鉴定中心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北京国盾信息中心司法鉴定所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中国电子信息产业发展研究院司法鉴定所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北京中海义信信息技术有限公司司法鉴定所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中国科学院生态环境研究中心司法鉴定中心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中电投工程研究检测评定中心有限公司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国家工业信息安全发展研究中心司法鉴定所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北京国创鼎诚司法鉴定所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北京网神洞鉴科技有限公司司法鉴定所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8"/>
          <w:highlight w:val="none"/>
        </w:rPr>
      </w:pPr>
    </w:p>
    <w:p>
      <w:pPr>
        <w:widowControl/>
        <w:jc w:val="left"/>
        <w:rPr>
          <w:rFonts w:ascii="仿宋_GB2312" w:hAnsi="宋体" w:eastAsia="仿宋_GB2312" w:cs="Times New Roman"/>
          <w:b/>
          <w:bCs/>
          <w:color w:val="000000"/>
          <w:kern w:val="0"/>
          <w:sz w:val="24"/>
          <w:szCs w:val="28"/>
          <w:highlight w:val="none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8"/>
          <w:highlight w:val="none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8"/>
          <w:highlight w:val="none"/>
        </w:rPr>
        <w:t>资产评估类机构</w:t>
      </w:r>
    </w:p>
    <w:tbl>
      <w:tblPr>
        <w:tblStyle w:val="7"/>
        <w:tblW w:w="7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52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国专中衡（北京）资产评估有限责任公司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中环松德（北京）资产评估有限公司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北京腾骐资产评估有限公司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北京百汇方兴资产评估有限公司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52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同致信德（北京）资产评估有限公司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北京京评价格评估有限公司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北京坤元至诚资产评估有限公司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北京戴德梁行房地产土地资产评估有限公司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北京富川房地产土地资产评估有限公司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国宏信价格评估集团有限公司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北京市京价价格评估有限公司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北京中源正信资产评估有限公司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北京中同华资产评估有限公司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北京中锋资产评估有限责任公司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北京中林资产评估有限公司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北京中天衡平国际资产评估有限公司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color w:val="000000"/>
          <w:kern w:val="0"/>
          <w:sz w:val="24"/>
          <w:szCs w:val="28"/>
          <w:highlight w:val="none"/>
        </w:rPr>
      </w:pPr>
    </w:p>
    <w:p>
      <w:pPr>
        <w:rPr>
          <w:rFonts w:ascii="仿宋_GB2312" w:hAnsi="宋体" w:eastAsia="仿宋_GB2312" w:cs="Times New Roman"/>
          <w:b/>
          <w:bCs/>
          <w:sz w:val="24"/>
          <w:szCs w:val="28"/>
          <w:highlight w:val="none"/>
        </w:rPr>
      </w:pPr>
      <w: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  <w:t>3.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</w:rPr>
        <w:t>房地产评估类机构</w:t>
      </w:r>
    </w:p>
    <w:tbl>
      <w:tblPr>
        <w:tblStyle w:val="7"/>
        <w:tblW w:w="6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37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北京中资房地产土地评估有限公司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北京华天通房地产评估有限公司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中瑞国际房地产土地资产评估有限公司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北京百成首信房地产评估有限公司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北京世诚嘉业房地产土地资产评估有限责任公司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北京北方房地产咨询评估有限责任公司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北京国地房地产土地评估有限公司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北京市中恒业房地产评估有限责任公司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北京吉翔房地产土地评估有限公司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北京鼎春德房地产土地评估有限公司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北京东华天业房地产评估有限公司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北京北方亚事房地产土地评估有限公司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北京市国盛房地产评估有限责任公司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北京圣元房地产评估咨询有限公司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北京华信土地房地产资产评估有限公司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北京宝孚房地产评估事务所有限公司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北京京城捷信房地产评估有限公司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杜鸣联合房地产土地资产评估（北京）有限公司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北京中鼎联合房地产土地资产评估有限公司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北京华中兆源房地产土地评估有限公司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仲量联行（北京）房地产资产评估咨询有限公司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北京建正合生房地产评估有限公司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北京大地盛业房地产土地评估有限公司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53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北京银地联合房地产土地资产评估有限公司</w:t>
            </w:r>
          </w:p>
        </w:tc>
      </w:tr>
    </w:tbl>
    <w:p>
      <w:pP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</w:pPr>
    </w:p>
    <w:p>
      <w:pPr>
        <w:rPr>
          <w:rFonts w:ascii="仿宋_GB2312" w:hAnsi="宋体" w:eastAsia="仿宋_GB2312" w:cs="Times New Roman"/>
          <w:b/>
          <w:bCs/>
          <w:sz w:val="24"/>
          <w:szCs w:val="28"/>
          <w:highlight w:val="none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  <w:t>4</w:t>
      </w:r>
      <w: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  <w:t>.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</w:rPr>
        <w:t>建设工程造价类机构</w:t>
      </w:r>
    </w:p>
    <w:tbl>
      <w:tblPr>
        <w:tblStyle w:val="7"/>
        <w:tblW w:w="71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641"/>
      </w:tblGrid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北京中威正平工程造价咨询有限公司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北京双圆工程咨询监理有限公司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北京求实工程管理有限公司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华诚博远工程咨询有限公司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北京建智达工程管理股份有限公司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北京中润达工程咨询有限公司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北京永达信工程咨询有限公司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北京双斗工程造价咨询有限公司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北京博睿丰工程咨询有限公司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北京恒乐工程管理有限公司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北京东方华太工程咨询有限公司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北京华银科技集团有限公司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北京润恒国金工程咨询有限公司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北京华建审工程造价咨询事务所有限公司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国信国际工程咨询集团股份有限公司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北京中新国地工程咨询有限公司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北京荣广盛工程管理有限公司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中磊工程造价咨询有限责任公司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北京中瑞岳华工程管理咨询有限公司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北京赋佳慧祥工程造价咨询有限公司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北京兴中海建工程造价咨询有限公司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北京国程工程管理有限公司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北京希地环球建设工程顾问有限公司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北京广达精捷信工程咨询有限公司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北京泛华国金工程咨询有限公司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北京中兴恒信工程造价咨询有限公司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北京建基业工程管理有限公司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中建精诚工程咨询有限公司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北京筑标建设工程咨询有限公司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立信中德勤（北京）工程咨询有限公司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5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北京国融兴华工程项目管理有限公司</w:t>
            </w:r>
          </w:p>
        </w:tc>
      </w:tr>
    </w:tbl>
    <w:p>
      <w:pP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</w:pPr>
    </w:p>
    <w:p>
      <w:pP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</w:pPr>
    </w:p>
    <w:p>
      <w:pPr>
        <w:rPr>
          <w:rFonts w:ascii="仿宋_GB2312" w:hAnsi="宋体" w:eastAsia="仿宋_GB2312" w:cs="Times New Roman"/>
          <w:b/>
          <w:bCs/>
          <w:sz w:val="24"/>
          <w:szCs w:val="28"/>
          <w:highlight w:val="none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  <w:t>5</w:t>
      </w:r>
      <w: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  <w:t>.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</w:rPr>
        <w:t>会计审计类机构</w:t>
      </w:r>
    </w:p>
    <w:tbl>
      <w:tblPr>
        <w:tblStyle w:val="7"/>
        <w:tblW w:w="7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北京京华会计师事务所有限责任公司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北京中天银会计师事务所（特殊普通合伙）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北京神州会计师事务所有限责任公司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立信会计师事务所（特殊普通合伙）北京分所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北京天正华会计师事务所（普通合伙）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北京中益信华会计师事务所有限公司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北京中京会计师事务所有限公司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北京中平建华浩会计师事务所有限公司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北京兴中海会计师事务所有限公司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北京今创会计师事务所(普通合伙)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北京欣永会计师事务所（普通合伙）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北京高商万达会计师事务所有限公司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汇亚昊正（北京）会计师事务所有限公司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5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71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北京中润达会计师事务所有限公司</w:t>
            </w:r>
          </w:p>
        </w:tc>
      </w:tr>
    </w:tbl>
    <w:p>
      <w:pPr>
        <w:rPr>
          <w:rFonts w:ascii="仿宋_GB2312" w:hAnsi="宋体" w:eastAsia="仿宋_GB2312" w:cs="Times New Roman"/>
          <w:sz w:val="24"/>
          <w:szCs w:val="28"/>
          <w:highlight w:val="none"/>
        </w:rPr>
      </w:pPr>
    </w:p>
    <w:p>
      <w:pPr>
        <w:rPr>
          <w:rFonts w:hint="default" w:ascii="仿宋_GB2312" w:hAnsi="宋体" w:eastAsia="仿宋_GB2312" w:cs="Times New Roman"/>
          <w:b/>
          <w:bCs/>
          <w:sz w:val="24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  <w:t>6</w:t>
      </w:r>
      <w: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  <w:t>.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</w:rPr>
        <w:t>其他类鉴定机构</w:t>
      </w:r>
    </w:p>
    <w:tbl>
      <w:tblPr>
        <w:tblStyle w:val="7"/>
        <w:tblW w:w="7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5568"/>
      </w:tblGrid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中国检验认证集团北京有限公司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中安金石（北京）矿业技术服务有限公司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北京红晶石投资咨询有限责任公司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沐城测绘（北京）有限公司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北京金房兴业测绘有限公司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民太安保险公估有限公司北京分公司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北京华泰保险公估有限公司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北京市海淀区医学会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北京恒功检测技术研究院有限公司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北京市建设工程质量第三检测所有限责任公司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建研院检测中心有限公司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奥来国信（北京）检测技术有限责任公司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北京中核四达工程设计咨询有限公司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华测检测认证集团北京有限公司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国家珠宝玉石首饰检验集团有限公司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北京中认检测技术服务有限公司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北京市产品质量监督检验研究院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远东正大检验集团有限公司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中轻检验认证有限公司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中国海关科学技术研究中心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北京久城科技有限公司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中测新宇（北京）信息科技有限公司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北京汇明保险公估有限公司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北京全天候保险公估有限公司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北京林业大学培训中心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中国电力企业联合会电力建设技术经济咨询中心</w:t>
            </w:r>
          </w:p>
        </w:tc>
      </w:tr>
      <w:tr>
        <w:trPr>
          <w:trHeight w:val="6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北京中天华伟矿业技术咨询有限公司</w:t>
            </w:r>
          </w:p>
        </w:tc>
      </w:tr>
    </w:tbl>
    <w:p>
      <w:pP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</w:pPr>
    </w:p>
    <w:p>
      <w:pPr>
        <w:rPr>
          <w:rFonts w:ascii="仿宋_GB2312" w:hAnsi="宋体" w:eastAsia="仿宋_GB2312" w:cs="Times New Roman"/>
          <w:b/>
          <w:bCs/>
          <w:sz w:val="24"/>
          <w:szCs w:val="28"/>
          <w:highlight w:val="none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  <w:t>7</w:t>
      </w:r>
      <w:r>
        <w:rPr>
          <w:rFonts w:ascii="仿宋_GB2312" w:hAnsi="宋体" w:eastAsia="仿宋_GB2312" w:cs="仿宋_GB2312"/>
          <w:b/>
          <w:bCs/>
          <w:sz w:val="24"/>
          <w:szCs w:val="28"/>
          <w:highlight w:val="none"/>
        </w:rPr>
        <w:t>.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eastAsia="zh-CN"/>
        </w:rPr>
        <w:t>复合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val="en-US" w:eastAsia="zh-CN"/>
        </w:rPr>
        <w:t>资质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  <w:lang w:eastAsia="zh-CN"/>
        </w:rPr>
        <w:t>类鉴定</w:t>
      </w:r>
      <w:r>
        <w:rPr>
          <w:rFonts w:hint="eastAsia" w:ascii="仿宋_GB2312" w:hAnsi="宋体" w:eastAsia="仿宋_GB2312" w:cs="仿宋_GB2312"/>
          <w:b/>
          <w:bCs/>
          <w:sz w:val="24"/>
          <w:szCs w:val="28"/>
          <w:highlight w:val="none"/>
        </w:rPr>
        <w:t>机构</w:t>
      </w:r>
    </w:p>
    <w:tbl>
      <w:tblPr>
        <w:tblStyle w:val="7"/>
        <w:tblW w:w="7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718"/>
      </w:tblGrid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机构名称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中财宝信（北京）房地产土地资产评估有限公司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北京华源龙泰房地产土地资产评估有限公司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北京建亚恒泰房地产评估有限公司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北京首佳房地产评估有限公司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中兴华咨（北京）房地产评估工程咨询有限公司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宝业恒（北京）土地房地产资产评估咨询有限公司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北京京港房地产土地资产评估有限公司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北京银通安泰房地产评估有限公司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北京康正宏基房地产评估有限公司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北京市金利安房地产咨询评估有限责任公司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北京盛华翔伦房地产土地资产评估有限公司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北京仁达房地产土地资产评估有限公司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北京国融兴华资产评估有限责任公司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北京信通方恒资产评估有限责任公司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北京北方亚事资产评估事务所（特殊普通合伙）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北京晟明资产评估有限公司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中国中元国际工程有限公司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远瓴工程咨询集团有限公司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北京华瑞行房地产评估咨询有限公司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北京统信房地产土地资产评估有限公司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中易华（北京）房地产土地评估集团有限公司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北京中土源房地产土地资产评估有限公司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北京国众联土地房地产资产评估有限公司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北京新兴宏基房地产土地评估有限公司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瑞盈京都房地产土地资产评估（北京）有限公司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北京中盛行房地产土地评估有限公司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北京中评正信资产评估有限公司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北京中天华资产评估有限责任公司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中威正信（北京）资产评估有限公司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中瑞世联资产评估集团有限公司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中电投工程研究检测评定中心有限公司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中国国检测试控股集团有限公司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北京市建设工程质量第一检测所有限责任公司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青矩工程顾问有限公司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中和德汇工程技术有限公司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rPr>
          <w:trHeight w:val="60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中国中轻国际工程有限公司</w:t>
            </w:r>
          </w:p>
        </w:tc>
      </w:tr>
    </w:tbl>
    <w:p>
      <w:pPr>
        <w:rPr>
          <w:rFonts w:ascii="仿宋_GB2312" w:hAnsi="宋体" w:eastAsia="仿宋_GB2312" w:cs="Times New Roman"/>
          <w:sz w:val="24"/>
          <w:szCs w:val="28"/>
          <w:highlight w:val="none"/>
        </w:rPr>
      </w:pPr>
    </w:p>
    <w:p>
      <w:pPr>
        <w:rPr>
          <w:rFonts w:ascii="仿宋" w:hAnsi="仿宋" w:eastAsia="仿宋"/>
          <w:b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b/>
          <w:sz w:val="28"/>
          <w:szCs w:val="28"/>
          <w:highlight w:val="none"/>
        </w:rPr>
      </w:pPr>
    </w:p>
    <w:p>
      <w:pPr>
        <w:rPr>
          <w:rFonts w:ascii="仿宋" w:hAnsi="仿宋" w:eastAsia="仿宋"/>
          <w:b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b/>
          <w:sz w:val="28"/>
          <w:szCs w:val="28"/>
          <w:highlight w:val="none"/>
        </w:rPr>
      </w:pPr>
    </w:p>
    <w:p>
      <w:pPr>
        <w:pStyle w:val="2"/>
        <w:rPr>
          <w:highlight w:val="none"/>
        </w:rPr>
      </w:pPr>
    </w:p>
    <w:sectPr>
      <w:footerReference r:id="rId3" w:type="default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cs="Times New Roman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22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cs="Times New Roman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22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mEwMmI0ODk2MzFjZmJkOWIxMGZiZjVkYmI2YWIifQ=="/>
  </w:docVars>
  <w:rsids>
    <w:rsidRoot w:val="006F5C85"/>
    <w:rsid w:val="000A00FA"/>
    <w:rsid w:val="000C4E25"/>
    <w:rsid w:val="000E3890"/>
    <w:rsid w:val="00103D9F"/>
    <w:rsid w:val="001146E2"/>
    <w:rsid w:val="00186C67"/>
    <w:rsid w:val="001A2534"/>
    <w:rsid w:val="001E1740"/>
    <w:rsid w:val="001E3521"/>
    <w:rsid w:val="001E3CBC"/>
    <w:rsid w:val="001E75B2"/>
    <w:rsid w:val="001F0FD8"/>
    <w:rsid w:val="00254B9E"/>
    <w:rsid w:val="002631F6"/>
    <w:rsid w:val="00292A7A"/>
    <w:rsid w:val="00295278"/>
    <w:rsid w:val="00297FBE"/>
    <w:rsid w:val="002B16ED"/>
    <w:rsid w:val="00302D11"/>
    <w:rsid w:val="00321686"/>
    <w:rsid w:val="003956D0"/>
    <w:rsid w:val="00421E7D"/>
    <w:rsid w:val="00475906"/>
    <w:rsid w:val="0049566D"/>
    <w:rsid w:val="004B1FA7"/>
    <w:rsid w:val="00503F76"/>
    <w:rsid w:val="0052035A"/>
    <w:rsid w:val="005371C1"/>
    <w:rsid w:val="00623178"/>
    <w:rsid w:val="006236AA"/>
    <w:rsid w:val="0063326C"/>
    <w:rsid w:val="00641F08"/>
    <w:rsid w:val="00650F27"/>
    <w:rsid w:val="006810F3"/>
    <w:rsid w:val="00687E3D"/>
    <w:rsid w:val="006C4489"/>
    <w:rsid w:val="006D2FE2"/>
    <w:rsid w:val="006E08DC"/>
    <w:rsid w:val="006F5C85"/>
    <w:rsid w:val="007234BD"/>
    <w:rsid w:val="00727EAB"/>
    <w:rsid w:val="007A5278"/>
    <w:rsid w:val="007D759C"/>
    <w:rsid w:val="0080351B"/>
    <w:rsid w:val="00810387"/>
    <w:rsid w:val="00864515"/>
    <w:rsid w:val="008A5325"/>
    <w:rsid w:val="008A57A5"/>
    <w:rsid w:val="008F6F03"/>
    <w:rsid w:val="0092527D"/>
    <w:rsid w:val="009637E5"/>
    <w:rsid w:val="0098027A"/>
    <w:rsid w:val="00983C95"/>
    <w:rsid w:val="009C4F08"/>
    <w:rsid w:val="00A51EC1"/>
    <w:rsid w:val="00A616D4"/>
    <w:rsid w:val="00A733FA"/>
    <w:rsid w:val="00A746B6"/>
    <w:rsid w:val="00A80F34"/>
    <w:rsid w:val="00A95903"/>
    <w:rsid w:val="00A96C10"/>
    <w:rsid w:val="00AC14DE"/>
    <w:rsid w:val="00AD7EB3"/>
    <w:rsid w:val="00B00ED4"/>
    <w:rsid w:val="00B15D2D"/>
    <w:rsid w:val="00B176B8"/>
    <w:rsid w:val="00BA1C83"/>
    <w:rsid w:val="00CE25B1"/>
    <w:rsid w:val="00D03164"/>
    <w:rsid w:val="00D41B06"/>
    <w:rsid w:val="00D530FE"/>
    <w:rsid w:val="00D6166E"/>
    <w:rsid w:val="00DE5748"/>
    <w:rsid w:val="00E23196"/>
    <w:rsid w:val="00E61589"/>
    <w:rsid w:val="00E630B5"/>
    <w:rsid w:val="00E7194B"/>
    <w:rsid w:val="00E761DF"/>
    <w:rsid w:val="00F01ADF"/>
    <w:rsid w:val="00F12B08"/>
    <w:rsid w:val="00F21758"/>
    <w:rsid w:val="00F32157"/>
    <w:rsid w:val="00FF2CBD"/>
    <w:rsid w:val="1ECC4206"/>
    <w:rsid w:val="2EE4E1E9"/>
    <w:rsid w:val="3118257A"/>
    <w:rsid w:val="32F750AF"/>
    <w:rsid w:val="3F6D7359"/>
    <w:rsid w:val="5FDE1D56"/>
    <w:rsid w:val="5FFF59D9"/>
    <w:rsid w:val="6EFDA0E8"/>
    <w:rsid w:val="7ACD6EB7"/>
    <w:rsid w:val="7FCC4DAA"/>
    <w:rsid w:val="7FFAB6E8"/>
    <w:rsid w:val="8EF9C8A6"/>
    <w:rsid w:val="96F6D6BB"/>
    <w:rsid w:val="9F779C06"/>
    <w:rsid w:val="AEF7A2D8"/>
    <w:rsid w:val="AFBEF907"/>
    <w:rsid w:val="BC45C348"/>
    <w:rsid w:val="BCCB2BEB"/>
    <w:rsid w:val="BEAFE35C"/>
    <w:rsid w:val="CD79386C"/>
    <w:rsid w:val="DFFF4304"/>
    <w:rsid w:val="F5D9E138"/>
    <w:rsid w:val="F6EBE8FD"/>
    <w:rsid w:val="FACF1C59"/>
    <w:rsid w:val="FEE71135"/>
    <w:rsid w:val="FF71C3C4"/>
    <w:rsid w:val="FFFC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1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FollowedHyperlink"/>
    <w:semiHidden/>
    <w:qFormat/>
    <w:uiPriority w:val="99"/>
    <w:rPr>
      <w:color w:val="800080"/>
      <w:u w:val="single"/>
    </w:rPr>
  </w:style>
  <w:style w:type="character" w:styleId="12">
    <w:name w:val="Hyperlink"/>
    <w:semiHidden/>
    <w:qFormat/>
    <w:uiPriority w:val="99"/>
    <w:rPr>
      <w:color w:val="0000FF"/>
      <w:u w:val="single"/>
    </w:rPr>
  </w:style>
  <w:style w:type="character" w:styleId="13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脚注文本 Char"/>
    <w:basedOn w:val="9"/>
    <w:link w:val="6"/>
    <w:semiHidden/>
    <w:qFormat/>
    <w:uiPriority w:val="99"/>
    <w:rPr>
      <w:sz w:val="18"/>
      <w:szCs w:val="18"/>
    </w:rPr>
  </w:style>
  <w:style w:type="paragraph" w:customStyle="1" w:styleId="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0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1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2"/>
    <w:basedOn w:val="1"/>
    <w:qFormat/>
    <w:uiPriority w:val="99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6475</Words>
  <Characters>6712</Characters>
  <Lines>76</Lines>
  <Paragraphs>21</Paragraphs>
  <TotalTime>23</TotalTime>
  <ScaleCrop>false</ScaleCrop>
  <LinksUpToDate>false</LinksUpToDate>
  <CharactersWithSpaces>6753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2018-03-31T09:00:00Z</dcterms:created>
  <dc:creator>218</dc:creator>
  <cp:lastModifiedBy>user</cp:lastModifiedBy>
  <cp:lastPrinted>2023-11-26T16:51:00Z</cp:lastPrinted>
  <dcterms:modified xsi:type="dcterms:W3CDTF">2023-11-28T15:38:41Z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A714CEBEB33040ABA5C6A3B86A7A8537_13</vt:lpwstr>
  </property>
</Properties>
</file>