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440" w:lineRule="exact"/>
        <w:jc w:val="both"/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附件 3：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Style w:val="8"/>
          <w:rFonts w:hint="default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Style w:val="8"/>
          <w:rFonts w:hint="default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val="en-US" w:eastAsia="zh-CN"/>
        </w:rPr>
        <w:t>网络司法拍卖辅助机构评分表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left"/>
        <w:textAlignment w:val="auto"/>
        <w:rPr>
          <w:rStyle w:val="8"/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vertAlign w:val="baseline"/>
          <w:lang w:val="en-US" w:eastAsia="zh-CN"/>
        </w:rPr>
        <w:t xml:space="preserve">机构名称：                                        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vertAlign w:val="baseline"/>
          <w:lang w:eastAsia="zh-CN"/>
        </w:rPr>
        <w:t>总分：</w:t>
      </w:r>
    </w:p>
    <w:tbl>
      <w:tblPr>
        <w:tblStyle w:val="6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202"/>
        <w:gridCol w:w="747"/>
        <w:gridCol w:w="6079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tblHeader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评分因素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分值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评分标准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从业能力测试</w:t>
            </w:r>
          </w:p>
        </w:tc>
        <w:tc>
          <w:tcPr>
            <w:tcW w:w="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40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0" w:firstLineChars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试卷总分为100分，测评能力测试得分=机构参加从业能力测试人员（2人）平均分*0.4</w:t>
            </w:r>
          </w:p>
        </w:tc>
        <w:tc>
          <w:tcPr>
            <w:tcW w:w="7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工作经验</w:t>
            </w:r>
          </w:p>
        </w:tc>
        <w:tc>
          <w:tcPr>
            <w:tcW w:w="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在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乐山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辖区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法院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有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既往成交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案例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的得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分，在其他地区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法院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有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既往成交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案例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的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得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分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（此项不超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10分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有VR拍摄设备得1分，有VR制作经验的得1分；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有直播拍卖宣传的得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分；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有信息化系统完整记录现场勘验、接受咨询、看样等经历得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分；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5.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有信息化系统接受法官、当事人、竞买人对辅拍公司服务进行评价和监督的得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分；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能够对网拍工作形成规范的工作报告的得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分。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7.评审人员对拍辅机构既往工作经验的认定，认为服务能力好的得3分，服务能力一般的得1分，服务能力差的不得分。</w:t>
            </w:r>
          </w:p>
        </w:tc>
        <w:tc>
          <w:tcPr>
            <w:tcW w:w="73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机构规模</w:t>
            </w:r>
          </w:p>
        </w:tc>
        <w:tc>
          <w:tcPr>
            <w:tcW w:w="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能够提供服务人员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按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（购买社保人数为准）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人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及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以上、10人以下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分二档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，分别得3分、2分；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2.实缴注册资本按达300万元以上、300万元分二档，分别得3分、2分；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3.在乐山辖区有固定营业场所的得5分；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辅助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机构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从业人员（购买社保人数人员）中有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法律职业资格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A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每人得2分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B证1.5分、C证1分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，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或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具有评估鉴定师、拍卖师、会计等相关资格证的每人得1分，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此项不超过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分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5.拍辅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机构对员工组织培训的得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分。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6.评审人员通过申报材料对机构规模综合评定1-2分。</w:t>
            </w:r>
          </w:p>
        </w:tc>
        <w:tc>
          <w:tcPr>
            <w:tcW w:w="7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行业影响和信誉</w:t>
            </w:r>
          </w:p>
        </w:tc>
        <w:tc>
          <w:tcPr>
            <w:tcW w:w="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1.有乐山辖区既往服务法院肯定性评价的得5分，有其他地区法院肯定性评价的的3分（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此项不超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5分）；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有宣传渠道和宣传经验，在媒体上有影响力的得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分，有宣传渠道但没有在开展过宣传的得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分。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3.评审人员通过申报材料对机构行业影响、信誉综合评定1-2分。</w:t>
            </w:r>
          </w:p>
        </w:tc>
        <w:tc>
          <w:tcPr>
            <w:tcW w:w="7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文件的规范性</w:t>
            </w:r>
          </w:p>
        </w:tc>
        <w:tc>
          <w:tcPr>
            <w:tcW w:w="7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1.申报材料按照遴选公告目录的要求规范装订的得2分；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2.申报材料文字表达流畅得3分，一般得2分，差得1分；</w:t>
            </w:r>
          </w:p>
        </w:tc>
        <w:tc>
          <w:tcPr>
            <w:tcW w:w="7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49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以上评分标准涉及的实缴注册资本、购买社保人员、办公营业场所等需要的佐证材料中的截止时间，均需在2023年11月1日之前。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华文仿宋" w:hAnsi="华文仿宋" w:eastAsia="华文仿宋"/>
          <w:sz w:val="32"/>
          <w:szCs w:val="32"/>
        </w:rPr>
      </w:pPr>
    </w:p>
    <w:p/>
    <w:sectPr>
      <w:footerReference r:id="rId3" w:type="default"/>
      <w:pgSz w:w="11906" w:h="16838"/>
      <w:pgMar w:top="1701" w:right="1468" w:bottom="1531" w:left="146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sz w:val="21"/>
      </w:rPr>
      <w:pict>
        <v:shape id="文本框 1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CgAAAAAAh07iQAAAAAAAAAAAAAAA&#10;AAYAAAAAAAAAAAAQAAAAKAMAAF9yZWxzL1BLAQIUABQAAAAIAIdO4kDkov7PyAEAAJkDAAAOAAAA&#10;AAAAAAEAIAAAADQBAABkcnMvZTJvRG9jLnhtbFBLAQIUABQAAAAIAIdO4kDOqXm5zwAAAAUBAAAP&#10;AAAAAAAAAAEAIAAAADgAAABkcnMvZG93bnJldi54bWxQSwECFAAKAAAAAACHTuJAAAAAAAAAAAAA&#10;AAAABAAAAAAAAAAAABAAAAAWAAAAZHJzL1BLBQYAAAAABgAGAFkBAABuBQAAAAA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F7D6529"/>
    <w:rsid w:val="5B380F89"/>
    <w:rsid w:val="7F7D65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Times New Roman"/>
      <w:sz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2023-12-13T14:46:00Z</dcterms:created>
  <dc:creator>admin</dc:creator>
  <cp:lastModifiedBy>yu</cp:lastModifiedBy>
  <dcterms:modified xsi:type="dcterms:W3CDTF">2023-12-13T10:06:07Z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1AD3F1B7DD21495EBBAE22803DEF529F_13</vt:lpwstr>
  </property>
</Properties>
</file>