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00" w:lineRule="exact"/>
        <w:ind w:right="270"/>
        <w:jc w:val="both"/>
        <w:textAlignment w:val="auto"/>
        <w:rPr>
          <w:rFonts w:hint="eastAsia" w:ascii="仿宋_GB2312" w:hAnsi="仿宋_GB2312" w:eastAsia="仿宋_GB2312" w:cs="仿宋_GB2312"/>
          <w:spacing w:val="-3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-3"/>
          <w:lang w:val="en-US" w:eastAsia="zh-CN"/>
        </w:rPr>
        <w:t>4：</w:t>
      </w:r>
    </w:p>
    <w:p>
      <w:pPr>
        <w:jc w:val="center"/>
        <w:rPr>
          <w:rFonts w:hint="eastAsia" w:ascii="方正小标宋_GBK" w:hAnsi="方正小标宋_GBK" w:eastAsia="方正小标宋简体" w:cs="CESI黑体-GB2312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简体" w:cs="CESI黑体-GB2312"/>
          <w:b w:val="0"/>
          <w:bCs w:val="0"/>
          <w:sz w:val="44"/>
          <w:szCs w:val="44"/>
        </w:rPr>
        <w:t>选任破产管理人评分标准</w:t>
      </w:r>
    </w:p>
    <w:p/>
    <w:tbl>
      <w:tblPr>
        <w:tblStyle w:val="5"/>
        <w:tblW w:w="8396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31"/>
        <w:gridCol w:w="765"/>
        <w:gridCol w:w="595"/>
        <w:gridCol w:w="1876"/>
        <w:gridCol w:w="3195"/>
        <w:gridCol w:w="460"/>
        <w:gridCol w:w="3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74" w:hRule="atLeast"/>
          <w:jc w:val="center"/>
        </w:trPr>
        <w:tc>
          <w:tcPr>
            <w:tcW w:w="18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管理人机构名称</w:t>
            </w:r>
          </w:p>
        </w:tc>
        <w:tc>
          <w:tcPr>
            <w:tcW w:w="650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一级指标</w:t>
            </w:r>
          </w:p>
        </w:tc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二级指标</w:t>
            </w:r>
          </w:p>
        </w:tc>
        <w:tc>
          <w:tcPr>
            <w:tcW w:w="1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三级指标</w:t>
            </w: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四级指标</w:t>
            </w:r>
          </w:p>
        </w:tc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业绩基础分（≤70分）</w:t>
            </w:r>
          </w:p>
        </w:tc>
        <w:tc>
          <w:tcPr>
            <w:tcW w:w="136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案件数量 （≤45分）</w:t>
            </w:r>
          </w:p>
        </w:tc>
        <w:tc>
          <w:tcPr>
            <w:tcW w:w="50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简易案件（1分）</w:t>
            </w:r>
          </w:p>
        </w:tc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普通案件</w:t>
            </w: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独任管理人（4分）</w:t>
            </w:r>
          </w:p>
        </w:tc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清算组成员（3分）</w:t>
            </w:r>
          </w:p>
        </w:tc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联合管理人（2分）</w:t>
            </w:r>
          </w:p>
        </w:tc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重大案件</w:t>
            </w: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独任管理人（5分）</w:t>
            </w:r>
          </w:p>
        </w:tc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清算组成员（4分）</w:t>
            </w:r>
          </w:p>
        </w:tc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联合管理人（3分）</w:t>
            </w:r>
          </w:p>
        </w:tc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案件效果 （≤5分）</w:t>
            </w:r>
          </w:p>
        </w:tc>
        <w:tc>
          <w:tcPr>
            <w:tcW w:w="50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有效降低破产成本（1分）</w:t>
            </w:r>
          </w:p>
        </w:tc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实现资源优化配置（1分）</w:t>
            </w:r>
          </w:p>
        </w:tc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其他因素（1分）</w:t>
            </w:r>
          </w:p>
        </w:tc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案件质量 （≤20分）</w:t>
            </w:r>
          </w:p>
        </w:tc>
        <w:tc>
          <w:tcPr>
            <w:tcW w:w="187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普通破产重整、和解案件</w:t>
            </w: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受理到终止破产程序短于6个月（3分）</w:t>
            </w:r>
          </w:p>
        </w:tc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受理到终止破产程序短于9个月（2分）</w:t>
            </w:r>
          </w:p>
        </w:tc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普通破产清算案件</w:t>
            </w: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受理到终结破产程序短于9个月（2分）</w:t>
            </w:r>
          </w:p>
        </w:tc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受理到终结破产程序短于12个月（1分）</w:t>
            </w:r>
          </w:p>
        </w:tc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简易破产案件</w:t>
            </w: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受理到终结或终止破产程序短于6个月（1分）</w:t>
            </w:r>
          </w:p>
        </w:tc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重大破产重整、和解案件</w:t>
            </w: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受理到终止破产程序短于9个月（6分）</w:t>
            </w:r>
          </w:p>
        </w:tc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受理到终止破产程序短于12个月（5分）</w:t>
            </w:r>
          </w:p>
        </w:tc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重大破产清算案件</w:t>
            </w: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受理到终结破产程序短于9个月（5分）</w:t>
            </w:r>
          </w:p>
        </w:tc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受理到终结破产程序短于12个月（4分）</w:t>
            </w:r>
          </w:p>
        </w:tc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个案工作情况评价表 （≤10分）</w:t>
            </w: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获评95分以上（2分）</w:t>
            </w:r>
          </w:p>
        </w:tc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获评90分以上（1分）</w:t>
            </w:r>
          </w:p>
        </w:tc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获评90分以下但个案工作情况评价表中财产追收指标得分为满分（0.5分）</w:t>
            </w:r>
          </w:p>
        </w:tc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业绩附加分（≤20分）</w:t>
            </w:r>
          </w:p>
        </w:tc>
        <w:tc>
          <w:tcPr>
            <w:tcW w:w="136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总结经验</w:t>
            </w:r>
          </w:p>
        </w:tc>
        <w:tc>
          <w:tcPr>
            <w:tcW w:w="50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入选最高法典型案例（5分）</w:t>
            </w:r>
          </w:p>
        </w:tc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入选自治区高院典型案例（4分）</w:t>
            </w:r>
          </w:p>
        </w:tc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入选广西破产管理人协会典型案例（3分）</w:t>
            </w:r>
          </w:p>
        </w:tc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其他可供复制的好经验好做法（3分）</w:t>
            </w:r>
          </w:p>
        </w:tc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理论研究</w:t>
            </w:r>
          </w:p>
        </w:tc>
        <w:tc>
          <w:tcPr>
            <w:tcW w:w="50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核心期刊（C刊）（1分）</w:t>
            </w:r>
          </w:p>
        </w:tc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自治区级期刊（0.3）</w:t>
            </w:r>
          </w:p>
        </w:tc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全国性破产论坛论文（0.3-1分）</w:t>
            </w:r>
          </w:p>
        </w:tc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破产领域专著（2分）</w:t>
            </w:r>
          </w:p>
        </w:tc>
        <w:tc>
          <w:tcPr>
            <w:tcW w:w="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个性化评分（≤10分）</w:t>
            </w:r>
          </w:p>
        </w:tc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前期尽调</w:t>
            </w:r>
          </w:p>
        </w:tc>
        <w:tc>
          <w:tcPr>
            <w:tcW w:w="553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管理人破产团队对破产企业的债权债务状况、经营事项、行业情况、涉及法律关系的了解程度，对重整投资人招募、重整项目的融资、职工安置等关键性问题的解决是否已经具有较为充足的前期准备（0-4分）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个案工作方案</w:t>
            </w:r>
          </w:p>
        </w:tc>
        <w:tc>
          <w:tcPr>
            <w:tcW w:w="553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从专业性、针对性、可行性进行考量，提出的投资人招募方式、资产处置方案、企业经营方案、资产盘活方案及其他关键问题的解决方案等方面情况进行综合评分（0-5分）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综合素质</w:t>
            </w:r>
          </w:p>
        </w:tc>
        <w:tc>
          <w:tcPr>
            <w:tcW w:w="553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综合申报材料规范性和现场陈述专业性（0-1分）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802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总得分</w:t>
            </w:r>
          </w:p>
        </w:tc>
        <w:tc>
          <w:tcPr>
            <w:tcW w:w="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tabs>
          <w:tab w:val="left" w:pos="1990"/>
          <w:tab w:val="left" w:pos="4320"/>
          <w:tab w:val="left" w:pos="4560"/>
          <w:tab w:val="left" w:pos="4800"/>
        </w:tabs>
        <w:spacing w:line="540" w:lineRule="exact"/>
        <w:jc w:val="both"/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821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2696B"/>
    <w:rsid w:val="01493A6B"/>
    <w:rsid w:val="02A2696B"/>
    <w:rsid w:val="4C8B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uppressAutoHyphens/>
      <w:bidi w:val="0"/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Body Text"/>
    <w:basedOn w:val="1"/>
    <w:qFormat/>
    <w:uiPriority w:val="1"/>
    <w:pPr>
      <w:ind w:left="120"/>
    </w:pPr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2023-12-06T09:37:00Z</dcterms:created>
  <dc:creator>Administrator</dc:creator>
  <cp:lastModifiedBy>Administrator</cp:lastModifiedBy>
  <dcterms:modified xsi:type="dcterms:W3CDTF">2023-12-06T09:38:24Z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