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000000" w:themeColor="text1"/>
          <w14:textFill>
            <w14:solidFill>
              <w14:schemeClr w14:val="tx1"/>
            </w14:solidFill>
          </w14:textFill>
        </w:rPr>
      </w:pPr>
    </w:p>
    <w:p>
      <w:pPr>
        <w:spacing w:line="560" w:lineRule="exact"/>
        <w:jc w:val="center"/>
        <w:rPr>
          <w:rFonts w:ascii="宋体" w:hAnsi="宋体"/>
          <w:b/>
          <w:bCs/>
          <w:color w:val="000000" w:themeColor="text1"/>
          <w:sz w:val="44"/>
          <w:szCs w:val="44"/>
          <w14:textFill>
            <w14:solidFill>
              <w14:schemeClr w14:val="tx1"/>
            </w14:solidFill>
          </w14:textFill>
        </w:rPr>
      </w:pPr>
      <w:r>
        <w:rPr>
          <w:rFonts w:hint="eastAsia" w:ascii="宋体" w:hAnsi="宋体"/>
          <w:b/>
          <w:bCs/>
          <w:color w:val="000000" w:themeColor="text1"/>
          <w:sz w:val="44"/>
          <w:szCs w:val="44"/>
          <w14:textFill>
            <w14:solidFill>
              <w14:schemeClr w14:val="tx1"/>
            </w14:solidFill>
          </w14:textFill>
        </w:rPr>
        <w:t>山西省太原市中级人民法院</w:t>
      </w:r>
    </w:p>
    <w:p>
      <w:pPr>
        <w:spacing w:line="560" w:lineRule="exact"/>
        <w:jc w:val="center"/>
        <w:rPr>
          <w:rFonts w:ascii="Arial Unicode MS" w:hAnsi="Arial Unicode MS" w:eastAsia="Arial Unicode MS" w:cs="Arial Unicode MS"/>
          <w:bCs/>
          <w:color w:val="000000" w:themeColor="text1"/>
          <w:spacing w:val="100"/>
          <w:sz w:val="52"/>
          <w:szCs w:val="52"/>
          <w14:textFill>
            <w14:solidFill>
              <w14:schemeClr w14:val="tx1"/>
            </w14:solidFill>
          </w14:textFill>
        </w:rPr>
      </w:pPr>
      <w:r>
        <w:rPr>
          <w:rFonts w:hint="eastAsia" w:ascii="宋体" w:hAnsi="宋体"/>
          <w:b/>
          <w:bCs/>
          <w:color w:val="000000" w:themeColor="text1"/>
          <w:sz w:val="52"/>
          <w:szCs w:val="52"/>
          <w14:textFill>
            <w14:solidFill>
              <w14:schemeClr w14:val="tx1"/>
            </w14:solidFill>
          </w14:textFill>
        </w:rPr>
        <w:t>刑 事 裁 定 书</w:t>
      </w:r>
    </w:p>
    <w:p>
      <w:pPr>
        <w:spacing w:line="300" w:lineRule="exact"/>
        <w:ind w:firstLine="560" w:firstLineChars="200"/>
        <w:jc w:val="right"/>
        <w:rPr>
          <w:rFonts w:ascii="Arial Unicode MS" w:hAnsi="Arial Unicode MS" w:eastAsia="Arial Unicode MS" w:cs="Arial Unicode MS"/>
          <w:color w:val="000000" w:themeColor="text1"/>
          <w:sz w:val="28"/>
          <w:szCs w:val="28"/>
          <w14:textFill>
            <w14:solidFill>
              <w14:schemeClr w14:val="tx1"/>
            </w14:solidFill>
          </w14:textFill>
        </w:rPr>
      </w:pPr>
    </w:p>
    <w:p>
      <w:pPr>
        <w:spacing w:line="300" w:lineRule="exact"/>
        <w:ind w:firstLine="560" w:firstLineChars="200"/>
        <w:jc w:val="right"/>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w:t>
      </w:r>
      <w:r>
        <w:rPr>
          <w:rFonts w:eastAsia="仿宋_GB2312"/>
          <w:color w:val="000000" w:themeColor="text1"/>
          <w:sz w:val="28"/>
          <w:szCs w:val="28"/>
          <w14:textFill>
            <w14:solidFill>
              <w14:schemeClr w14:val="tx1"/>
            </w14:solidFill>
          </w14:textFill>
        </w:rPr>
        <w:t>202</w:t>
      </w:r>
      <w:r>
        <w:rPr>
          <w:rFonts w:hint="eastAsia" w:eastAsia="仿宋_GB2312"/>
          <w:color w:val="000000" w:themeColor="text1"/>
          <w:sz w:val="28"/>
          <w:szCs w:val="28"/>
          <w14:textFill>
            <w14:solidFill>
              <w14:schemeClr w14:val="tx1"/>
            </w14:solidFill>
          </w14:textFill>
        </w:rPr>
        <w:t>3）晋</w:t>
      </w:r>
      <w:r>
        <w:rPr>
          <w:rFonts w:eastAsia="仿宋_GB2312"/>
          <w:color w:val="000000" w:themeColor="text1"/>
          <w:sz w:val="28"/>
          <w:szCs w:val="28"/>
          <w14:textFill>
            <w14:solidFill>
              <w14:schemeClr w14:val="tx1"/>
            </w14:solidFill>
          </w14:textFill>
        </w:rPr>
        <w:t>01</w:t>
      </w:r>
      <w:r>
        <w:rPr>
          <w:rFonts w:hint="eastAsia" w:eastAsia="仿宋_GB2312"/>
          <w:color w:val="000000" w:themeColor="text1"/>
          <w:sz w:val="28"/>
          <w:szCs w:val="28"/>
          <w14:textFill>
            <w14:solidFill>
              <w14:schemeClr w14:val="tx1"/>
            </w14:solidFill>
          </w14:textFill>
        </w:rPr>
        <w:t>刑更764号</w:t>
      </w:r>
    </w:p>
    <w:p>
      <w:pPr>
        <w:spacing w:line="300" w:lineRule="exact"/>
        <w:ind w:firstLine="560" w:firstLineChars="200"/>
        <w:jc w:val="right"/>
        <w:rPr>
          <w:rFonts w:ascii="Arial Unicode MS" w:hAnsi="Arial Unicode MS" w:eastAsia="Arial Unicode MS" w:cs="Arial Unicode MS"/>
          <w:color w:val="000000" w:themeColor="text1"/>
          <w:sz w:val="28"/>
          <w:szCs w:val="28"/>
          <w14:textFill>
            <w14:solidFill>
              <w14:schemeClr w14:val="tx1"/>
            </w14:solidFill>
          </w14:textFill>
        </w:rPr>
      </w:pPr>
    </w:p>
    <w:p>
      <w:pPr>
        <w:spacing w:line="440" w:lineRule="exact"/>
        <w:ind w:firstLine="640" w:firstLineChars="200"/>
        <w:contextualSpacing/>
        <w:rPr>
          <w:rFonts w:eastAsia="仿宋_GB2312"/>
          <w:color w:val="000000" w:themeColor="text1"/>
          <w:sz w:val="32"/>
          <w:szCs w:val="28"/>
          <w14:textFill>
            <w14:solidFill>
              <w14:schemeClr w14:val="tx1"/>
            </w14:solidFill>
          </w14:textFill>
        </w:rPr>
      </w:pPr>
    </w:p>
    <w:p>
      <w:pPr>
        <w:spacing w:line="440" w:lineRule="exact"/>
        <w:ind w:firstLine="640" w:firstLineChars="200"/>
        <w:contextualSpacing/>
        <w:rPr>
          <w:rFonts w:eastAsia="仿宋_GB2312"/>
          <w:color w:val="000000" w:themeColor="text1"/>
          <w:sz w:val="32"/>
          <w:szCs w:val="28"/>
          <w14:textFill>
            <w14:solidFill>
              <w14:schemeClr w14:val="tx1"/>
            </w14:solidFill>
          </w14:textFill>
        </w:rPr>
      </w:pPr>
      <w:r>
        <w:rPr>
          <w:rFonts w:eastAsia="仿宋_GB2312"/>
          <w:color w:val="000000" w:themeColor="text1"/>
          <w:sz w:val="32"/>
          <w:szCs w:val="28"/>
          <w14:textFill>
            <w14:solidFill>
              <w14:schemeClr w14:val="tx1"/>
            </w14:solidFill>
          </w14:textFill>
        </w:rPr>
        <w:t>罪犯</w:t>
      </w:r>
      <w:r>
        <w:rPr>
          <w:rFonts w:hint="eastAsia" w:eastAsia="仿宋_GB2312"/>
          <w:color w:val="000000" w:themeColor="text1"/>
          <w:sz w:val="32"/>
          <w:szCs w:val="28"/>
          <w14:textFill>
            <w14:solidFill>
              <w14:schemeClr w14:val="tx1"/>
            </w14:solidFill>
          </w14:textFill>
        </w:rPr>
        <w:t>邵鹏亮</w:t>
      </w:r>
      <w:r>
        <w:rPr>
          <w:rFonts w:eastAsia="仿宋_GB2312"/>
          <w:color w:val="000000" w:themeColor="text1"/>
          <w:sz w:val="32"/>
          <w:szCs w:val="28"/>
          <w14:textFill>
            <w14:solidFill>
              <w14:schemeClr w14:val="tx1"/>
            </w14:solidFill>
          </w14:textFill>
        </w:rPr>
        <w:t>，</w:t>
      </w:r>
      <w:r>
        <w:rPr>
          <w:rFonts w:hint="eastAsia" w:eastAsia="仿宋_GB2312"/>
          <w:color w:val="000000" w:themeColor="text1"/>
          <w:sz w:val="32"/>
          <w:szCs w:val="28"/>
          <w14:textFill>
            <w14:solidFill>
              <w14:schemeClr w14:val="tx1"/>
            </w14:solidFill>
          </w14:textFill>
        </w:rPr>
        <w:t>男</w:t>
      </w:r>
      <w:r>
        <w:rPr>
          <w:rFonts w:eastAsia="仿宋_GB2312"/>
          <w:color w:val="000000" w:themeColor="text1"/>
          <w:sz w:val="32"/>
          <w:szCs w:val="28"/>
          <w14:textFill>
            <w14:solidFill>
              <w14:schemeClr w14:val="tx1"/>
            </w14:solidFill>
          </w14:textFill>
        </w:rPr>
        <w:t>，19</w:t>
      </w:r>
      <w:r>
        <w:rPr>
          <w:rFonts w:hint="eastAsia" w:eastAsia="仿宋_GB2312"/>
          <w:color w:val="000000" w:themeColor="text1"/>
          <w:sz w:val="32"/>
          <w:szCs w:val="28"/>
          <w14:textFill>
            <w14:solidFill>
              <w14:schemeClr w14:val="tx1"/>
            </w14:solidFill>
          </w14:textFill>
        </w:rPr>
        <w:t>92</w:t>
      </w:r>
      <w:r>
        <w:rPr>
          <w:rFonts w:eastAsia="仿宋_GB2312"/>
          <w:color w:val="000000" w:themeColor="text1"/>
          <w:sz w:val="32"/>
          <w:szCs w:val="28"/>
          <w14:textFill>
            <w14:solidFill>
              <w14:schemeClr w14:val="tx1"/>
            </w14:solidFill>
          </w14:textFill>
        </w:rPr>
        <w:t>年</w:t>
      </w:r>
      <w:r>
        <w:rPr>
          <w:rFonts w:hint="eastAsia" w:eastAsia="仿宋_GB2312"/>
          <w:color w:val="000000" w:themeColor="text1"/>
          <w:sz w:val="32"/>
          <w:szCs w:val="28"/>
          <w14:textFill>
            <w14:solidFill>
              <w14:schemeClr w14:val="tx1"/>
            </w14:solidFill>
          </w14:textFill>
        </w:rPr>
        <w:t>2</w:t>
      </w:r>
      <w:r>
        <w:rPr>
          <w:rFonts w:eastAsia="仿宋_GB2312"/>
          <w:color w:val="000000" w:themeColor="text1"/>
          <w:sz w:val="32"/>
          <w:szCs w:val="28"/>
          <w14:textFill>
            <w14:solidFill>
              <w14:schemeClr w14:val="tx1"/>
            </w14:solidFill>
          </w14:textFill>
        </w:rPr>
        <w:t>月</w:t>
      </w:r>
      <w:r>
        <w:rPr>
          <w:rFonts w:hint="eastAsia" w:eastAsia="仿宋_GB2312"/>
          <w:color w:val="000000" w:themeColor="text1"/>
          <w:sz w:val="32"/>
          <w:szCs w:val="28"/>
          <w14:textFill>
            <w14:solidFill>
              <w14:schemeClr w14:val="tx1"/>
            </w14:solidFill>
          </w14:textFill>
        </w:rPr>
        <w:t>2</w:t>
      </w:r>
      <w:r>
        <w:rPr>
          <w:rFonts w:eastAsia="仿宋_GB2312"/>
          <w:color w:val="000000" w:themeColor="text1"/>
          <w:sz w:val="32"/>
          <w:szCs w:val="28"/>
          <w14:textFill>
            <w14:solidFill>
              <w14:schemeClr w14:val="tx1"/>
            </w14:solidFill>
          </w14:textFill>
        </w:rPr>
        <w:t>日出生，汉族，</w:t>
      </w:r>
      <w:r>
        <w:rPr>
          <w:rFonts w:hint="eastAsia" w:eastAsia="仿宋_GB2312"/>
          <w:color w:val="000000" w:themeColor="text1"/>
          <w:sz w:val="32"/>
          <w:szCs w:val="28"/>
          <w14:textFill>
            <w14:solidFill>
              <w14:schemeClr w14:val="tx1"/>
            </w14:solidFill>
          </w14:textFill>
        </w:rPr>
        <w:t>出生于山西省忻州市宁武县，高中文化，原家庭住址</w:t>
      </w:r>
      <w:r>
        <w:rPr>
          <w:rFonts w:hint="eastAsia" w:ascii="仿宋_GB2312" w:eastAsia="仿宋_GB2312"/>
          <w:color w:val="000000" w:themeColor="text1"/>
          <w:sz w:val="32"/>
          <w:szCs w:val="32"/>
          <w14:textFill>
            <w14:solidFill>
              <w14:schemeClr w14:val="tx1"/>
            </w14:solidFill>
          </w14:textFill>
        </w:rPr>
        <w:t>山西省忻州市宁武县阳方口镇袁家窑村30号41户</w:t>
      </w:r>
      <w:r>
        <w:rPr>
          <w:rFonts w:hint="eastAsia" w:ascii="仿宋_GB2312" w:hAnsi="宋体" w:eastAsia="仿宋_GB2312" w:cs="宋体"/>
          <w:color w:val="000000" w:themeColor="text1"/>
          <w:sz w:val="32"/>
          <w:szCs w:val="32"/>
          <w14:textFill>
            <w14:solidFill>
              <w14:schemeClr w14:val="tx1"/>
            </w14:solidFill>
          </w14:textFill>
        </w:rPr>
        <w:t>，</w:t>
      </w:r>
      <w:r>
        <w:rPr>
          <w:rFonts w:eastAsia="仿宋_GB2312"/>
          <w:color w:val="000000" w:themeColor="text1"/>
          <w:sz w:val="32"/>
          <w:szCs w:val="28"/>
          <w14:textFill>
            <w14:solidFill>
              <w14:schemeClr w14:val="tx1"/>
            </w14:solidFill>
          </w14:textFill>
        </w:rPr>
        <w:t>现</w:t>
      </w:r>
      <w:r>
        <w:rPr>
          <w:rFonts w:hint="eastAsia" w:eastAsia="仿宋_GB2312"/>
          <w:color w:val="000000" w:themeColor="text1"/>
          <w:sz w:val="32"/>
          <w:szCs w:val="28"/>
          <w14:textFill>
            <w14:solidFill>
              <w14:schemeClr w14:val="tx1"/>
            </w14:solidFill>
          </w14:textFill>
        </w:rPr>
        <w:t>服刑于</w:t>
      </w:r>
      <w:r>
        <w:rPr>
          <w:rFonts w:eastAsia="仿宋_GB2312"/>
          <w:color w:val="000000" w:themeColor="text1"/>
          <w:sz w:val="32"/>
          <w:szCs w:val="28"/>
          <w14:textFill>
            <w14:solidFill>
              <w14:schemeClr w14:val="tx1"/>
            </w14:solidFill>
          </w14:textFill>
        </w:rPr>
        <w:t>山西省太原第四监狱</w:t>
      </w:r>
      <w:r>
        <w:rPr>
          <w:rFonts w:hint="eastAsia" w:eastAsia="仿宋_GB2312"/>
          <w:color w:val="000000" w:themeColor="text1"/>
          <w:sz w:val="32"/>
          <w:szCs w:val="28"/>
          <w14:textFill>
            <w14:solidFill>
              <w14:schemeClr w14:val="tx1"/>
            </w14:solidFill>
          </w14:textFill>
        </w:rPr>
        <w:t>。</w:t>
      </w:r>
    </w:p>
    <w:p>
      <w:pPr>
        <w:spacing w:line="440" w:lineRule="exact"/>
        <w:ind w:firstLine="640" w:firstLineChars="200"/>
        <w:contextualSpacing/>
        <w:rPr>
          <w:rFonts w:eastAsia="仿宋_GB2312"/>
          <w:color w:val="000000" w:themeColor="text1"/>
          <w:sz w:val="32"/>
          <w:szCs w:val="28"/>
          <w14:textFill>
            <w14:solidFill>
              <w14:schemeClr w14:val="tx1"/>
            </w14:solidFill>
          </w14:textFill>
        </w:rPr>
      </w:pPr>
      <w:r>
        <w:rPr>
          <w:rFonts w:eastAsia="仿宋_GB2312"/>
          <w:color w:val="000000" w:themeColor="text1"/>
          <w:sz w:val="32"/>
          <w:szCs w:val="28"/>
          <w14:textFill>
            <w14:solidFill>
              <w14:schemeClr w14:val="tx1"/>
            </w14:solidFill>
          </w14:textFill>
        </w:rPr>
        <w:t>山西省</w:t>
      </w:r>
      <w:r>
        <w:rPr>
          <w:rFonts w:hint="eastAsia" w:eastAsia="仿宋_GB2312"/>
          <w:color w:val="000000" w:themeColor="text1"/>
          <w:sz w:val="32"/>
          <w:szCs w:val="28"/>
          <w14:textFill>
            <w14:solidFill>
              <w14:schemeClr w14:val="tx1"/>
            </w14:solidFill>
          </w14:textFill>
        </w:rPr>
        <w:t>朔州市朔城区人民</w:t>
      </w:r>
      <w:r>
        <w:rPr>
          <w:rFonts w:eastAsia="仿宋_GB2312"/>
          <w:color w:val="000000" w:themeColor="text1"/>
          <w:sz w:val="32"/>
          <w:szCs w:val="28"/>
          <w14:textFill>
            <w14:solidFill>
              <w14:schemeClr w14:val="tx1"/>
            </w14:solidFill>
          </w14:textFill>
        </w:rPr>
        <w:t>法院于20</w:t>
      </w:r>
      <w:r>
        <w:rPr>
          <w:rFonts w:hint="eastAsia" w:eastAsia="仿宋_GB2312"/>
          <w:color w:val="000000" w:themeColor="text1"/>
          <w:sz w:val="32"/>
          <w:szCs w:val="28"/>
          <w14:textFill>
            <w14:solidFill>
              <w14:schemeClr w14:val="tx1"/>
            </w14:solidFill>
          </w14:textFill>
        </w:rPr>
        <w:t>21</w:t>
      </w:r>
      <w:r>
        <w:rPr>
          <w:rFonts w:eastAsia="仿宋_GB2312"/>
          <w:color w:val="000000" w:themeColor="text1"/>
          <w:sz w:val="32"/>
          <w:szCs w:val="28"/>
          <w14:textFill>
            <w14:solidFill>
              <w14:schemeClr w14:val="tx1"/>
            </w14:solidFill>
          </w14:textFill>
        </w:rPr>
        <w:t>年</w:t>
      </w:r>
      <w:r>
        <w:rPr>
          <w:rFonts w:hint="eastAsia" w:eastAsia="仿宋_GB2312"/>
          <w:color w:val="000000" w:themeColor="text1"/>
          <w:sz w:val="32"/>
          <w:szCs w:val="28"/>
          <w14:textFill>
            <w14:solidFill>
              <w14:schemeClr w14:val="tx1"/>
            </w14:solidFill>
          </w14:textFill>
        </w:rPr>
        <w:t>10</w:t>
      </w:r>
      <w:r>
        <w:rPr>
          <w:rFonts w:eastAsia="仿宋_GB2312"/>
          <w:color w:val="000000" w:themeColor="text1"/>
          <w:sz w:val="32"/>
          <w:szCs w:val="28"/>
          <w14:textFill>
            <w14:solidFill>
              <w14:schemeClr w14:val="tx1"/>
            </w14:solidFill>
          </w14:textFill>
        </w:rPr>
        <w:t>月</w:t>
      </w:r>
      <w:r>
        <w:rPr>
          <w:rFonts w:hint="eastAsia" w:eastAsia="仿宋_GB2312"/>
          <w:color w:val="000000" w:themeColor="text1"/>
          <w:sz w:val="32"/>
          <w:szCs w:val="28"/>
          <w14:textFill>
            <w14:solidFill>
              <w14:schemeClr w14:val="tx1"/>
            </w14:solidFill>
          </w14:textFill>
        </w:rPr>
        <w:t>29</w:t>
      </w:r>
      <w:r>
        <w:rPr>
          <w:rFonts w:eastAsia="仿宋_GB2312"/>
          <w:color w:val="000000" w:themeColor="text1"/>
          <w:sz w:val="32"/>
          <w:szCs w:val="28"/>
          <w14:textFill>
            <w14:solidFill>
              <w14:schemeClr w14:val="tx1"/>
            </w14:solidFill>
          </w14:textFill>
        </w:rPr>
        <w:t>日作出（20</w:t>
      </w:r>
      <w:r>
        <w:rPr>
          <w:rFonts w:hint="eastAsia" w:eastAsia="仿宋_GB2312"/>
          <w:color w:val="000000" w:themeColor="text1"/>
          <w:sz w:val="32"/>
          <w:szCs w:val="28"/>
          <w14:textFill>
            <w14:solidFill>
              <w14:schemeClr w14:val="tx1"/>
            </w14:solidFill>
          </w14:textFill>
        </w:rPr>
        <w:t>21</w:t>
      </w:r>
      <w:r>
        <w:rPr>
          <w:rFonts w:eastAsia="仿宋_GB2312"/>
          <w:color w:val="000000" w:themeColor="text1"/>
          <w:sz w:val="32"/>
          <w:szCs w:val="28"/>
          <w14:textFill>
            <w14:solidFill>
              <w14:schemeClr w14:val="tx1"/>
            </w14:solidFill>
          </w14:textFill>
        </w:rPr>
        <w:t>）</w:t>
      </w:r>
      <w:r>
        <w:rPr>
          <w:rFonts w:hint="eastAsia" w:eastAsia="仿宋_GB2312"/>
          <w:color w:val="000000" w:themeColor="text1"/>
          <w:sz w:val="32"/>
          <w:szCs w:val="28"/>
          <w14:textFill>
            <w14:solidFill>
              <w14:schemeClr w14:val="tx1"/>
            </w14:solidFill>
          </w14:textFill>
        </w:rPr>
        <w:t>晋0602刑初164号</w:t>
      </w:r>
      <w:r>
        <w:rPr>
          <w:rFonts w:eastAsia="仿宋_GB2312"/>
          <w:color w:val="000000" w:themeColor="text1"/>
          <w:sz w:val="32"/>
          <w:szCs w:val="28"/>
          <w14:textFill>
            <w14:solidFill>
              <w14:schemeClr w14:val="tx1"/>
            </w14:solidFill>
          </w14:textFill>
        </w:rPr>
        <w:t>刑事判决，以罪犯</w:t>
      </w:r>
      <w:r>
        <w:rPr>
          <w:rFonts w:hint="eastAsia" w:eastAsia="仿宋_GB2312"/>
          <w:color w:val="000000" w:themeColor="text1"/>
          <w:sz w:val="32"/>
          <w:szCs w:val="28"/>
          <w14:textFill>
            <w14:solidFill>
              <w14:schemeClr w14:val="tx1"/>
            </w14:solidFill>
          </w14:textFill>
        </w:rPr>
        <w:t>邵鹏亮</w:t>
      </w:r>
      <w:r>
        <w:rPr>
          <w:rFonts w:eastAsia="仿宋_GB2312"/>
          <w:color w:val="000000" w:themeColor="text1"/>
          <w:sz w:val="32"/>
          <w:szCs w:val="28"/>
          <w14:textFill>
            <w14:solidFill>
              <w14:schemeClr w14:val="tx1"/>
            </w14:solidFill>
          </w14:textFill>
        </w:rPr>
        <w:t>犯</w:t>
      </w:r>
      <w:r>
        <w:rPr>
          <w:rFonts w:hint="eastAsia" w:eastAsia="仿宋_GB2312"/>
          <w:color w:val="000000" w:themeColor="text1"/>
          <w:sz w:val="32"/>
          <w:szCs w:val="28"/>
          <w14:textFill>
            <w14:solidFill>
              <w14:schemeClr w14:val="tx1"/>
            </w14:solidFill>
          </w14:textFill>
        </w:rPr>
        <w:t>掩饰、隐瞒犯罪所得罪,</w:t>
      </w:r>
      <w:r>
        <w:rPr>
          <w:rFonts w:eastAsia="仿宋_GB2312"/>
          <w:color w:val="000000" w:themeColor="text1"/>
          <w:sz w:val="32"/>
          <w:szCs w:val="28"/>
          <w14:textFill>
            <w14:solidFill>
              <w14:schemeClr w14:val="tx1"/>
            </w14:solidFill>
          </w14:textFill>
        </w:rPr>
        <w:t>判处有期徒刑</w:t>
      </w:r>
      <w:r>
        <w:rPr>
          <w:rFonts w:hint="eastAsia" w:eastAsia="仿宋_GB2312"/>
          <w:color w:val="000000" w:themeColor="text1"/>
          <w:sz w:val="32"/>
          <w:szCs w:val="28"/>
          <w14:textFill>
            <w14:solidFill>
              <w14:schemeClr w14:val="tx1"/>
            </w14:solidFill>
          </w14:textFill>
        </w:rPr>
        <w:t>3年6个月，并处罚金10000元，追缴违法所得8100元。</w:t>
      </w:r>
      <w:r>
        <w:rPr>
          <w:rFonts w:hint="eastAsia" w:eastAsia="仿宋_GB2312"/>
          <w:color w:val="000000" w:themeColor="text1"/>
          <w:sz w:val="32"/>
          <w:szCs w:val="32"/>
          <w14:textFill>
            <w14:solidFill>
              <w14:schemeClr w14:val="tx1"/>
            </w14:solidFill>
          </w14:textFill>
        </w:rPr>
        <w:t>刑期起止日期：</w:t>
      </w:r>
      <w:r>
        <w:rPr>
          <w:rFonts w:eastAsia="仿宋_GB2312"/>
          <w:color w:val="000000" w:themeColor="text1"/>
          <w:sz w:val="32"/>
          <w:szCs w:val="32"/>
          <w14:textFill>
            <w14:solidFill>
              <w14:schemeClr w14:val="tx1"/>
            </w14:solidFill>
          </w14:textFill>
        </w:rPr>
        <w:t>20</w:t>
      </w:r>
      <w:r>
        <w:rPr>
          <w:rFonts w:hint="eastAsia" w:eastAsia="仿宋_GB2312"/>
          <w:color w:val="000000" w:themeColor="text1"/>
          <w:sz w:val="32"/>
          <w:szCs w:val="32"/>
          <w14:textFill>
            <w14:solidFill>
              <w14:schemeClr w14:val="tx1"/>
            </w14:solidFill>
          </w14:textFill>
        </w:rPr>
        <w:t>21年3月26日起至</w:t>
      </w:r>
      <w:r>
        <w:rPr>
          <w:rFonts w:eastAsia="仿宋_GB2312"/>
          <w:color w:val="000000" w:themeColor="text1"/>
          <w:sz w:val="32"/>
          <w:szCs w:val="32"/>
          <w14:textFill>
            <w14:solidFill>
              <w14:schemeClr w14:val="tx1"/>
            </w14:solidFill>
          </w14:textFill>
        </w:rPr>
        <w:t>202</w:t>
      </w:r>
      <w:r>
        <w:rPr>
          <w:rFonts w:hint="eastAsia" w:eastAsia="仿宋_GB2312"/>
          <w:color w:val="000000" w:themeColor="text1"/>
          <w:sz w:val="32"/>
          <w:szCs w:val="32"/>
          <w14:textFill>
            <w14:solidFill>
              <w14:schemeClr w14:val="tx1"/>
            </w14:solidFill>
          </w14:textFill>
        </w:rPr>
        <w:t>4年9月25日止。一审法院判决后，罪犯</w:t>
      </w:r>
      <w:r>
        <w:rPr>
          <w:rFonts w:hint="eastAsia" w:eastAsia="仿宋_GB2312"/>
          <w:color w:val="000000" w:themeColor="text1"/>
          <w:sz w:val="32"/>
          <w:szCs w:val="28"/>
          <w14:textFill>
            <w14:solidFill>
              <w14:schemeClr w14:val="tx1"/>
            </w14:solidFill>
          </w14:textFill>
        </w:rPr>
        <w:t>邵鹏亮不服，提出上诉。山西省朔州市中级人民法院于2021年12月13日作出（2021）晋06刑终158号刑事裁定，驳回上诉，维持原判。罪犯邵鹏亮于2022年3月28日被交付执行。执行机关山西省太原第四监狱于2023年12月7日提出假释建议，报送本院审理。本院依法组成合议庭于2023年12月18日公开开庭进行了审理。山西省太原第四监狱刑罚执行科郭来泉、王宏利，山西省太原西峪地区人民检察院检察员严立新、李庆龄出庭履行职务。本案现已审理终结。</w:t>
      </w:r>
    </w:p>
    <w:p>
      <w:pPr>
        <w:spacing w:line="440" w:lineRule="exact"/>
        <w:ind w:firstLine="640" w:firstLineChars="200"/>
        <w:contextualSpacing/>
        <w:rPr>
          <w:rFonts w:eastAsia="仿宋_GB2312"/>
          <w:color w:val="000000" w:themeColor="text1"/>
          <w:sz w:val="32"/>
          <w:szCs w:val="28"/>
          <w14:textFill>
            <w14:solidFill>
              <w14:schemeClr w14:val="tx1"/>
            </w14:solidFill>
          </w14:textFill>
        </w:rPr>
      </w:pPr>
      <w:r>
        <w:rPr>
          <w:rFonts w:hint="eastAsia" w:eastAsia="仿宋_GB2312"/>
          <w:color w:val="000000" w:themeColor="text1"/>
          <w:sz w:val="32"/>
          <w:szCs w:val="28"/>
          <w14:textFill>
            <w14:solidFill>
              <w14:schemeClr w14:val="tx1"/>
            </w14:solidFill>
          </w14:textFill>
        </w:rPr>
        <w:t>执行机关认为，</w:t>
      </w:r>
      <w:r>
        <w:rPr>
          <w:rFonts w:hint="eastAsia" w:eastAsia="仿宋_GB2312"/>
          <w:color w:val="000000" w:themeColor="text1"/>
          <w:sz w:val="32"/>
          <w:szCs w:val="32"/>
          <w14:textFill>
            <w14:solidFill>
              <w14:schemeClr w14:val="tx1"/>
            </w14:solidFill>
          </w14:textFill>
        </w:rPr>
        <w:t>罪犯邵鹏亮在服刑期间深刻认识到自己所犯的罪行，能认罪服法，积极学习国家政策和法律法规，严格遵守监规，接受教育改造。同时，罪犯邵鹏亮也积极参加政治、文化、技术学习；积极参加劳动，按质按量完成劳动任务。</w:t>
      </w:r>
      <w:r>
        <w:rPr>
          <w:rFonts w:hint="eastAsia" w:eastAsia="仿宋_GB2312"/>
          <w:color w:val="000000" w:themeColor="text1"/>
          <w:sz w:val="32"/>
          <w:szCs w:val="28"/>
          <w14:textFill>
            <w14:solidFill>
              <w14:schemeClr w14:val="tx1"/>
            </w14:solidFill>
          </w14:textFill>
        </w:rPr>
        <w:t>罪犯邵鹏亮在服刑期间确有悔改表现。罪犯邵鹏亮实际服刑期限已超过二分之一，经再犯罪危险评估为低风险，认定“没有再犯罪的危险”，且该犯居住地的社区矫正管理局有监督管理条件，假释后生活有着落，具备假释基本条件。建议对其予以假释。</w:t>
      </w:r>
    </w:p>
    <w:p>
      <w:pPr>
        <w:spacing w:line="440" w:lineRule="exact"/>
        <w:ind w:firstLine="640" w:firstLineChars="200"/>
        <w:contextualSpacing/>
        <w:rPr>
          <w:rFonts w:eastAsia="仿宋_GB2312"/>
          <w:color w:val="000000" w:themeColor="text1"/>
          <w:sz w:val="32"/>
          <w:szCs w:val="28"/>
          <w14:textFill>
            <w14:solidFill>
              <w14:schemeClr w14:val="tx1"/>
            </w14:solidFill>
          </w14:textFill>
        </w:rPr>
      </w:pPr>
      <w:r>
        <w:rPr>
          <w:rFonts w:hint="eastAsia" w:eastAsia="仿宋_GB2312"/>
          <w:color w:val="000000" w:themeColor="text1"/>
          <w:sz w:val="32"/>
          <w:szCs w:val="28"/>
          <w14:textFill>
            <w14:solidFill>
              <w14:schemeClr w14:val="tx1"/>
            </w14:solidFill>
          </w14:textFill>
        </w:rPr>
        <w:t>监督机关认为，</w:t>
      </w:r>
      <w:r>
        <w:rPr>
          <w:rFonts w:hint="eastAsia" w:eastAsia="仿宋_GB2312"/>
          <w:color w:val="000000" w:themeColor="text1"/>
          <w:sz w:val="32"/>
          <w:szCs w:val="32"/>
          <w14:textFill>
            <w14:solidFill>
              <w14:schemeClr w14:val="tx1"/>
            </w14:solidFill>
          </w14:textFill>
        </w:rPr>
        <w:t>山西省太原第四监狱对罪犯邵鹏亮的假释建议及相关证明材料符合法律规定的条件和程序，同意对罪犯邵鹏亮予以假释。</w:t>
      </w:r>
    </w:p>
    <w:p>
      <w:pPr>
        <w:spacing w:line="420" w:lineRule="exact"/>
        <w:ind w:firstLine="640" w:firstLineChars="200"/>
        <w:contextualSpacing/>
        <w:rPr>
          <w:rFonts w:eastAsia="仿宋_GB2312"/>
          <w:color w:val="000000" w:themeColor="text1"/>
          <w:sz w:val="32"/>
          <w:szCs w:val="28"/>
          <w14:textFill>
            <w14:solidFill>
              <w14:schemeClr w14:val="tx1"/>
            </w14:solidFill>
          </w14:textFill>
        </w:rPr>
      </w:pPr>
      <w:r>
        <w:rPr>
          <w:rFonts w:hint="eastAsia" w:eastAsia="仿宋_GB2312"/>
          <w:color w:val="000000" w:themeColor="text1"/>
          <w:sz w:val="32"/>
          <w:szCs w:val="28"/>
          <w14:textFill>
            <w14:solidFill>
              <w14:schemeClr w14:val="tx1"/>
            </w14:solidFill>
          </w14:textFill>
        </w:rPr>
        <w:t>经审理查明，罪犯邵鹏亮在服刑期间认罪悔罪，服从管教，遵守监规纪律，积极改造，于2023年2月至2023年9月共获得监狱表扬2次，罚金10000元已缴纳，追缴违法所得8100元已履行。经再犯罪危险评估综合得分28.1分，属低风险。且经宁武县社区矫正管理局对罪犯邵鹏亮是否适用社区矫正进行调查评估，认为可以适用社区矫正。证实该事实的证据有刑罚执行机关出具的罪犯</w:t>
      </w:r>
      <w:r>
        <w:rPr>
          <w:rFonts w:hint="eastAsia" w:eastAsia="仿宋_GB2312"/>
          <w:color w:val="000000" w:themeColor="text1"/>
          <w:sz w:val="32"/>
          <w:szCs w:val="32"/>
          <w14:textFill>
            <w14:solidFill>
              <w14:schemeClr w14:val="tx1"/>
            </w14:solidFill>
          </w14:textFill>
        </w:rPr>
        <w:t>奖励审批表、罪犯年度计分考核登记台账、罪犯评审鉴定表、罪犯分级处遇级别评定审批表、罪犯三课学习成绩单、罪犯“确有悔改表现”评价表及本人认罪悔罪书、罪犯财产性判项履行情况证明、罪犯狱内月消费情况统计表、</w:t>
      </w:r>
      <w:r>
        <w:rPr>
          <w:rFonts w:hint="eastAsia" w:eastAsia="仿宋_GB2312"/>
          <w:color w:val="000000" w:themeColor="text1"/>
          <w:sz w:val="32"/>
          <w:szCs w:val="28"/>
          <w14:textFill>
            <w14:solidFill>
              <w14:schemeClr w14:val="tx1"/>
            </w14:solidFill>
          </w14:textFill>
        </w:rPr>
        <w:t>拟假释罪犯再犯罪危险评估表、拟假释罪犯社区影响调查表、调查评估意见书、假释监督承诺书。庭审中，</w:t>
      </w:r>
      <w:r>
        <w:rPr>
          <w:rFonts w:eastAsia="仿宋_GB2312"/>
          <w:color w:val="000000" w:themeColor="text1"/>
          <w:sz w:val="32"/>
          <w:szCs w:val="28"/>
          <w14:textFill>
            <w14:solidFill>
              <w14:schemeClr w14:val="tx1"/>
            </w14:solidFill>
          </w14:textFill>
        </w:rPr>
        <w:t>罪犯</w:t>
      </w:r>
      <w:r>
        <w:rPr>
          <w:rFonts w:hint="eastAsia" w:eastAsia="仿宋_GB2312"/>
          <w:color w:val="000000" w:themeColor="text1"/>
          <w:sz w:val="32"/>
          <w:szCs w:val="28"/>
          <w14:textFill>
            <w14:solidFill>
              <w14:schemeClr w14:val="tx1"/>
            </w14:solidFill>
          </w14:textFill>
        </w:rPr>
        <w:t>邵鹏亮</w:t>
      </w:r>
      <w:r>
        <w:rPr>
          <w:rFonts w:eastAsia="仿宋_GB2312"/>
          <w:color w:val="000000" w:themeColor="text1"/>
          <w:sz w:val="32"/>
          <w:szCs w:val="28"/>
          <w14:textFill>
            <w14:solidFill>
              <w14:schemeClr w14:val="tx1"/>
            </w14:solidFill>
          </w14:textFill>
        </w:rPr>
        <w:t>所在监区的</w:t>
      </w:r>
      <w:r>
        <w:rPr>
          <w:rFonts w:hint="eastAsia" w:eastAsia="仿宋_GB2312"/>
          <w:color w:val="000000" w:themeColor="text1"/>
          <w:sz w:val="32"/>
          <w:szCs w:val="28"/>
          <w14:textFill>
            <w14:solidFill>
              <w14:schemeClr w14:val="tx1"/>
            </w14:solidFill>
          </w14:textFill>
        </w:rPr>
        <w:t>管教干警及同监舍罪犯</w:t>
      </w:r>
      <w:r>
        <w:rPr>
          <w:rFonts w:eastAsia="仿宋_GB2312"/>
          <w:color w:val="000000" w:themeColor="text1"/>
          <w:sz w:val="32"/>
          <w:szCs w:val="28"/>
          <w14:textFill>
            <w14:solidFill>
              <w14:schemeClr w14:val="tx1"/>
            </w14:solidFill>
          </w14:textFill>
        </w:rPr>
        <w:t>出庭作证，</w:t>
      </w:r>
      <w:r>
        <w:rPr>
          <w:rFonts w:hint="eastAsia" w:eastAsia="仿宋_GB2312"/>
          <w:color w:val="000000" w:themeColor="text1"/>
          <w:sz w:val="32"/>
          <w:szCs w:val="28"/>
          <w14:textFill>
            <w14:solidFill>
              <w14:schemeClr w14:val="tx1"/>
            </w14:solidFill>
          </w14:textFill>
        </w:rPr>
        <w:t>从认罪悔罪、遵守监规、教育改造及劳动改造四个方面，</w:t>
      </w:r>
      <w:r>
        <w:rPr>
          <w:rFonts w:eastAsia="仿宋_GB2312"/>
          <w:color w:val="000000" w:themeColor="text1"/>
          <w:sz w:val="32"/>
          <w:szCs w:val="28"/>
          <w14:textFill>
            <w14:solidFill>
              <w14:schemeClr w14:val="tx1"/>
            </w14:solidFill>
          </w14:textFill>
        </w:rPr>
        <w:t>证明其在服刑期间确有悔改表现</w:t>
      </w:r>
      <w:r>
        <w:rPr>
          <w:rFonts w:hint="eastAsia" w:eastAsia="仿宋_GB2312"/>
          <w:color w:val="000000" w:themeColor="text1"/>
          <w:sz w:val="32"/>
          <w:szCs w:val="28"/>
          <w14:textFill>
            <w14:solidFill>
              <w14:schemeClr w14:val="tx1"/>
            </w14:solidFill>
          </w14:textFill>
        </w:rPr>
        <w:t>，假释后不会对社会造成危害。</w:t>
      </w:r>
    </w:p>
    <w:p>
      <w:pPr>
        <w:spacing w:line="440" w:lineRule="exact"/>
        <w:ind w:firstLine="640" w:firstLineChars="200"/>
        <w:contextualSpacing/>
        <w:rPr>
          <w:rFonts w:eastAsia="仿宋_GB2312"/>
          <w:color w:val="000000" w:themeColor="text1"/>
          <w:sz w:val="32"/>
          <w:szCs w:val="28"/>
          <w14:textFill>
            <w14:solidFill>
              <w14:schemeClr w14:val="tx1"/>
            </w14:solidFill>
          </w14:textFill>
        </w:rPr>
      </w:pPr>
      <w:r>
        <w:rPr>
          <w:rFonts w:hint="eastAsia" w:eastAsia="仿宋_GB2312"/>
          <w:color w:val="000000" w:themeColor="text1"/>
          <w:sz w:val="32"/>
          <w:szCs w:val="28"/>
          <w14:textFill>
            <w14:solidFill>
              <w14:schemeClr w14:val="tx1"/>
            </w14:solidFill>
          </w14:textFill>
        </w:rPr>
        <w:t>本院认为，罪犯邵鹏亮现已实际执行原判刑期二分之一以上，在服刑期间，认真遵守监规纪律，接受教育改造，确有悔改表现，且经再犯罪危险评估为低风险，司法行政机关同意将其纳入社区矫正，符合法定假释条件。依照《中华人民共和国刑法》第八十一条、第八十二条、第八十三条；《中华人民共和国刑事诉讼法》第二百七十三条第二款；《最高人民法院关于办理减刑、假释案件具体应用法律的规定》第三条、第二十二条、第二十三条之规定，裁定如下：</w:t>
      </w:r>
    </w:p>
    <w:p>
      <w:pPr>
        <w:spacing w:line="440" w:lineRule="exact"/>
        <w:ind w:firstLine="640" w:firstLineChars="200"/>
        <w:contextualSpacing/>
        <w:rPr>
          <w:rFonts w:eastAsia="仿宋_GB2312"/>
          <w:color w:val="000000" w:themeColor="text1"/>
          <w:sz w:val="32"/>
          <w:szCs w:val="28"/>
          <w14:textFill>
            <w14:solidFill>
              <w14:schemeClr w14:val="tx1"/>
            </w14:solidFill>
          </w14:textFill>
        </w:rPr>
      </w:pPr>
      <w:r>
        <w:rPr>
          <w:rFonts w:hint="eastAsia" w:eastAsia="仿宋_GB2312"/>
          <w:color w:val="000000" w:themeColor="text1"/>
          <w:sz w:val="32"/>
          <w:szCs w:val="28"/>
          <w14:textFill>
            <w14:solidFill>
              <w14:schemeClr w14:val="tx1"/>
            </w14:solidFill>
          </w14:textFill>
        </w:rPr>
        <w:t>对罪犯</w:t>
      </w:r>
      <w:bookmarkStart w:id="0" w:name="_GoBack"/>
      <w:r>
        <w:rPr>
          <w:rFonts w:hint="eastAsia" w:eastAsia="仿宋_GB2312"/>
          <w:color w:val="000000" w:themeColor="text1"/>
          <w:sz w:val="32"/>
          <w:szCs w:val="28"/>
          <w14:textFill>
            <w14:solidFill>
              <w14:schemeClr w14:val="tx1"/>
            </w14:solidFill>
          </w14:textFill>
        </w:rPr>
        <w:t>邵鹏亮</w:t>
      </w:r>
      <w:bookmarkEnd w:id="0"/>
      <w:r>
        <w:rPr>
          <w:rFonts w:hint="eastAsia" w:eastAsia="仿宋_GB2312"/>
          <w:color w:val="000000" w:themeColor="text1"/>
          <w:sz w:val="32"/>
          <w:szCs w:val="28"/>
          <w14:textFill>
            <w14:solidFill>
              <w14:schemeClr w14:val="tx1"/>
            </w14:solidFill>
          </w14:textFill>
        </w:rPr>
        <w:t>予以假释。（假释考验期自假释之日起计算至2024年9月25日止。）</w:t>
      </w:r>
    </w:p>
    <w:p>
      <w:pPr>
        <w:spacing w:line="440" w:lineRule="exact"/>
        <w:ind w:firstLine="640" w:firstLineChars="200"/>
        <w:contextualSpacing/>
        <w:rPr>
          <w:rFonts w:eastAsia="仿宋_GB2312"/>
          <w:color w:val="000000" w:themeColor="text1"/>
          <w:sz w:val="32"/>
          <w:szCs w:val="28"/>
          <w14:textFill>
            <w14:solidFill>
              <w14:schemeClr w14:val="tx1"/>
            </w14:solidFill>
          </w14:textFill>
        </w:rPr>
      </w:pPr>
      <w:r>
        <w:rPr>
          <w:rFonts w:hint="eastAsia" w:eastAsia="仿宋_GB2312"/>
          <w:color w:val="000000" w:themeColor="text1"/>
          <w:sz w:val="32"/>
          <w:szCs w:val="28"/>
          <w14:textFill>
            <w14:solidFill>
              <w14:schemeClr w14:val="tx1"/>
            </w14:solidFill>
          </w14:textFill>
        </w:rPr>
        <w:t>本裁定送达后即发生法律效力。</w:t>
      </w:r>
    </w:p>
    <w:p>
      <w:pPr>
        <w:spacing w:line="500" w:lineRule="exact"/>
        <w:ind w:right="649" w:rightChars="309" w:firstLine="640" w:firstLineChars="200"/>
        <w:contextualSpacing/>
        <w:jc w:val="right"/>
        <w:rPr>
          <w:rFonts w:eastAsia="仿宋_GB2312"/>
          <w:color w:val="000000" w:themeColor="text1"/>
          <w:sz w:val="32"/>
          <w:szCs w:val="28"/>
          <w14:textFill>
            <w14:solidFill>
              <w14:schemeClr w14:val="tx1"/>
            </w14:solidFill>
          </w14:textFill>
        </w:rPr>
      </w:pPr>
    </w:p>
    <w:p>
      <w:pPr>
        <w:spacing w:line="500" w:lineRule="exact"/>
        <w:jc w:val="right"/>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审</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判</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长</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张榕麟</w:t>
      </w:r>
    </w:p>
    <w:p>
      <w:pPr>
        <w:spacing w:line="500" w:lineRule="exact"/>
        <w:jc w:val="right"/>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审</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判</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员</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李志斌</w:t>
      </w:r>
    </w:p>
    <w:p>
      <w:pPr>
        <w:spacing w:line="500" w:lineRule="exact"/>
        <w:jc w:val="right"/>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审</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判</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员</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张永明</w:t>
      </w:r>
    </w:p>
    <w:p>
      <w:pPr>
        <w:spacing w:line="500" w:lineRule="exact"/>
        <w:jc w:val="right"/>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二</w:t>
      </w:r>
      <w:r>
        <w:rPr>
          <w:rFonts w:hint="eastAsia" w:ascii="宋体" w:hAnsi="宋体" w:cs="宋体"/>
          <w:color w:val="000000" w:themeColor="text1"/>
          <w:sz w:val="32"/>
          <w:szCs w:val="32"/>
          <w14:textFill>
            <w14:solidFill>
              <w14:schemeClr w14:val="tx1"/>
            </w14:solidFill>
          </w14:textFill>
        </w:rPr>
        <w:t>〇</w:t>
      </w:r>
      <w:r>
        <w:rPr>
          <w:rFonts w:hint="eastAsia" w:ascii="仿宋_GB2312" w:hAnsi="仿宋_GB2312" w:eastAsia="仿宋_GB2312" w:cs="仿宋_GB2312"/>
          <w:color w:val="000000" w:themeColor="text1"/>
          <w:sz w:val="32"/>
          <w:szCs w:val="32"/>
          <w14:textFill>
            <w14:solidFill>
              <w14:schemeClr w14:val="tx1"/>
            </w14:solidFill>
          </w14:textFill>
        </w:rPr>
        <w:t>二三年十二月二十七日</w:t>
      </w:r>
    </w:p>
    <w:p>
      <w:pPr>
        <w:spacing w:line="500" w:lineRule="exact"/>
        <w:jc w:val="right"/>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法</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官</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助</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理</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蔚晓芳</w:t>
      </w:r>
    </w:p>
    <w:p>
      <w:pPr>
        <w:spacing w:line="500" w:lineRule="exact"/>
        <w:jc w:val="right"/>
        <w:rPr>
          <w:rFonts w:eastAsia="仿宋_GB2312"/>
          <w:color w:val="000000" w:themeColor="text1"/>
          <w:kern w:val="0"/>
          <w:sz w:val="32"/>
          <w:szCs w:val="32"/>
          <w14:textFill>
            <w14:solidFill>
              <w14:schemeClr w14:val="tx1"/>
            </w14:solidFill>
          </w14:textFill>
        </w:rPr>
        <w:sectPr>
          <w:headerReference r:id="rId3" w:type="default"/>
          <w:pgSz w:w="11906" w:h="16838"/>
          <w:pgMar w:top="2098" w:right="1588" w:bottom="1985" w:left="1588" w:header="851" w:footer="992" w:gutter="0"/>
          <w:cols w:space="720" w:num="1"/>
          <w:docGrid w:type="lines" w:linePitch="312" w:charSpace="0"/>
        </w:sectPr>
      </w:pPr>
      <w:r>
        <w:rPr>
          <w:rFonts w:hint="eastAsia" w:eastAsia="仿宋_GB2312"/>
          <w:color w:val="000000" w:themeColor="text1"/>
          <w:sz w:val="32"/>
          <w:szCs w:val="32"/>
          <w14:textFill>
            <w14:solidFill>
              <w14:schemeClr w14:val="tx1"/>
            </w14:solidFill>
          </w14:textFill>
        </w:rPr>
        <w:t>书</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记</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员</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陈佳欣</w:t>
      </w:r>
    </w:p>
    <w:p/>
    <w:sectPr>
      <w:head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4OWU4ZTE4MDllYmZmYTg5N2M3MGRmYjI3NmJhZDQifQ=="/>
  </w:docVars>
  <w:rsids>
    <w:rsidRoot w:val="7FA12A94"/>
    <w:rsid w:val="7FA12A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header"/>
    <w:basedOn w:val="1"/>
    <w:semiHidden/>
    <w:unhideWhenUsed/>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2023-12-27T10:56:00Z</dcterms:created>
  <dc:creator>AAA勇红</dc:creator>
  <cp:lastModifiedBy>AAA勇红</cp:lastModifiedBy>
  <dcterms:modified xsi:type="dcterms:W3CDTF">2023-12-27T10:58:40Z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D64C4C791C7D4D5F9D583426D23BA248_11</vt:lpwstr>
  </property>
</Properties>
</file>