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山西</w:t>
      </w:r>
      <w:r>
        <w:rPr>
          <w:rFonts w:hint="eastAsia" w:ascii="方正小标宋简体" w:hAnsi="Times New Roman" w:eastAsia="方正小标宋简体"/>
          <w:bCs/>
          <w:sz w:val="44"/>
          <w:szCs w:val="44"/>
        </w:rPr>
        <w:t>省太原市中</w:t>
      </w:r>
      <w:r>
        <w:rPr>
          <w:rFonts w:hint="eastAsia" w:ascii="方正小标宋简体" w:hAnsi="Times New Roman" w:eastAsia="方正小标宋简体"/>
          <w:sz w:val="44"/>
          <w:szCs w:val="44"/>
        </w:rPr>
        <w:t>级人民法院</w:t>
      </w:r>
    </w:p>
    <w:p>
      <w:pPr>
        <w:spacing w:line="720" w:lineRule="exact"/>
        <w:contextualSpacing/>
        <w:jc w:val="center"/>
        <w:rPr>
          <w:rFonts w:ascii="方正小标宋简体" w:hAnsi="Times New Roman" w:eastAsia="方正小标宋简体"/>
          <w:sz w:val="52"/>
          <w:szCs w:val="44"/>
        </w:rPr>
      </w:pPr>
      <w:r>
        <w:rPr>
          <w:rFonts w:hint="eastAsia" w:ascii="方正小标宋简体" w:hAnsi="Times New Roman" w:eastAsia="方正小标宋简体"/>
          <w:spacing w:val="200"/>
          <w:sz w:val="52"/>
          <w:szCs w:val="44"/>
        </w:rPr>
        <w:t>刑事裁定</w:t>
      </w:r>
      <w:r>
        <w:rPr>
          <w:rFonts w:hint="eastAsia" w:ascii="方正小标宋简体" w:hAnsi="Times New Roman" w:eastAsia="方正小标宋简体"/>
          <w:sz w:val="52"/>
          <w:szCs w:val="44"/>
        </w:rPr>
        <w:t>书</w:t>
      </w:r>
    </w:p>
    <w:p>
      <w:pPr>
        <w:spacing w:line="500" w:lineRule="exact"/>
        <w:ind w:firstLine="640" w:firstLineChars="200"/>
        <w:contextualSpacing/>
        <w:rPr>
          <w:rFonts w:ascii="仿宋_GB2312" w:hAnsi="Times New Roman" w:eastAsia="仿宋_GB2312"/>
          <w:sz w:val="32"/>
          <w:szCs w:val="32"/>
        </w:rPr>
      </w:pPr>
    </w:p>
    <w:p>
      <w:pPr>
        <w:spacing w:line="500" w:lineRule="exact"/>
        <w:ind w:right="632" w:rightChars="301" w:firstLine="640" w:firstLineChars="200"/>
        <w:contextualSpacing/>
        <w:jc w:val="right"/>
        <w:rPr>
          <w:rFonts w:ascii="仿宋_GB2312" w:hAnsi="Times New Roman" w:eastAsia="仿宋_GB2312"/>
          <w:sz w:val="32"/>
          <w:szCs w:val="32"/>
        </w:rPr>
      </w:pPr>
      <w:r>
        <w:rPr>
          <w:rFonts w:hint="eastAsia" w:ascii="仿宋_GB2312" w:hAnsi="Times New Roman" w:eastAsia="仿宋_GB2312"/>
          <w:sz w:val="32"/>
          <w:szCs w:val="32"/>
        </w:rPr>
        <w:t>（2023）晋01刑更793号</w:t>
      </w:r>
    </w:p>
    <w:p>
      <w:pPr>
        <w:spacing w:line="440" w:lineRule="exact"/>
        <w:contextualSpacing/>
        <w:rPr>
          <w:rFonts w:ascii="仿宋_GB2312" w:hAnsi="方正仿宋_GBK" w:eastAsia="仿宋_GB2312" w:cs="方正仿宋_GBK"/>
          <w:sz w:val="32"/>
          <w:szCs w:val="32"/>
        </w:rPr>
      </w:pP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罪犯杨威龙，男，2000年4月7日出生，汉族，运城市闻喜县人，初中文化，原住址山西省运城市闻喜县郭家庄镇莲坪村52号。现在山西省太原第四监狱服刑。</w:t>
      </w:r>
    </w:p>
    <w:p>
      <w:pPr>
        <w:spacing w:line="46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山西省闻喜县人民法院于2021年7月1日作出（2021）晋0823刑初7号刑事判决书，以罪犯杨威龙犯协助组织卖淫罪，判处有期徒刑三年，并处罚金50000元，追缴违法所得32000元。刑期起止日期：2021年6月26日至2024年6月25日止。一审判决后，该犯不服，提出上诉。山西省运城市中级人民法院于2021年11月12日作出（2021）晋08刑终393号刑事裁定，驳回上诉， 维持原判。执行机关山西省太原第四监狱提出假释建议，报送本院后，本院于2023年12月7日立案审理，并依法公示，公示期间没有收到异议。本院依法组成合议庭于2023年12月20日进行了审理。山西省太原第四监狱刑罚执行科郭来泉、王宏利，山西省太原西峪地区人民检察院张正萍、李庆龄出庭履行职务。本案现已审理终结。</w:t>
      </w:r>
    </w:p>
    <w:p>
      <w:pPr>
        <w:spacing w:line="500" w:lineRule="exact"/>
        <w:ind w:firstLine="640" w:firstLineChars="200"/>
        <w:contextualSpacing/>
        <w:rPr>
          <w:rFonts w:ascii="Times New Roman" w:hAnsi="Times New Roman" w:eastAsia="仿宋_GB2312"/>
          <w:sz w:val="32"/>
          <w:szCs w:val="32"/>
        </w:rPr>
      </w:pPr>
      <w:r>
        <w:rPr>
          <w:rFonts w:hint="eastAsia" w:ascii="Times New Roman" w:hAnsi="Times New Roman" w:eastAsia="仿宋_GB2312"/>
          <w:sz w:val="32"/>
          <w:szCs w:val="32"/>
        </w:rPr>
        <w:t>执行机关山西省太原第四监狱认定罪犯杨威龙实际服刑期限已超过二分之一以上，在服刑改造期间，能够认罪悔罪，遵守法律法规及监规，接受教育改造，基本能够熟记《监狱服刑人员行为规范》，按照行为规范要求约束自己的行为；积极参加思想、文化、职业技术教育，完成学习任务，三课考试平均成绩为90.25分；</w:t>
      </w:r>
      <w:r>
        <w:rPr>
          <w:rFonts w:ascii="Times New Roman" w:hAnsi="Times New Roman" w:eastAsia="仿宋_GB2312"/>
          <w:sz w:val="32"/>
          <w:szCs w:val="32"/>
        </w:rPr>
        <w:t>能够积极参加劳动，努力完成劳动任务，</w:t>
      </w:r>
      <w:r>
        <w:rPr>
          <w:rFonts w:hint="eastAsia" w:ascii="Times New Roman" w:hAnsi="Times New Roman" w:eastAsia="仿宋_GB2312"/>
          <w:sz w:val="32"/>
          <w:szCs w:val="32"/>
        </w:rPr>
        <w:t>出勤率90%以上。于2022年12月20日获得监狱表扬1次，并有罪犯奖励审批表、罪犯评审鉴定表、“三课成绩单”、罪犯“确有悔改表现”情况说明及本人的认罪悔罪书予以证明。再犯罪危险评估分值为31.4分，属于较低风险级别。建议对罪犯杨威龙予以假释。</w:t>
      </w:r>
    </w:p>
    <w:p>
      <w:pPr>
        <w:spacing w:line="460" w:lineRule="exact"/>
        <w:ind w:firstLine="640" w:firstLineChars="200"/>
        <w:contextualSpacing/>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sz w:val="32"/>
          <w:szCs w:val="32"/>
        </w:rPr>
        <w:t>监督机关山西省太原西峪地区人民检察院认为，经过庭审举证、质证，刑罚执行机关提交的证据来源合法、内容客观真实，能相互印证，且罪犯再犯罪危险评估属于较低风险级别，山西省太原第四监狱所报假释程序符合相关法律规定，</w:t>
      </w:r>
      <w:r>
        <w:rPr>
          <w:rFonts w:hint="eastAsia" w:ascii="Times New Roman" w:hAnsi="Times New Roman" w:eastAsia="仿宋_GB2312"/>
          <w:color w:val="000000" w:themeColor="text1"/>
          <w:sz w:val="32"/>
          <w:szCs w:val="32"/>
          <w14:textFill>
            <w14:solidFill>
              <w14:schemeClr w14:val="tx1"/>
            </w14:solidFill>
          </w14:textFill>
        </w:rPr>
        <w:t>罪犯杨威龙符合假释条件，建议本院裁定假释。</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经审理查明，</w:t>
      </w:r>
      <w:r>
        <w:rPr>
          <w:rFonts w:hint="eastAsia" w:ascii="Times New Roman" w:hAnsi="Times New Roman" w:eastAsia="仿宋_GB2312"/>
          <w:sz w:val="32"/>
          <w:szCs w:val="32"/>
        </w:rPr>
        <w:t>罪犯杨威龙已执行原判刑期二分之一以上。</w:t>
      </w:r>
      <w:r>
        <w:rPr>
          <w:rFonts w:ascii="Times New Roman" w:hAnsi="Times New Roman" w:eastAsia="仿宋_GB2312"/>
          <w:sz w:val="32"/>
          <w:szCs w:val="32"/>
        </w:rPr>
        <w:t>在服刑期间</w:t>
      </w:r>
      <w:r>
        <w:rPr>
          <w:rFonts w:hint="eastAsia" w:ascii="Times New Roman" w:hAnsi="Times New Roman" w:eastAsia="仿宋_GB2312"/>
          <w:sz w:val="32"/>
          <w:szCs w:val="32"/>
        </w:rPr>
        <w:t>能</w:t>
      </w:r>
      <w:r>
        <w:rPr>
          <w:rFonts w:ascii="Times New Roman" w:hAnsi="Times New Roman" w:eastAsia="仿宋_GB2312"/>
          <w:sz w:val="32"/>
          <w:szCs w:val="32"/>
        </w:rPr>
        <w:t>认罪悔罪，</w:t>
      </w:r>
      <w:r>
        <w:rPr>
          <w:rFonts w:hint="eastAsia" w:ascii="Times New Roman" w:hAnsi="Times New Roman" w:eastAsia="仿宋_GB2312"/>
          <w:sz w:val="32"/>
          <w:szCs w:val="32"/>
        </w:rPr>
        <w:t>接受教育改造；遵守法律法规及监规；积极参加思想、文化、职业技术教育；积极参加劳动，努力完成劳动任务。于2022年12月20日获得监狱表扬1次，罚金50000元及违法所得32000元均已全部履行。再犯罪危险评估分值为31.4分，属于较低风险级别。闻喜县社区矫正管理局</w:t>
      </w:r>
      <w:r>
        <w:rPr>
          <w:rFonts w:ascii="Times New Roman" w:hAnsi="Times New Roman" w:eastAsia="仿宋_GB2312"/>
          <w:sz w:val="32"/>
          <w:szCs w:val="32"/>
        </w:rPr>
        <w:t>对</w:t>
      </w:r>
      <w:r>
        <w:rPr>
          <w:rFonts w:hint="eastAsia" w:ascii="Times New Roman" w:hAnsi="Times New Roman" w:eastAsia="仿宋_GB2312"/>
          <w:sz w:val="32"/>
          <w:szCs w:val="32"/>
        </w:rPr>
        <w:t>杨威龙</w:t>
      </w:r>
      <w:r>
        <w:rPr>
          <w:rFonts w:ascii="Times New Roman" w:hAnsi="Times New Roman" w:eastAsia="仿宋_GB2312"/>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本院认为，罪犯</w:t>
      </w:r>
      <w:r>
        <w:rPr>
          <w:rFonts w:hint="eastAsia" w:ascii="Times New Roman" w:hAnsi="Times New Roman" w:eastAsia="仿宋_GB2312"/>
          <w:sz w:val="32"/>
          <w:szCs w:val="32"/>
        </w:rPr>
        <w:t>杨威龙</w:t>
      </w:r>
      <w:r>
        <w:rPr>
          <w:rFonts w:ascii="Times New Roman" w:hAnsi="Times New Roman" w:eastAsia="仿宋_GB2312"/>
          <w:sz w:val="32"/>
          <w:szCs w:val="32"/>
        </w:rPr>
        <w:t>在服刑期间，</w:t>
      </w:r>
      <w:r>
        <w:rPr>
          <w:rFonts w:hint="eastAsia" w:ascii="Times New Roman" w:hAnsi="Times New Roman" w:eastAsia="仿宋_GB2312"/>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sz w:val="32"/>
          <w:szCs w:val="32"/>
        </w:rPr>
        <w:t>和</w:t>
      </w:r>
      <w:r>
        <w:rPr>
          <w:rFonts w:ascii="Times New Roman" w:hAnsi="Times New Roman" w:eastAsia="仿宋_GB2312"/>
          <w:sz w:val="32"/>
          <w:szCs w:val="32"/>
        </w:rPr>
        <w:t>最高人民法院《关于减刑、假释案件审理程序的规定》第五条第一款</w:t>
      </w:r>
      <w:r>
        <w:rPr>
          <w:rFonts w:hint="eastAsia" w:ascii="Times New Roman" w:hAnsi="Times New Roman" w:eastAsia="仿宋_GB2312"/>
          <w:sz w:val="32"/>
          <w:szCs w:val="32"/>
        </w:rPr>
        <w:t>、第二款，第十六条第一款第（一）项之</w:t>
      </w:r>
      <w:r>
        <w:rPr>
          <w:rFonts w:ascii="Times New Roman" w:hAnsi="Times New Roman" w:eastAsia="仿宋_GB2312"/>
          <w:sz w:val="32"/>
          <w:szCs w:val="32"/>
        </w:rPr>
        <w:t>规定，裁定如下：</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对罪</w:t>
      </w:r>
      <w:r>
        <w:rPr>
          <w:rFonts w:hint="eastAsia" w:ascii="Times New Roman" w:hAnsi="Times New Roman" w:eastAsia="仿宋_GB2312"/>
          <w:sz w:val="32"/>
          <w:szCs w:val="32"/>
        </w:rPr>
        <w:t>犯</w:t>
      </w:r>
      <w:bookmarkStart w:id="0" w:name="_GoBack"/>
      <w:r>
        <w:rPr>
          <w:rFonts w:hint="eastAsia" w:ascii="Times New Roman" w:hAnsi="Times New Roman" w:eastAsia="仿宋_GB2312"/>
          <w:sz w:val="32"/>
          <w:szCs w:val="32"/>
        </w:rPr>
        <w:t>杨威龙</w:t>
      </w:r>
      <w:bookmarkEnd w:id="0"/>
      <w:r>
        <w:rPr>
          <w:rFonts w:ascii="Times New Roman" w:hAnsi="Times New Roman" w:eastAsia="仿宋_GB2312"/>
          <w:sz w:val="32"/>
          <w:szCs w:val="32"/>
        </w:rPr>
        <w:t>予以假释。(假释考验期限从假释之日起计算至202</w:t>
      </w:r>
      <w:r>
        <w:rPr>
          <w:rFonts w:hint="eastAsia" w:ascii="Times New Roman" w:hAnsi="Times New Roman" w:eastAsia="仿宋_GB2312"/>
          <w:sz w:val="32"/>
          <w:szCs w:val="32"/>
        </w:rPr>
        <w:t>4</w:t>
      </w:r>
      <w:r>
        <w:rPr>
          <w:rFonts w:ascii="Times New Roman" w:hAnsi="Times New Roman" w:eastAsia="仿宋_GB2312"/>
          <w:sz w:val="32"/>
          <w:szCs w:val="32"/>
        </w:rPr>
        <w:t>年</w:t>
      </w:r>
      <w:r>
        <w:rPr>
          <w:rFonts w:hint="eastAsia" w:ascii="Times New Roman" w:hAnsi="Times New Roman" w:eastAsia="仿宋_GB2312"/>
          <w:sz w:val="32"/>
          <w:szCs w:val="32"/>
        </w:rPr>
        <w:t>6</w:t>
      </w:r>
      <w:r>
        <w:rPr>
          <w:rFonts w:ascii="Times New Roman" w:hAnsi="Times New Roman" w:eastAsia="仿宋_GB2312"/>
          <w:sz w:val="32"/>
          <w:szCs w:val="32"/>
        </w:rPr>
        <w:t>月</w:t>
      </w:r>
      <w:r>
        <w:rPr>
          <w:rFonts w:hint="eastAsia" w:ascii="Times New Roman" w:hAnsi="Times New Roman" w:eastAsia="仿宋_GB2312"/>
          <w:sz w:val="32"/>
          <w:szCs w:val="32"/>
        </w:rPr>
        <w:t>25</w:t>
      </w:r>
      <w:r>
        <w:rPr>
          <w:rFonts w:ascii="Times New Roman" w:hAnsi="Times New Roman" w:eastAsia="仿宋_GB2312"/>
          <w:sz w:val="32"/>
          <w:szCs w:val="32"/>
        </w:rPr>
        <w:t>日止。)</w:t>
      </w:r>
    </w:p>
    <w:p>
      <w:pPr>
        <w:spacing w:line="460" w:lineRule="exac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本裁定送达后即发生法律效力。</w:t>
      </w:r>
    </w:p>
    <w:p>
      <w:pPr>
        <w:spacing w:line="460" w:lineRule="exact"/>
        <w:ind w:firstLine="640" w:firstLineChars="200"/>
        <w:contextualSpacing/>
        <w:rPr>
          <w:rFonts w:ascii="Times New Roman" w:hAnsi="Times New Roman" w:eastAsia="仿宋_GB2312"/>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firstLine="640" w:firstLineChars="200"/>
        <w:contextualSpacing/>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长      李志斌</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张永明</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审    判    员      张榕麟</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二〇二三年十二月二十七日</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法  官  助  理      王晓璀</w:t>
      </w:r>
    </w:p>
    <w:p>
      <w:pPr>
        <w:spacing w:line="440" w:lineRule="exact"/>
        <w:ind w:right="391" w:rightChars="186" w:firstLine="640" w:firstLineChars="200"/>
        <w:contextualSpacing/>
        <w:jc w:val="righ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书    记    员      荣  婕</w:t>
      </w: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rPr>
          <w:rFonts w:ascii="仿宋_GB2312" w:hAnsi="方正仿宋_GBK" w:eastAsia="仿宋_GB2312" w:cs="方正仿宋_GBK"/>
          <w:sz w:val="32"/>
          <w:szCs w:val="32"/>
          <w:shd w:val="clear" w:color="FFFFFF" w:fill="D9D9D9"/>
        </w:rPr>
      </w:pPr>
    </w:p>
    <w:p>
      <w:pPr>
        <w:spacing w:line="720" w:lineRule="exact"/>
        <w:contextualSpacing/>
        <w:jc w:val="both"/>
        <w:rPr>
          <w:rFonts w:ascii="方正小标宋简体" w:hAnsi="Times New Roman" w:eastAsia="方正小标宋简体"/>
          <w:sz w:val="44"/>
          <w:szCs w:val="44"/>
          <w:shd w:val="clear" w:color="FFFFFF" w:fill="D9D9D9"/>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184C7673"/>
    <w:rsid w:val="184C7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2023-12-27T10:43:00Z</dcterms:created>
  <dc:creator>AAA勇红</dc:creator>
  <cp:lastModifiedBy>AAA勇红</cp:lastModifiedBy>
  <dcterms:modified xsi:type="dcterms:W3CDTF">2023-12-27T10:43:55Z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6077798988D545F0A6223C50986E770E_11</vt:lpwstr>
  </property>
</Properties>
</file>