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B3" w:rsidRDefault="002F59B3" w:rsidP="008748BA">
      <w:pPr>
        <w:jc w:val="center"/>
        <w:outlineLvl w:val="0"/>
        <w:rPr>
          <w:rFonts w:ascii="黑体" w:eastAsia="黑体" w:hAnsi="黑体"/>
          <w:sz w:val="28"/>
          <w:szCs w:val="28"/>
        </w:rPr>
      </w:pPr>
      <w:bookmarkStart w:id="0" w:name="_Toc23122"/>
      <w:bookmarkStart w:id="1" w:name="_Toc24039"/>
      <w:bookmarkStart w:id="2" w:name="_Toc31509"/>
      <w:r>
        <w:rPr>
          <w:rFonts w:ascii="黑体" w:eastAsia="黑体" w:hAnsi="黑体" w:cs="黑体" w:hint="eastAsia"/>
          <w:sz w:val="28"/>
          <w:szCs w:val="28"/>
        </w:rPr>
        <w:t xml:space="preserve"> 网络安全服务项目</w:t>
      </w:r>
      <w:r w:rsidR="00785F08">
        <w:rPr>
          <w:rFonts w:ascii="黑体" w:eastAsia="黑体" w:hAnsi="黑体" w:cs="黑体" w:hint="eastAsia"/>
          <w:sz w:val="28"/>
          <w:szCs w:val="28"/>
        </w:rPr>
        <w:t>项目需求</w:t>
      </w:r>
      <w:r>
        <w:rPr>
          <w:rFonts w:ascii="黑体" w:eastAsia="黑体" w:hAnsi="黑体" w:cs="黑体" w:hint="eastAsia"/>
          <w:sz w:val="28"/>
          <w:szCs w:val="28"/>
        </w:rPr>
        <w:t>和有关说明</w:t>
      </w:r>
      <w:bookmarkEnd w:id="0"/>
      <w:bookmarkEnd w:id="1"/>
      <w:bookmarkEnd w:id="2"/>
    </w:p>
    <w:p w:rsidR="002F59B3" w:rsidRDefault="002F59B3" w:rsidP="008748BA">
      <w:pPr>
        <w:ind w:firstLineChars="200" w:firstLine="480"/>
        <w:jc w:val="left"/>
        <w:rPr>
          <w:rFonts w:ascii="宋体"/>
          <w:sz w:val="24"/>
        </w:rPr>
      </w:pPr>
    </w:p>
    <w:p w:rsidR="002F59B3" w:rsidRDefault="002F59B3" w:rsidP="008748B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本项目为惠山区人民法院的网络安全服务项目，具体要求如下，供应商须提供满足以下要求的服务，不得有负偏离：</w:t>
      </w:r>
    </w:p>
    <w:p w:rsidR="002F59B3" w:rsidRDefault="002F59B3" w:rsidP="008748BA">
      <w:pPr>
        <w:ind w:firstLineChars="200" w:firstLine="482"/>
        <w:jc w:val="left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一、项目概况</w:t>
      </w:r>
    </w:p>
    <w:p w:rsidR="002F59B3" w:rsidRDefault="002F59B3" w:rsidP="008748B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本次建设内容包括：为</w:t>
      </w:r>
      <w:r>
        <w:rPr>
          <w:rFonts w:ascii="宋体" w:hAnsi="宋体" w:cs="宋体" w:hint="eastAsia"/>
          <w:sz w:val="24"/>
        </w:rPr>
        <w:t>惠山区人民法院提供网络安全服务</w:t>
      </w:r>
    </w:p>
    <w:p w:rsidR="002F59B3" w:rsidRDefault="002F59B3" w:rsidP="008748BA">
      <w:pPr>
        <w:ind w:firstLineChars="200" w:firstLine="482"/>
        <w:jc w:val="left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二、服务清单</w:t>
      </w:r>
    </w:p>
    <w:tbl>
      <w:tblPr>
        <w:tblW w:w="5000" w:type="pct"/>
        <w:tblLook w:val="04A0"/>
      </w:tblPr>
      <w:tblGrid>
        <w:gridCol w:w="630"/>
        <w:gridCol w:w="1178"/>
        <w:gridCol w:w="4897"/>
        <w:gridCol w:w="910"/>
        <w:gridCol w:w="907"/>
      </w:tblGrid>
      <w:tr w:rsidR="008748BA" w:rsidRPr="008748BA" w:rsidTr="008748BA">
        <w:trPr>
          <w:trHeight w:val="6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服务</w:t>
            </w:r>
          </w:p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描述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b/>
                <w:bCs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8748BA" w:rsidRPr="008748BA" w:rsidTr="008748BA">
        <w:trPr>
          <w:trHeight w:val="9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资产发现与梳理服务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针对所有IP进行全端口扫描，发现开放的端口、端口运行的服务、服务承载的组件等信息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8748BA" w:rsidRPr="008748BA" w:rsidTr="008748BA">
        <w:trPr>
          <w:trHeight w:val="27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漏洞扫描服务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、综合运用多种最新的漏洞扫描与检测技术，能够快速发现网络资产，准确识别资产属性、全面扫描安全漏洞，从海量数据快速定位风险，清晰定性安全风险，以及定位Web应用漏洞并给出修复建议和预防措施，对风险控制策略进行有效审核，从而帮助用户在弱点全面评估的基础上实现安全自主掌控。2、输出检测报告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8748BA" w:rsidRPr="008748BA" w:rsidTr="008748BA">
        <w:trPr>
          <w:trHeight w:val="1433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A</w:t>
            </w:r>
            <w:r w:rsidRPr="008748BA">
              <w:rPr>
                <w:rFonts w:ascii="宋体" w:hAnsi="宋体"/>
                <w:sz w:val="24"/>
              </w:rPr>
              <w:t>PP</w:t>
            </w:r>
            <w:r w:rsidRPr="008748BA">
              <w:rPr>
                <w:rFonts w:ascii="宋体" w:hAnsi="宋体" w:hint="eastAsia"/>
                <w:sz w:val="24"/>
              </w:rPr>
              <w:t>检测测服务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/>
                <w:sz w:val="24"/>
              </w:rPr>
              <w:t>提供开发中、上线前、运行中全生命周期安全检测，提供代码安全检测、配置安全检测等七个方面对终端产品进行专业、安全、高效的一站式检测，保障行业终端安全。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上限3</w:t>
            </w:r>
            <w:r w:rsidRPr="008748BA">
              <w:rPr>
                <w:rFonts w:ascii="宋体" w:hAnsi="宋体"/>
                <w:sz w:val="24"/>
              </w:rPr>
              <w:t>0</w:t>
            </w: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8748BA" w:rsidRPr="008748BA" w:rsidTr="008748BA">
        <w:trPr>
          <w:trHeight w:val="1255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安全巡检服务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由专业安全工程师定期针对服务器、数据库、网络设备和安全设备，进行策略的合理性和有效性检查，并对日志进行审计分析，记录保存检查和审计结果，并生成相应报告。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8748BA" w:rsidRPr="008748BA" w:rsidTr="008748BA">
        <w:trPr>
          <w:trHeight w:val="18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迎检协助服务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当国家、行业、上级、网安、网信等网络安全监管部门针对信息系统的安全检查时，协助解读检查文件，并针对文件中的检查项协助甲方自查和填报，完成各项检查，并配合甲方完成网信办或上级法院组织的攻防演练等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9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应急响应服务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应急响应服务提供入侵原因分析、业务损失评估、黑客溯源取证等安全服务，包含发生安全事件后的应急响应活动。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9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安全管理体系完善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根据客户现状，对规章制度和管理体系进行完善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6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安全培训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根据客户要求，进行安全意识、法律法规等方面的培训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9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安全咨询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当用户遇到通报或漏洞需要整改时，提供咨询服务，指导修复（具体修复操作需要系统运维商进行）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9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8748BA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IT资产摸排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针对客户内网服务器、应用，网络设备、安全设备等资产进行发现并协助梳理，完成后提供拓扑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  <w:tr w:rsidR="008748BA" w:rsidRPr="008748BA" w:rsidTr="008748BA">
        <w:trPr>
          <w:trHeight w:val="120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1</w:t>
            </w:r>
            <w:r w:rsidRPr="008748BA">
              <w:rPr>
                <w:rFonts w:ascii="宋体" w:hAnsi="宋体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安全态势感知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采集终端的静态和动态信息，包括软硬件资产信息、安全合规信息及运行信息，以数据为抓手，以攻击者视角看安全，对已知和未知威胁的防护和分析。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center"/>
              <w:textAlignment w:val="center"/>
              <w:rPr>
                <w:rFonts w:ascii="宋体" w:hAnsi="宋体" w:cs="仿宋"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8BA" w:rsidRPr="008748BA" w:rsidRDefault="008748BA" w:rsidP="008748BA">
            <w:pPr>
              <w:widowControl/>
              <w:jc w:val="left"/>
              <w:textAlignment w:val="center"/>
              <w:rPr>
                <w:rFonts w:ascii="宋体" w:hAnsi="宋体" w:cs="仿宋"/>
                <w:color w:val="000000" w:themeColor="text1"/>
                <w:kern w:val="0"/>
                <w:sz w:val="24"/>
              </w:rPr>
            </w:pPr>
            <w:r w:rsidRPr="008748BA">
              <w:rPr>
                <w:rFonts w:ascii="宋体" w:hAnsi="宋体" w:cs="仿宋" w:hint="eastAsia"/>
                <w:color w:val="000000" w:themeColor="text1"/>
                <w:kern w:val="0"/>
                <w:sz w:val="24"/>
              </w:rPr>
              <w:t>次</w:t>
            </w:r>
          </w:p>
        </w:tc>
      </w:tr>
    </w:tbl>
    <w:p w:rsidR="002F59B3" w:rsidRDefault="002F59B3" w:rsidP="008748BA"/>
    <w:p w:rsidR="002F59B3" w:rsidRDefault="002F59B3" w:rsidP="008748BA">
      <w:pPr>
        <w:jc w:val="left"/>
        <w:rPr>
          <w:b/>
          <w:bCs/>
          <w:sz w:val="24"/>
          <w:lang w:val="zh-CN"/>
        </w:rPr>
      </w:pPr>
      <w:r>
        <w:rPr>
          <w:rFonts w:cs="宋体" w:hint="eastAsia"/>
          <w:b/>
          <w:bCs/>
          <w:sz w:val="24"/>
        </w:rPr>
        <w:t>三</w:t>
      </w:r>
      <w:r>
        <w:rPr>
          <w:rFonts w:cs="宋体" w:hint="eastAsia"/>
          <w:b/>
          <w:bCs/>
          <w:sz w:val="24"/>
          <w:lang w:val="zh-CN"/>
        </w:rPr>
        <w:t>、商务要求</w:t>
      </w:r>
    </w:p>
    <w:p w:rsidR="002F59B3" w:rsidRDefault="002F59B3" w:rsidP="008748BA">
      <w:pPr>
        <w:ind w:firstLineChars="200" w:firstLine="482"/>
        <w:rPr>
          <w:rFonts w:cs="仿宋"/>
          <w:bCs/>
          <w:color w:val="000000"/>
          <w:kern w:val="0"/>
        </w:rPr>
      </w:pPr>
      <w:bookmarkStart w:id="3" w:name="_Toc32616"/>
      <w:r>
        <w:rPr>
          <w:rFonts w:ascii="宋体" w:hAnsi="宋体" w:hint="eastAsia"/>
          <w:b/>
          <w:sz w:val="24"/>
        </w:rPr>
        <w:t>1、服务</w:t>
      </w:r>
      <w:r>
        <w:rPr>
          <w:rFonts w:cs="仿宋" w:hint="eastAsia"/>
          <w:b/>
          <w:color w:val="000000"/>
          <w:kern w:val="0"/>
          <w:sz w:val="24"/>
        </w:rPr>
        <w:t>内容</w:t>
      </w:r>
      <w:r>
        <w:rPr>
          <w:rFonts w:cs="仿宋" w:hint="eastAsia"/>
          <w:b/>
          <w:color w:val="000000"/>
          <w:kern w:val="0"/>
        </w:rPr>
        <w:t>：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4" w:name="_Toc4439"/>
      <w:bookmarkStart w:id="5" w:name="_Toc148620285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1.1 资产发现与梳理服务</w:t>
      </w:r>
      <w:bookmarkEnd w:id="4"/>
      <w:bookmarkEnd w:id="5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>﻿资产</w:t>
      </w:r>
      <w:r w:rsidRPr="008748BA">
        <w:rPr>
          <w:rFonts w:ascii="宋体" w:hAnsi="宋体" w:hint="eastAsia"/>
          <w:sz w:val="24"/>
        </w:rPr>
        <w:t>梳理</w:t>
      </w:r>
      <w:r w:rsidRPr="008748BA">
        <w:rPr>
          <w:rFonts w:ascii="宋体" w:hAnsi="宋体"/>
          <w:sz w:val="24"/>
        </w:rPr>
        <w:t>服务是指使用多种手段，发现包括服务器、数据库、中间件、网络设备等资产，并通过信息补全和深度扫描等方式完成资产属性的补全，最终实现未知资产的发现与管理</w:t>
      </w:r>
      <w:r w:rsidRPr="008748BA">
        <w:rPr>
          <w:rFonts w:ascii="宋体" w:hAnsi="宋体" w:hint="eastAsia"/>
          <w:sz w:val="24"/>
        </w:rPr>
        <w:t>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6" w:name="_Toc10106"/>
      <w:r w:rsidRPr="008748BA">
        <w:rPr>
          <w:rFonts w:ascii="宋体" w:hAnsi="宋体" w:hint="eastAsia"/>
          <w:sz w:val="24"/>
        </w:rPr>
        <w:t>服务方式</w:t>
      </w:r>
      <w:bookmarkEnd w:id="6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资产梳理服务的服务方式为：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5278"/>
        <w:gridCol w:w="1320"/>
      </w:tblGrid>
      <w:tr w:rsidR="008748BA" w:rsidRPr="008748BA" w:rsidTr="008748BA">
        <w:trPr>
          <w:trHeight w:val="491"/>
        </w:trPr>
        <w:tc>
          <w:tcPr>
            <w:tcW w:w="191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527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  <w:tc>
          <w:tcPr>
            <w:tcW w:w="1320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服务特点</w:t>
            </w:r>
          </w:p>
        </w:tc>
      </w:tr>
      <w:tr w:rsidR="008748BA" w:rsidRPr="008748BA" w:rsidTr="008748BA">
        <w:trPr>
          <w:trHeight w:val="793"/>
        </w:trPr>
        <w:tc>
          <w:tcPr>
            <w:tcW w:w="191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远程实施</w:t>
            </w:r>
          </w:p>
        </w:tc>
        <w:tc>
          <w:tcPr>
            <w:tcW w:w="527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无需场地、可对企业外网资产或通过跳板方式对内网资产等进行盘点</w:t>
            </w:r>
          </w:p>
        </w:tc>
        <w:tc>
          <w:tcPr>
            <w:tcW w:w="132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方便快捷</w:t>
            </w:r>
          </w:p>
        </w:tc>
      </w:tr>
      <w:tr w:rsidR="008748BA" w:rsidRPr="008748BA" w:rsidTr="008748BA">
        <w:trPr>
          <w:trHeight w:val="587"/>
        </w:trPr>
        <w:tc>
          <w:tcPr>
            <w:tcW w:w="191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现场实施</w:t>
            </w:r>
          </w:p>
        </w:tc>
        <w:tc>
          <w:tcPr>
            <w:tcW w:w="527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在现场对内网资产/外网资产等进行盘点</w:t>
            </w:r>
          </w:p>
        </w:tc>
        <w:tc>
          <w:tcPr>
            <w:tcW w:w="132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全面覆盖</w:t>
            </w:r>
          </w:p>
        </w:tc>
      </w:tr>
      <w:tr w:rsidR="008748BA" w:rsidRPr="008748BA" w:rsidTr="008748BA">
        <w:trPr>
          <w:trHeight w:val="772"/>
        </w:trPr>
        <w:tc>
          <w:tcPr>
            <w:tcW w:w="191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  <w:r w:rsidRPr="008748BA">
              <w:rPr>
                <w:rFonts w:ascii="宋体" w:hAnsi="宋体"/>
                <w:sz w:val="24"/>
              </w:rPr>
              <w:t>+</w:t>
            </w:r>
            <w:r w:rsidRPr="008748BA">
              <w:rPr>
                <w:rFonts w:ascii="宋体" w:hAnsi="宋体" w:hint="eastAsia"/>
                <w:sz w:val="24"/>
              </w:rPr>
              <w:t>远程实施</w:t>
            </w:r>
          </w:p>
        </w:tc>
        <w:tc>
          <w:tcPr>
            <w:tcW w:w="5278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现场对内网资产、远程对外网资产等进行盘点</w:t>
            </w:r>
          </w:p>
        </w:tc>
        <w:tc>
          <w:tcPr>
            <w:tcW w:w="132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灵活性高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资产梳理服务所需服务资源有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3094"/>
        <w:gridCol w:w="3155"/>
      </w:tblGrid>
      <w:tr w:rsidR="008748BA" w:rsidRPr="008748BA" w:rsidTr="00812D94">
        <w:tc>
          <w:tcPr>
            <w:tcW w:w="2267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人力</w:t>
            </w:r>
          </w:p>
        </w:tc>
        <w:tc>
          <w:tcPr>
            <w:tcW w:w="3094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平台</w:t>
            </w:r>
          </w:p>
        </w:tc>
        <w:tc>
          <w:tcPr>
            <w:tcW w:w="3155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工具</w:t>
            </w:r>
          </w:p>
        </w:tc>
      </w:tr>
      <w:tr w:rsidR="008748BA" w:rsidRPr="008748BA" w:rsidTr="00812D94">
        <w:tc>
          <w:tcPr>
            <w:tcW w:w="2267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工程师</w:t>
            </w:r>
          </w:p>
        </w:tc>
        <w:tc>
          <w:tcPr>
            <w:tcW w:w="3094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资产收集平台</w:t>
            </w:r>
          </w:p>
        </w:tc>
        <w:tc>
          <w:tcPr>
            <w:tcW w:w="315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空间测绘平台</w:t>
            </w:r>
          </w:p>
        </w:tc>
      </w:tr>
      <w:tr w:rsidR="008748BA" w:rsidRPr="008748BA" w:rsidTr="00812D94">
        <w:tc>
          <w:tcPr>
            <w:tcW w:w="2267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资产梳理</w:t>
            </w:r>
          </w:p>
        </w:tc>
      </w:tr>
      <w:tr w:rsidR="008748BA" w:rsidRPr="008748BA" w:rsidTr="00812D94">
        <w:tc>
          <w:tcPr>
            <w:tcW w:w="2267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其他工具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7" w:name="_Toc10222"/>
      <w:r w:rsidRPr="008748BA">
        <w:rPr>
          <w:rFonts w:ascii="宋体" w:hAnsi="宋体" w:hint="eastAsia"/>
          <w:sz w:val="24"/>
        </w:rPr>
        <w:t>服务内容</w:t>
      </w:r>
      <w:bookmarkEnd w:id="7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>﻿</w:t>
      </w:r>
      <w:r w:rsidRPr="008748BA">
        <w:rPr>
          <w:rFonts w:ascii="宋体" w:hAnsi="宋体" w:hint="eastAsia"/>
          <w:sz w:val="24"/>
        </w:rPr>
        <w:t>对信息化资产设备进行梳理，给出建设资产安全管理的优化建议，重新登记为《信息资产登记表》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8" w:name="_Toc16622"/>
      <w:r w:rsidRPr="008748BA">
        <w:rPr>
          <w:rFonts w:ascii="宋体" w:hAnsi="宋体" w:hint="eastAsia"/>
          <w:sz w:val="24"/>
        </w:rPr>
        <w:t>服务交付</w:t>
      </w:r>
      <w:bookmarkEnd w:id="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资产盘点服务各阶段服务交付物清单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《信息资产登记表》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9" w:name="_Toc15881"/>
      <w:bookmarkStart w:id="10" w:name="_Toc148620286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1.2 漏洞扫描服务</w:t>
      </w:r>
      <w:bookmarkEnd w:id="9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及A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PP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检测服务</w:t>
      </w:r>
      <w:bookmarkEnd w:id="10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漏洞扫描服务（包含A</w:t>
      </w:r>
      <w:r w:rsidRPr="008748BA">
        <w:rPr>
          <w:rFonts w:ascii="宋体" w:hAnsi="宋体"/>
          <w:sz w:val="24"/>
        </w:rPr>
        <w:t>PP</w:t>
      </w:r>
      <w:r w:rsidRPr="008748BA">
        <w:rPr>
          <w:rFonts w:ascii="宋体" w:hAnsi="宋体" w:hint="eastAsia"/>
          <w:sz w:val="24"/>
        </w:rPr>
        <w:t>检测）是通过使用漏洞扫描器及其他开源漏洞检查工具</w:t>
      </w:r>
      <w:r w:rsidRPr="008748BA">
        <w:rPr>
          <w:rFonts w:ascii="宋体" w:hAnsi="宋体"/>
          <w:sz w:val="24"/>
        </w:rPr>
        <w:t>，对操作系统、网络设备、安全设备、IoT 设备、中间件、Web 应用</w:t>
      </w:r>
      <w:r w:rsidRPr="008748BA">
        <w:rPr>
          <w:rFonts w:ascii="宋体" w:hAnsi="宋体" w:hint="eastAsia"/>
          <w:sz w:val="24"/>
        </w:rPr>
        <w:t>及A</w:t>
      </w:r>
      <w:r w:rsidRPr="008748BA">
        <w:rPr>
          <w:rFonts w:ascii="宋体" w:hAnsi="宋体"/>
          <w:sz w:val="24"/>
        </w:rPr>
        <w:t>PP</w:t>
      </w:r>
      <w:r w:rsidRPr="008748BA">
        <w:rPr>
          <w:rFonts w:ascii="宋体" w:hAnsi="宋体" w:hint="eastAsia"/>
          <w:sz w:val="24"/>
        </w:rPr>
        <w:t>、小程序</w:t>
      </w:r>
      <w:r w:rsidRPr="008748BA">
        <w:rPr>
          <w:rFonts w:ascii="宋体" w:hAnsi="宋体"/>
          <w:sz w:val="24"/>
        </w:rPr>
        <w:t>等类型 IT 资产进行漏洞扫描</w:t>
      </w:r>
      <w:r w:rsidRPr="008748BA">
        <w:rPr>
          <w:rFonts w:ascii="宋体" w:hAnsi="宋体" w:hint="eastAsia"/>
          <w:sz w:val="24"/>
        </w:rPr>
        <w:t>的自动化的检测工作</w:t>
      </w:r>
      <w:r w:rsidRPr="008748BA">
        <w:rPr>
          <w:rFonts w:ascii="宋体" w:hAnsi="宋体"/>
          <w:sz w:val="24"/>
        </w:rPr>
        <w:t>，</w:t>
      </w:r>
      <w:r w:rsidRPr="008748BA">
        <w:rPr>
          <w:rFonts w:ascii="宋体" w:hAnsi="宋体" w:hint="eastAsia"/>
          <w:sz w:val="24"/>
        </w:rPr>
        <w:t>发现现存的安全漏洞</w:t>
      </w:r>
      <w:r w:rsidRPr="008748BA">
        <w:rPr>
          <w:rFonts w:ascii="宋体" w:hAnsi="宋体"/>
          <w:sz w:val="24"/>
        </w:rPr>
        <w:t>。</w:t>
      </w:r>
      <w:r w:rsidRPr="008748BA">
        <w:rPr>
          <w:rFonts w:ascii="宋体" w:hAnsi="宋体" w:hint="eastAsia"/>
          <w:sz w:val="24"/>
        </w:rPr>
        <w:t>该服务适用于快速批量查找主流安全漏洞</w:t>
      </w:r>
      <w:r w:rsidRPr="008748BA">
        <w:rPr>
          <w:rFonts w:ascii="宋体" w:hAnsi="宋体"/>
          <w:sz w:val="24"/>
        </w:rPr>
        <w:t>，</w:t>
      </w:r>
      <w:r w:rsidRPr="008748BA">
        <w:rPr>
          <w:rFonts w:ascii="宋体" w:hAnsi="宋体" w:hint="eastAsia"/>
          <w:sz w:val="24"/>
        </w:rPr>
        <w:t>快速定位漏洞问题，保障行业终端安全</w:t>
      </w:r>
      <w:r w:rsidRPr="008748BA">
        <w:rPr>
          <w:rFonts w:ascii="宋体" w:hAnsi="宋体"/>
          <w:sz w:val="24"/>
        </w:rPr>
        <w:t>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1" w:name="_Toc26836"/>
      <w:r w:rsidRPr="008748BA">
        <w:rPr>
          <w:rFonts w:ascii="宋体" w:hAnsi="宋体" w:hint="eastAsia"/>
          <w:sz w:val="24"/>
        </w:rPr>
        <w:lastRenderedPageBreak/>
        <w:t>服务方式</w:t>
      </w:r>
      <w:bookmarkEnd w:id="11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漏洞扫描服务的服务方式为：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5316"/>
        <w:gridCol w:w="1407"/>
      </w:tblGrid>
      <w:tr w:rsidR="008748BA" w:rsidRPr="008748BA" w:rsidTr="00812D94">
        <w:trPr>
          <w:trHeight w:val="429"/>
        </w:trPr>
        <w:tc>
          <w:tcPr>
            <w:tcW w:w="1793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5316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  <w:tc>
          <w:tcPr>
            <w:tcW w:w="1407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服务特点</w:t>
            </w:r>
          </w:p>
        </w:tc>
      </w:tr>
      <w:tr w:rsidR="008748BA" w:rsidRPr="008748BA" w:rsidTr="00812D94">
        <w:trPr>
          <w:trHeight w:val="408"/>
        </w:trPr>
        <w:tc>
          <w:tcPr>
            <w:tcW w:w="1793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远程实施</w:t>
            </w:r>
          </w:p>
        </w:tc>
        <w:tc>
          <w:tcPr>
            <w:tcW w:w="5316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不限制场地、可对企业外网资产进行漏洞扫描</w:t>
            </w:r>
            <w:r w:rsidRPr="008748BA">
              <w:rPr>
                <w:rFonts w:ascii="宋体" w:hAnsi="宋体"/>
                <w:sz w:val="24"/>
              </w:rPr>
              <w:t>，</w:t>
            </w:r>
            <w:r w:rsidRPr="008748BA">
              <w:rPr>
                <w:rFonts w:ascii="宋体" w:hAnsi="宋体" w:hint="eastAsia"/>
                <w:sz w:val="24"/>
              </w:rPr>
              <w:t>通过跳板方式对内网资产进行漏洞扫描</w:t>
            </w:r>
          </w:p>
        </w:tc>
        <w:tc>
          <w:tcPr>
            <w:tcW w:w="1407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方便快捷</w:t>
            </w:r>
          </w:p>
        </w:tc>
      </w:tr>
      <w:tr w:rsidR="008748BA" w:rsidRPr="008748BA" w:rsidTr="00812D94">
        <w:trPr>
          <w:trHeight w:val="449"/>
        </w:trPr>
        <w:tc>
          <w:tcPr>
            <w:tcW w:w="1793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现场实施</w:t>
            </w:r>
          </w:p>
        </w:tc>
        <w:tc>
          <w:tcPr>
            <w:tcW w:w="5316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在现场对内网/外网资产进行漏洞扫描</w:t>
            </w:r>
          </w:p>
        </w:tc>
        <w:tc>
          <w:tcPr>
            <w:tcW w:w="1407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全面覆盖</w:t>
            </w:r>
          </w:p>
        </w:tc>
      </w:tr>
      <w:tr w:rsidR="008748BA" w:rsidRPr="008748BA" w:rsidTr="00812D94">
        <w:trPr>
          <w:trHeight w:val="449"/>
        </w:trPr>
        <w:tc>
          <w:tcPr>
            <w:tcW w:w="1793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  <w:r w:rsidRPr="008748BA">
              <w:rPr>
                <w:rFonts w:ascii="宋体" w:hAnsi="宋体"/>
                <w:sz w:val="24"/>
              </w:rPr>
              <w:t>+</w:t>
            </w:r>
            <w:r w:rsidRPr="008748BA">
              <w:rPr>
                <w:rFonts w:ascii="宋体" w:hAnsi="宋体" w:hint="eastAsia"/>
                <w:sz w:val="24"/>
              </w:rPr>
              <w:t>远程实施</w:t>
            </w:r>
          </w:p>
        </w:tc>
        <w:tc>
          <w:tcPr>
            <w:tcW w:w="5316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现场对内网资产进行漏洞扫描</w:t>
            </w:r>
          </w:p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远程对外网资产进行漏洞扫描</w:t>
            </w:r>
          </w:p>
        </w:tc>
        <w:tc>
          <w:tcPr>
            <w:tcW w:w="1407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灵活性高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漏洞扫描服务所需服务资源有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3337"/>
        <w:gridCol w:w="2818"/>
      </w:tblGrid>
      <w:tr w:rsidR="008748BA" w:rsidRPr="008748BA" w:rsidTr="00812D94">
        <w:trPr>
          <w:trHeight w:val="418"/>
        </w:trPr>
        <w:tc>
          <w:tcPr>
            <w:tcW w:w="2361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人力</w:t>
            </w:r>
          </w:p>
        </w:tc>
        <w:tc>
          <w:tcPr>
            <w:tcW w:w="3337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平台</w:t>
            </w:r>
          </w:p>
        </w:tc>
        <w:tc>
          <w:tcPr>
            <w:tcW w:w="281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工具</w:t>
            </w:r>
          </w:p>
        </w:tc>
      </w:tr>
      <w:tr w:rsidR="008748BA" w:rsidRPr="008748BA" w:rsidTr="00812D94">
        <w:trPr>
          <w:trHeight w:val="376"/>
        </w:trPr>
        <w:tc>
          <w:tcPr>
            <w:tcW w:w="23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工程</w:t>
            </w:r>
          </w:p>
        </w:tc>
        <w:tc>
          <w:tcPr>
            <w:tcW w:w="3337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中台支撑</w:t>
            </w:r>
          </w:p>
        </w:tc>
        <w:tc>
          <w:tcPr>
            <w:tcW w:w="281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漏洞扫描工具</w:t>
            </w:r>
          </w:p>
        </w:tc>
      </w:tr>
      <w:tr w:rsidR="008748BA" w:rsidRPr="008748BA" w:rsidTr="00812D94">
        <w:trPr>
          <w:trHeight w:val="418"/>
        </w:trPr>
        <w:tc>
          <w:tcPr>
            <w:tcW w:w="23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37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其他工具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2" w:name="_Toc21198"/>
      <w:r w:rsidRPr="008748BA">
        <w:rPr>
          <w:rFonts w:ascii="宋体" w:hAnsi="宋体" w:hint="eastAsia"/>
          <w:sz w:val="24"/>
        </w:rPr>
        <w:t>服务内容</w:t>
      </w:r>
      <w:bookmarkEnd w:id="12"/>
      <w:r w:rsidRPr="008748BA"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3979"/>
        <w:gridCol w:w="2397"/>
      </w:tblGrid>
      <w:tr w:rsidR="008748BA" w:rsidRPr="008748BA" w:rsidTr="00812D94">
        <w:trPr>
          <w:trHeight w:val="534"/>
        </w:trPr>
        <w:tc>
          <w:tcPr>
            <w:tcW w:w="2140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服务人员</w:t>
            </w:r>
          </w:p>
        </w:tc>
        <w:tc>
          <w:tcPr>
            <w:tcW w:w="3979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服务标准</w:t>
            </w:r>
          </w:p>
        </w:tc>
        <w:tc>
          <w:tcPr>
            <w:tcW w:w="2397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服务内容</w:t>
            </w:r>
          </w:p>
        </w:tc>
      </w:tr>
      <w:tr w:rsidR="008748BA" w:rsidRPr="008748BA" w:rsidTr="00812D94">
        <w:trPr>
          <w:trHeight w:val="1950"/>
        </w:trPr>
        <w:tc>
          <w:tcPr>
            <w:tcW w:w="2140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工程师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79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主机：一人天 20 台终端或服务器</w:t>
            </w:r>
          </w:p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应用：一人天 20 个网站（二级域名）</w:t>
            </w:r>
          </w:p>
        </w:tc>
        <w:tc>
          <w:tcPr>
            <w:tcW w:w="2397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1、前期沟通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2、漏洞扫描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3、漏洞修复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4、漏洞复测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5、交付报告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漏洞扫描，单次服务标准为：20 台终端或服务器或 20 个网站（二级域名）。需初级服务人员 1 名，为期 1 天。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前期沟通，实施服务人员，到达客户现场后，基于获取的项目信息，与客户侧项目对接人，进行需求确认。确认内容包含：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1）扫描范围 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2）扫描实施的时间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3）设备接入点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4）IP 地址的预留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5）配合人员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6）扫描 IP 的加白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7）扫描条件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漏洞扫描，根据客户提供的信息对操作系统、WEB 应用、中间件、网络设备、安全设备等 IT 资产进行漏洞扫描，漏洞扫描的测试范围包含：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1375"/>
        <w:gridCol w:w="4158"/>
      </w:tblGrid>
      <w:tr w:rsidR="008748BA" w:rsidRPr="008748BA" w:rsidTr="00812D94">
        <w:trPr>
          <w:trHeight w:val="470"/>
        </w:trPr>
        <w:tc>
          <w:tcPr>
            <w:tcW w:w="1861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漏洞类型</w:t>
            </w:r>
          </w:p>
        </w:tc>
        <w:tc>
          <w:tcPr>
            <w:tcW w:w="1375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威胁级别</w:t>
            </w:r>
          </w:p>
        </w:tc>
        <w:tc>
          <w:tcPr>
            <w:tcW w:w="415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具体漏洞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认证和授权类</w:t>
            </w: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任意文件下载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越权访问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弱口令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账户管理不规范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文件上传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用户名可枚举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暴力攻击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会话标识未更新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未授权访问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脆弱的SSL加密算法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会话令牌不应写入URL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密码明文传输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验证码漏洞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低危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脆弱的加密方式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会话重放攻击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命令执行类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Struts</w:t>
            </w:r>
            <w:r w:rsidRPr="008748BA">
              <w:rPr>
                <w:rFonts w:ascii="宋体" w:hAnsi="宋体"/>
                <w:sz w:val="24"/>
              </w:rPr>
              <w:t>2</w:t>
            </w:r>
            <w:r w:rsidRPr="008748BA">
              <w:rPr>
                <w:rFonts w:ascii="宋体" w:hAnsi="宋体" w:hint="eastAsia"/>
                <w:sz w:val="24"/>
              </w:rPr>
              <w:t>远程命令执行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JBOSS远程命令执行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HTTP</w:t>
            </w:r>
            <w:r w:rsidRPr="008748BA">
              <w:rPr>
                <w:rFonts w:ascii="宋体" w:hAnsi="宋体"/>
                <w:sz w:val="24"/>
              </w:rPr>
              <w:t>.sys</w:t>
            </w:r>
            <w:r w:rsidRPr="008748BA">
              <w:rPr>
                <w:rFonts w:ascii="宋体" w:hAnsi="宋体" w:hint="eastAsia"/>
                <w:sz w:val="24"/>
              </w:rPr>
              <w:t>远程命令执行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文件包含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tnftpftp客户端命令执行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HP Data Protector 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GNU Bash 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Elasticsearch 命令执行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各类反序列化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命令执行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逻辑攻击类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支付绕过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密码找回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任意密码登陆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绕过统一认证平台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并发漏洞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低危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慢速HTTP攻击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短信攻击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邮件攻击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批量注册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注入类攻击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SQL注入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XML注入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XPATH注入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命令注入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服务器模板注入</w:t>
            </w:r>
            <w:r w:rsidRPr="008748BA">
              <w:rPr>
                <w:rFonts w:ascii="宋体" w:hAnsi="宋体"/>
                <w:sz w:val="24"/>
              </w:rPr>
              <w:t>（</w:t>
            </w:r>
            <w:r w:rsidRPr="008748BA">
              <w:rPr>
                <w:rFonts w:ascii="宋体" w:hAnsi="宋体" w:hint="eastAsia"/>
                <w:sz w:val="24"/>
              </w:rPr>
              <w:t>SSTI</w:t>
            </w:r>
            <w:r w:rsidRPr="008748BA">
              <w:rPr>
                <w:rFonts w:ascii="宋体" w:hAnsi="宋体"/>
                <w:sz w:val="24"/>
              </w:rPr>
              <w:t>）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CRLF注入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XFF注入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链接或框架注入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JSON劫持注入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客户端攻击类</w:t>
            </w:r>
          </w:p>
        </w:tc>
        <w:tc>
          <w:tcPr>
            <w:tcW w:w="137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/>
                <w:sz w:val="24"/>
              </w:rPr>
              <w:t>XSS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CSRF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服务端攻击类</w:t>
            </w: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WebServer Expect 头 XSS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应用服务未授权访问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数据明文传输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拒绝服务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低危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使用低版本应用服务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信息泄漏类</w:t>
            </w: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git泄漏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svn泄漏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web服务器控制台泄漏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Phpinfo</w:t>
            </w:r>
            <w:r w:rsidRPr="008748BA">
              <w:rPr>
                <w:rFonts w:ascii="宋体" w:hAnsi="宋体"/>
                <w:sz w:val="24"/>
              </w:rPr>
              <w:t>()</w:t>
            </w:r>
            <w:r w:rsidRPr="008748BA">
              <w:rPr>
                <w:rFonts w:ascii="宋体" w:hAnsi="宋体" w:hint="eastAsia"/>
                <w:sz w:val="24"/>
              </w:rPr>
              <w:t>信息泄漏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目录遍历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IIS短文件名泄漏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HTML 注释敏感信息泄露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安装或示例页面未删除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Cookie信息泄漏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低危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Cookie缺少安全属性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敏感信息泄漏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异常信息泄漏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内网IP地址泄漏</w:t>
            </w:r>
          </w:p>
        </w:tc>
      </w:tr>
      <w:tr w:rsidR="008748BA" w:rsidRPr="008748BA" w:rsidTr="00812D94">
        <w:tc>
          <w:tcPr>
            <w:tcW w:w="1861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MS系列漏洞</w:t>
            </w:r>
          </w:p>
        </w:tc>
        <w:tc>
          <w:tcPr>
            <w:tcW w:w="1375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所有MS系列</w:t>
            </w:r>
          </w:p>
        </w:tc>
      </w:tr>
      <w:tr w:rsidR="008748BA" w:rsidRPr="008748BA" w:rsidTr="00812D94">
        <w:tc>
          <w:tcPr>
            <w:tcW w:w="1861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375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高危</w:t>
            </w: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PHP multipart/form-data 远程 DOS 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ASP.NET Padding Oracle 攻击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SSRF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Web服务器解析漏洞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Unicode编码转换漏洞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SMB会话可获取远程共享列表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Oracle Database Server 'TNS Listener'远程数据投毒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Openssl 心脏滴血漏洞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Linux Glibc GHOST 幽灵</w:t>
            </w:r>
          </w:p>
        </w:tc>
      </w:tr>
      <w:tr w:rsidR="008748BA" w:rsidRPr="008748BA" w:rsidTr="00812D94">
        <w:tc>
          <w:tcPr>
            <w:tcW w:w="1861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ssh用户名暴力枚举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最后对有疑问点和对可能造成数据变动的漏洞，进行人工手动验证</w:t>
      </w:r>
      <w:r w:rsidRPr="008748BA">
        <w:rPr>
          <w:rFonts w:ascii="宋体" w:hAnsi="宋体"/>
          <w:sz w:val="24"/>
        </w:rPr>
        <w:t>。</w:t>
      </w:r>
      <w:r w:rsidRPr="008748BA">
        <w:rPr>
          <w:rFonts w:ascii="宋体" w:hAnsi="宋体" w:hint="eastAsia"/>
          <w:sz w:val="24"/>
        </w:rPr>
        <w:t xml:space="preserve">漏洞修复，包含以下几点：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1）对扫描出的漏洞，提供漏洞修复报告。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2）对企业修复人员，提出的问题进行解惑。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漏洞复测，在客户侧漏洞修复完毕之后对以下内容进行漏洞复测，包含：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1）操作系统方面。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2）Web 应用。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3）中间件。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4）网络设备、安全设备、Iot 设备等进行漏洞复测。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交付报告，所有漏洞修复完毕之后提供整体漏洞扫描报告，包含：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1）整体漏洞情况。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 xml:space="preserve">2）漏洞修复建议。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3" w:name="_Toc9152"/>
      <w:r w:rsidRPr="008748BA">
        <w:rPr>
          <w:rFonts w:ascii="宋体" w:hAnsi="宋体" w:hint="eastAsia"/>
          <w:sz w:val="24"/>
        </w:rPr>
        <w:t>服务交付</w:t>
      </w:r>
      <w:bookmarkEnd w:id="13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漏洞扫描服务各阶段服务交付物清单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《漏洞扫描及处理报告》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14" w:name="_Toc23161"/>
      <w:bookmarkStart w:id="15" w:name="_Toc148620287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1.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3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安全巡检服务</w:t>
      </w:r>
      <w:bookmarkEnd w:id="14"/>
      <w:bookmarkEnd w:id="15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6" w:name="_Toc30477"/>
      <w:r w:rsidRPr="008748BA">
        <w:rPr>
          <w:rFonts w:ascii="宋体" w:hAnsi="宋体" w:hint="eastAsia"/>
          <w:sz w:val="24"/>
        </w:rPr>
        <w:t>服务方式</w:t>
      </w:r>
      <w:bookmarkEnd w:id="16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lastRenderedPageBreak/>
        <w:t>由专业安全工程师定期针对服务器、数据库、网络设备和安全设备，进行策略的合理性和有效性检查，并对日志进行审计分析，记录保存检查和审计结果，并生成相应报告。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7" w:name="_Toc26312"/>
      <w:r w:rsidRPr="008748BA">
        <w:rPr>
          <w:rFonts w:ascii="宋体" w:hAnsi="宋体" w:hint="eastAsia"/>
          <w:sz w:val="24"/>
        </w:rPr>
        <w:t>服务内容</w:t>
      </w:r>
      <w:bookmarkEnd w:id="17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以环境稳定性、安全性为目标针对法院网络进行深入、严谨的日常性评估，对网络中存在的能在现有条件下排除的风险进行处理，并提供可视化报告和统计的一种服务。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日志分析：收集日志信息，并根据安全动态结合安全工程师的安全经验，分析指定设备的特定时间的日志信息，发现面临的安全风险，并提出建议。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策略优化：对安全设备进行策略检查，并根据检查结果提供改进建议；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状态检查：检查设备硬件和软件的运行状况。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隐患排除：对排查结果中存在的隐患（病毒、木马等）甄别风险并进行处理，及时排除。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18" w:name="_Toc28711"/>
      <w:r w:rsidRPr="008748BA">
        <w:rPr>
          <w:rFonts w:ascii="宋体" w:hAnsi="宋体" w:hint="eastAsia"/>
          <w:sz w:val="24"/>
        </w:rPr>
        <w:t>服务交付</w:t>
      </w:r>
      <w:bookmarkEnd w:id="1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安全巡检服务各阶段服务交付物清单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《安全巡检报告》。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19" w:name="_Toc3979"/>
      <w:bookmarkStart w:id="20" w:name="_Toc148620288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.4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迎检协助服务</w:t>
      </w:r>
      <w:bookmarkEnd w:id="19"/>
      <w:bookmarkEnd w:id="20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21" w:name="_Toc28489"/>
      <w:r w:rsidRPr="008748BA">
        <w:rPr>
          <w:rFonts w:ascii="宋体" w:hAnsi="宋体" w:hint="eastAsia"/>
          <w:sz w:val="24"/>
        </w:rPr>
        <w:t>服务方式</w:t>
      </w:r>
      <w:bookmarkEnd w:id="21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迎检协助服务的服务方式为</w:t>
      </w:r>
      <w:r w:rsidRPr="008748BA">
        <w:rPr>
          <w:rFonts w:ascii="宋体" w:hAnsi="宋体"/>
          <w:sz w:val="24"/>
        </w:rPr>
        <w:t xml:space="preserve">：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6034"/>
      </w:tblGrid>
      <w:tr w:rsidR="008748BA" w:rsidRPr="008748BA" w:rsidTr="00812D94">
        <w:trPr>
          <w:trHeight w:val="492"/>
        </w:trPr>
        <w:tc>
          <w:tcPr>
            <w:tcW w:w="1460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3540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</w:tr>
      <w:tr w:rsidR="008748BA" w:rsidRPr="008748BA" w:rsidTr="00812D94">
        <w:trPr>
          <w:trHeight w:val="492"/>
        </w:trPr>
        <w:tc>
          <w:tcPr>
            <w:tcW w:w="1460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</w:t>
            </w:r>
          </w:p>
        </w:tc>
        <w:tc>
          <w:tcPr>
            <w:tcW w:w="3540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互联网或远程控制对安全事件进行迎检协助</w:t>
            </w:r>
          </w:p>
        </w:tc>
      </w:tr>
      <w:tr w:rsidR="008748BA" w:rsidRPr="008748BA" w:rsidTr="00812D94">
        <w:trPr>
          <w:trHeight w:val="456"/>
        </w:trPr>
        <w:tc>
          <w:tcPr>
            <w:tcW w:w="1460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</w:p>
        </w:tc>
        <w:tc>
          <w:tcPr>
            <w:tcW w:w="3540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客户现场直接对安全事件进行迎检协助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迎检协助服务所需服务资源有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4258"/>
      </w:tblGrid>
      <w:tr w:rsidR="008748BA" w:rsidRPr="008748BA" w:rsidTr="00812D94">
        <w:tc>
          <w:tcPr>
            <w:tcW w:w="425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人力</w:t>
            </w:r>
          </w:p>
        </w:tc>
        <w:tc>
          <w:tcPr>
            <w:tcW w:w="425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支持</w:t>
            </w:r>
          </w:p>
        </w:tc>
      </w:tr>
      <w:tr w:rsidR="008748BA" w:rsidRPr="008748BA" w:rsidTr="00812D94">
        <w:tc>
          <w:tcPr>
            <w:tcW w:w="4258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中级工程师</w:t>
            </w: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应急响应工具</w:t>
            </w:r>
          </w:p>
        </w:tc>
      </w:tr>
      <w:tr w:rsidR="008748BA" w:rsidRPr="008748BA" w:rsidTr="00812D94"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日志审计工具</w:t>
            </w:r>
          </w:p>
        </w:tc>
      </w:tr>
      <w:tr w:rsidR="008748BA" w:rsidRPr="008748BA" w:rsidTr="00812D94"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攻击溯源</w:t>
            </w:r>
          </w:p>
        </w:tc>
      </w:tr>
      <w:tr w:rsidR="008748BA" w:rsidRPr="008748BA" w:rsidTr="00812D94">
        <w:trPr>
          <w:trHeight w:val="90"/>
        </w:trPr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其他工具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22" w:name="_Toc1277"/>
      <w:r w:rsidRPr="008748BA">
        <w:rPr>
          <w:rFonts w:ascii="宋体" w:hAnsi="宋体" w:hint="eastAsia"/>
          <w:sz w:val="24"/>
        </w:rPr>
        <w:t>服务内容</w:t>
      </w:r>
      <w:bookmarkEnd w:id="22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当国家、行业、上级、网安、网信等网络安全监管部门针对信息系统的安全检查时，协助解读检查文件，并针对文件中的检查项协助甲方自查和填报，完成各项检查，并配合甲方完成网信办或上级法院组织的攻防演练等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23" w:name="_Toc6412"/>
      <w:r w:rsidRPr="008748BA">
        <w:rPr>
          <w:rFonts w:ascii="宋体" w:hAnsi="宋体" w:hint="eastAsia"/>
          <w:sz w:val="24"/>
        </w:rPr>
        <w:t>服务交付</w:t>
      </w:r>
      <w:bookmarkEnd w:id="23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>迎检协助服务</w:t>
      </w:r>
      <w:r w:rsidRPr="008748BA">
        <w:rPr>
          <w:rFonts w:ascii="宋体" w:hAnsi="宋体" w:hint="eastAsia"/>
          <w:sz w:val="24"/>
        </w:rPr>
        <w:t>各阶段服务交付物清单如下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《安全自查报告》、《需反馈的安全检查文件》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24" w:name="_Toc10212"/>
      <w:bookmarkStart w:id="25" w:name="_Toc16779"/>
      <w:bookmarkStart w:id="26" w:name="_Toc148620289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.5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应急响应</w:t>
      </w:r>
      <w:bookmarkEnd w:id="24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服务</w:t>
      </w:r>
      <w:bookmarkEnd w:id="25"/>
      <w:bookmarkEnd w:id="26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27" w:name="_Toc11636"/>
      <w:bookmarkStart w:id="28" w:name="_Toc10013"/>
      <w:r w:rsidRPr="008748BA">
        <w:rPr>
          <w:rFonts w:ascii="宋体" w:hAnsi="宋体" w:hint="eastAsia"/>
          <w:sz w:val="24"/>
        </w:rPr>
        <w:t>服务方式</w:t>
      </w:r>
      <w:bookmarkEnd w:id="27"/>
      <w:bookmarkEnd w:id="2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应急响应服务的服务方式为：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4924"/>
        <w:gridCol w:w="1560"/>
      </w:tblGrid>
      <w:tr w:rsidR="008748BA" w:rsidRPr="008748BA" w:rsidTr="00812D94">
        <w:trPr>
          <w:trHeight w:val="455"/>
        </w:trPr>
        <w:tc>
          <w:tcPr>
            <w:tcW w:w="2032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4924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服务特点</w:t>
            </w:r>
          </w:p>
        </w:tc>
      </w:tr>
      <w:tr w:rsidR="008748BA" w:rsidRPr="008748BA" w:rsidTr="00812D94">
        <w:trPr>
          <w:trHeight w:val="455"/>
        </w:trPr>
        <w:tc>
          <w:tcPr>
            <w:tcW w:w="2032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</w:t>
            </w:r>
          </w:p>
        </w:tc>
        <w:tc>
          <w:tcPr>
            <w:tcW w:w="4924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互联网或远程控制对安全事件进行应急响应</w:t>
            </w:r>
          </w:p>
        </w:tc>
        <w:tc>
          <w:tcPr>
            <w:tcW w:w="156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方便快捷</w:t>
            </w:r>
          </w:p>
        </w:tc>
      </w:tr>
      <w:tr w:rsidR="008748BA" w:rsidRPr="008748BA" w:rsidTr="00812D94">
        <w:trPr>
          <w:trHeight w:val="400"/>
        </w:trPr>
        <w:tc>
          <w:tcPr>
            <w:tcW w:w="2032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</w:p>
        </w:tc>
        <w:tc>
          <w:tcPr>
            <w:tcW w:w="4924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客户现场直接对安全事件进行应急响应</w:t>
            </w:r>
          </w:p>
        </w:tc>
        <w:tc>
          <w:tcPr>
            <w:tcW w:w="156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效果较好</w:t>
            </w:r>
          </w:p>
        </w:tc>
      </w:tr>
      <w:tr w:rsidR="008748BA" w:rsidRPr="008748BA" w:rsidTr="00812D94">
        <w:trPr>
          <w:trHeight w:val="420"/>
        </w:trPr>
        <w:tc>
          <w:tcPr>
            <w:tcW w:w="2032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单次</w:t>
            </w:r>
          </w:p>
        </w:tc>
        <w:tc>
          <w:tcPr>
            <w:tcW w:w="4924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针对单次安全事件提供实时应急响应服</w:t>
            </w:r>
          </w:p>
        </w:tc>
        <w:tc>
          <w:tcPr>
            <w:tcW w:w="1560" w:type="dxa"/>
            <w:vAlign w:val="center"/>
          </w:tcPr>
          <w:p w:rsidR="008748BA" w:rsidRPr="008748BA" w:rsidRDefault="008748BA" w:rsidP="008748B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效果较好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lastRenderedPageBreak/>
        <w:t>应急响应服务</w:t>
      </w:r>
      <w:r w:rsidRPr="008748BA">
        <w:rPr>
          <w:rFonts w:ascii="宋体" w:hAnsi="宋体" w:hint="eastAsia"/>
          <w:sz w:val="24"/>
        </w:rPr>
        <w:t>所需服务资源有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4258"/>
      </w:tblGrid>
      <w:tr w:rsidR="008748BA" w:rsidRPr="008748BA" w:rsidTr="00812D94">
        <w:tc>
          <w:tcPr>
            <w:tcW w:w="425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人力</w:t>
            </w:r>
          </w:p>
        </w:tc>
        <w:tc>
          <w:tcPr>
            <w:tcW w:w="425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支持</w:t>
            </w:r>
          </w:p>
        </w:tc>
      </w:tr>
      <w:tr w:rsidR="008748BA" w:rsidRPr="008748BA" w:rsidTr="00812D94">
        <w:tc>
          <w:tcPr>
            <w:tcW w:w="4258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中级工程师</w:t>
            </w: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应急响应工具</w:t>
            </w:r>
          </w:p>
        </w:tc>
      </w:tr>
      <w:tr w:rsidR="008748BA" w:rsidRPr="008748BA" w:rsidTr="00812D94"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日志审计工具</w:t>
            </w:r>
          </w:p>
        </w:tc>
      </w:tr>
      <w:tr w:rsidR="008748BA" w:rsidRPr="008748BA" w:rsidTr="00812D94"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攻击溯源</w:t>
            </w:r>
          </w:p>
        </w:tc>
      </w:tr>
      <w:tr w:rsidR="008748BA" w:rsidRPr="008748BA" w:rsidTr="00812D94">
        <w:tc>
          <w:tcPr>
            <w:tcW w:w="4258" w:type="dxa"/>
            <w:vMerge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其他工具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29" w:name="_Toc16184"/>
      <w:bookmarkStart w:id="30" w:name="_Toc15193"/>
      <w:bookmarkStart w:id="31" w:name="_Toc61341717"/>
      <w:r w:rsidRPr="008748BA">
        <w:rPr>
          <w:rFonts w:ascii="宋体" w:hAnsi="宋体" w:hint="eastAsia"/>
          <w:sz w:val="24"/>
        </w:rPr>
        <w:t>服务内容</w:t>
      </w:r>
      <w:bookmarkEnd w:id="29"/>
      <w:bookmarkEnd w:id="30"/>
      <w:bookmarkEnd w:id="31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32" w:name="_Toc61341718"/>
      <w:bookmarkStart w:id="33" w:name="_Toc31520"/>
      <w:r w:rsidRPr="008748BA">
        <w:rPr>
          <w:rFonts w:ascii="宋体" w:hAnsi="宋体" w:hint="eastAsia"/>
          <w:sz w:val="24"/>
        </w:rPr>
        <w:t>在发生确切的安全事件时，实施人员及时采取行动限制事件扩散和影响的范围，限制潜在的损失与破坏服务基础上，协助检查所有受影响的系统，在准确判断安全事件原因的基础上，提出基于安全事件的整体安全解决方案，排除系统安全风险并协助追查事件来源、协助后续处置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34" w:name="_Toc28617"/>
      <w:bookmarkStart w:id="35" w:name="_Toc14431"/>
      <w:bookmarkEnd w:id="32"/>
      <w:bookmarkEnd w:id="33"/>
      <w:r w:rsidRPr="008748BA">
        <w:rPr>
          <w:rFonts w:ascii="宋体" w:hAnsi="宋体" w:hint="eastAsia"/>
          <w:sz w:val="24"/>
        </w:rPr>
        <w:t>服务交付</w:t>
      </w:r>
      <w:bookmarkEnd w:id="34"/>
      <w:bookmarkEnd w:id="35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应急响应服务各阶段服务交付物清单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《应急响应服务报告》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36" w:name="_Toc29889"/>
      <w:bookmarkStart w:id="37" w:name="_Toc148620290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.6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安全管理体系完善服务</w:t>
      </w:r>
      <w:bookmarkEnd w:id="36"/>
      <w:bookmarkEnd w:id="37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38" w:name="_Toc28295"/>
      <w:r w:rsidRPr="008748BA">
        <w:rPr>
          <w:rFonts w:ascii="宋体" w:hAnsi="宋体" w:hint="eastAsia"/>
          <w:sz w:val="24"/>
        </w:rPr>
        <w:t>服务方式</w:t>
      </w:r>
      <w:bookmarkEnd w:id="3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安全管理体系完善</w:t>
      </w:r>
      <w:r w:rsidRPr="008748BA">
        <w:rPr>
          <w:rFonts w:ascii="宋体" w:hAnsi="宋体"/>
          <w:sz w:val="24"/>
        </w:rPr>
        <w:t xml:space="preserve">的服务方式为：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6502"/>
      </w:tblGrid>
      <w:tr w:rsidR="008748BA" w:rsidRPr="008748BA" w:rsidTr="00812D94">
        <w:trPr>
          <w:trHeight w:val="455"/>
        </w:trPr>
        <w:tc>
          <w:tcPr>
            <w:tcW w:w="118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381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</w:tr>
      <w:tr w:rsidR="008748BA" w:rsidRPr="008748BA" w:rsidTr="00812D94">
        <w:trPr>
          <w:trHeight w:val="455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现场调研现有管理制度，与安全负责人进行访谈</w:t>
            </w:r>
          </w:p>
        </w:tc>
      </w:tr>
      <w:tr w:rsidR="008748BA" w:rsidRPr="008748BA" w:rsidTr="00812D94">
        <w:trPr>
          <w:trHeight w:val="400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根据调研结果进行安全管理体系完善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39" w:name="_Toc16676"/>
      <w:r w:rsidRPr="008748BA">
        <w:rPr>
          <w:rFonts w:ascii="宋体" w:hAnsi="宋体" w:hint="eastAsia"/>
          <w:sz w:val="24"/>
        </w:rPr>
        <w:t>服务内容</w:t>
      </w:r>
      <w:bookmarkEnd w:id="39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为落实网络安全主管机关对于各部门网络安全的工作要求，同时根据实际存在的安全制度，通过专业高效的安全管理体系完善服务，准确定位整体安全需求，为安全体系完善确定科学依据。在安全现状和需求的基础上，明确信息安全建设目标，基于的信息安全现状、需求分析结果，参考国内外信息安全体系模型，在明确用户信息安全建设目标的前提下，建立符合用户的信息安全保障体系框架，针对各子体系模块进行详细设计，遵循整理和建设相结合、先易后难、兼顾工作量在各阶段的平衡分配的原则，协助用户完善安全管理体系建设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40" w:name="_Toc25458"/>
      <w:r w:rsidRPr="008748BA">
        <w:rPr>
          <w:rFonts w:ascii="宋体" w:hAnsi="宋体" w:hint="eastAsia"/>
          <w:sz w:val="24"/>
        </w:rPr>
        <w:t>服务交付</w:t>
      </w:r>
      <w:bookmarkEnd w:id="40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安全管理体系完善服务交付物清单</w:t>
      </w:r>
      <w:r w:rsidRPr="008748BA">
        <w:rPr>
          <w:rFonts w:ascii="宋体" w:hAnsi="宋体"/>
          <w:sz w:val="24"/>
        </w:rPr>
        <w:t>：</w:t>
      </w:r>
      <w:r w:rsidRPr="008748BA">
        <w:rPr>
          <w:rFonts w:ascii="宋体" w:hAnsi="宋体" w:hint="eastAsia"/>
          <w:sz w:val="24"/>
        </w:rPr>
        <w:t>《安全管理体系文件》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41" w:name="_Toc24646"/>
      <w:bookmarkStart w:id="42" w:name="_Toc148620291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.7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安全培训服务</w:t>
      </w:r>
      <w:bookmarkEnd w:id="41"/>
      <w:bookmarkEnd w:id="42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安全培训服务根据客户不同的培训需求</w:t>
      </w:r>
      <w:r w:rsidRPr="008748BA">
        <w:rPr>
          <w:rFonts w:ascii="宋体" w:hAnsi="宋体"/>
          <w:sz w:val="24"/>
        </w:rPr>
        <w:t>，</w:t>
      </w:r>
      <w:r w:rsidRPr="008748BA">
        <w:rPr>
          <w:rFonts w:ascii="宋体" w:hAnsi="宋体" w:hint="eastAsia"/>
          <w:sz w:val="24"/>
        </w:rPr>
        <w:t>针对不同的培训对象</w:t>
      </w:r>
      <w:r w:rsidRPr="008748BA">
        <w:rPr>
          <w:rFonts w:ascii="宋体" w:hAnsi="宋体"/>
          <w:sz w:val="24"/>
        </w:rPr>
        <w:t>，</w:t>
      </w:r>
      <w:r w:rsidRPr="008748BA">
        <w:rPr>
          <w:rFonts w:ascii="宋体" w:hAnsi="宋体" w:hint="eastAsia"/>
          <w:sz w:val="24"/>
        </w:rPr>
        <w:t>推出安全意识培训等培训</w:t>
      </w:r>
      <w:r w:rsidRPr="008748BA">
        <w:rPr>
          <w:rFonts w:ascii="宋体" w:hAnsi="宋体"/>
          <w:sz w:val="24"/>
        </w:rPr>
        <w:t>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>安全培训服务的服务对象，以及被服务对象的收益，如下所示：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6175"/>
      </w:tblGrid>
      <w:tr w:rsidR="008748BA" w:rsidRPr="008748BA" w:rsidTr="00812D94">
        <w:tc>
          <w:tcPr>
            <w:tcW w:w="1377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服务对象</w:t>
            </w:r>
          </w:p>
        </w:tc>
        <w:tc>
          <w:tcPr>
            <w:tcW w:w="3623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企业收益</w:t>
            </w:r>
          </w:p>
        </w:tc>
      </w:tr>
      <w:tr w:rsidR="008748BA" w:rsidRPr="008748BA" w:rsidTr="00812D94">
        <w:tc>
          <w:tcPr>
            <w:tcW w:w="1377" w:type="pct"/>
            <w:vMerge w:val="restar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所有团体</w:t>
            </w:r>
          </w:p>
        </w:tc>
        <w:tc>
          <w:tcPr>
            <w:tcW w:w="3623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/>
                <w:sz w:val="24"/>
              </w:rPr>
              <w:t>人员：管理/攻击/防守能力、安全意识水平得到提升等</w:t>
            </w:r>
          </w:p>
        </w:tc>
      </w:tr>
      <w:tr w:rsidR="008748BA" w:rsidRPr="008748BA" w:rsidTr="00812D94">
        <w:trPr>
          <w:trHeight w:val="426"/>
        </w:trPr>
        <w:tc>
          <w:tcPr>
            <w:tcW w:w="1377" w:type="pct"/>
            <w:vMerge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23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单位</w:t>
            </w:r>
            <w:r w:rsidRPr="008748BA">
              <w:rPr>
                <w:rFonts w:ascii="宋体" w:hAnsi="宋体"/>
                <w:sz w:val="24"/>
              </w:rPr>
              <w:t>：</w:t>
            </w:r>
            <w:r w:rsidRPr="008748BA">
              <w:rPr>
                <w:rFonts w:ascii="宋体" w:hAnsi="宋体" w:hint="eastAsia"/>
                <w:sz w:val="24"/>
              </w:rPr>
              <w:t>整体</w:t>
            </w:r>
            <w:r w:rsidRPr="008748BA">
              <w:rPr>
                <w:rFonts w:ascii="宋体" w:hAnsi="宋体"/>
                <w:sz w:val="24"/>
              </w:rPr>
              <w:t>防护体系得到加强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43" w:name="_Toc26630"/>
      <w:bookmarkStart w:id="44" w:name="_Toc621243830"/>
      <w:r w:rsidRPr="008748BA">
        <w:rPr>
          <w:rFonts w:ascii="宋体" w:hAnsi="宋体" w:hint="eastAsia"/>
          <w:sz w:val="24"/>
        </w:rPr>
        <w:t>服务方式</w:t>
      </w:r>
      <w:bookmarkEnd w:id="43"/>
      <w:bookmarkEnd w:id="44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依据客户需求</w:t>
      </w:r>
      <w:r w:rsidRPr="008748BA">
        <w:rPr>
          <w:rFonts w:ascii="宋体" w:hAnsi="宋体"/>
          <w:sz w:val="24"/>
        </w:rPr>
        <w:t>，</w:t>
      </w:r>
      <w:r w:rsidRPr="008748BA">
        <w:rPr>
          <w:rFonts w:ascii="宋体" w:hAnsi="宋体" w:hint="eastAsia"/>
          <w:sz w:val="24"/>
        </w:rPr>
        <w:t>培训服务方式如下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853"/>
        <w:gridCol w:w="1589"/>
      </w:tblGrid>
      <w:tr w:rsidR="008748BA" w:rsidRPr="008748BA" w:rsidTr="00812D94">
        <w:tc>
          <w:tcPr>
            <w:tcW w:w="1818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4853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  <w:tc>
          <w:tcPr>
            <w:tcW w:w="1589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服务特点</w:t>
            </w:r>
          </w:p>
        </w:tc>
      </w:tr>
      <w:tr w:rsidR="008748BA" w:rsidRPr="008748BA" w:rsidTr="00812D94">
        <w:tc>
          <w:tcPr>
            <w:tcW w:w="1818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远程培训</w:t>
            </w:r>
          </w:p>
        </w:tc>
        <w:tc>
          <w:tcPr>
            <w:tcW w:w="4853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无需场地</w:t>
            </w:r>
            <w:r w:rsidRPr="008748BA">
              <w:rPr>
                <w:rFonts w:ascii="宋体" w:hAnsi="宋体"/>
                <w:sz w:val="24"/>
              </w:rPr>
              <w:t>、</w:t>
            </w:r>
            <w:r w:rsidRPr="008748BA">
              <w:rPr>
                <w:rFonts w:ascii="宋体" w:hAnsi="宋体" w:hint="eastAsia"/>
                <w:sz w:val="24"/>
              </w:rPr>
              <w:t>可覆盖企业</w:t>
            </w:r>
            <w:r w:rsidRPr="008748BA">
              <w:rPr>
                <w:rFonts w:ascii="宋体" w:hAnsi="宋体"/>
                <w:sz w:val="24"/>
              </w:rPr>
              <w:t>/</w:t>
            </w:r>
            <w:r w:rsidRPr="008748BA">
              <w:rPr>
                <w:rFonts w:ascii="宋体" w:hAnsi="宋体" w:hint="eastAsia"/>
                <w:sz w:val="24"/>
              </w:rPr>
              <w:t>团体所有员工</w:t>
            </w:r>
          </w:p>
        </w:tc>
        <w:tc>
          <w:tcPr>
            <w:tcW w:w="1589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覆盖全员</w:t>
            </w:r>
          </w:p>
        </w:tc>
      </w:tr>
      <w:tr w:rsidR="008748BA" w:rsidRPr="008748BA" w:rsidTr="00812D94">
        <w:tc>
          <w:tcPr>
            <w:tcW w:w="1818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现场培训</w:t>
            </w:r>
          </w:p>
        </w:tc>
        <w:tc>
          <w:tcPr>
            <w:tcW w:w="4853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面团体特定群体进行</w:t>
            </w:r>
          </w:p>
        </w:tc>
        <w:tc>
          <w:tcPr>
            <w:tcW w:w="1589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效果较好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安全培训服务相关服务资源有</w:t>
      </w:r>
      <w:r w:rsidRPr="008748BA">
        <w:rPr>
          <w:rFonts w:ascii="宋体" w:hAnsi="宋体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6582"/>
      </w:tblGrid>
      <w:tr w:rsidR="008748BA" w:rsidRPr="008748BA" w:rsidTr="00812D94">
        <w:tc>
          <w:tcPr>
            <w:tcW w:w="1663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lastRenderedPageBreak/>
              <w:t>人力</w:t>
            </w:r>
          </w:p>
        </w:tc>
        <w:tc>
          <w:tcPr>
            <w:tcW w:w="6582" w:type="dxa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教材</w:t>
            </w:r>
          </w:p>
        </w:tc>
      </w:tr>
      <w:tr w:rsidR="008748BA" w:rsidRPr="008748BA" w:rsidTr="00812D94">
        <w:tc>
          <w:tcPr>
            <w:tcW w:w="1663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中级工程师</w:t>
            </w:r>
          </w:p>
        </w:tc>
        <w:tc>
          <w:tcPr>
            <w:tcW w:w="6582" w:type="dxa"/>
            <w:vMerge w:val="restar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相关培训教材</w:t>
            </w:r>
          </w:p>
        </w:tc>
      </w:tr>
      <w:tr w:rsidR="008748BA" w:rsidRPr="008748BA" w:rsidTr="00812D94">
        <w:tc>
          <w:tcPr>
            <w:tcW w:w="1663" w:type="dxa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高级工程师</w:t>
            </w:r>
          </w:p>
        </w:tc>
        <w:tc>
          <w:tcPr>
            <w:tcW w:w="6582" w:type="dxa"/>
            <w:vMerge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45" w:name="_Toc179559096"/>
      <w:bookmarkStart w:id="46" w:name="_Toc6589"/>
      <w:r w:rsidRPr="008748BA">
        <w:rPr>
          <w:rFonts w:ascii="宋体" w:hAnsi="宋体" w:hint="eastAsia"/>
          <w:sz w:val="24"/>
        </w:rPr>
        <w:t>服务内容</w:t>
      </w:r>
      <w:bookmarkEnd w:id="45"/>
      <w:bookmarkEnd w:id="46"/>
      <w:r w:rsidRPr="008748BA">
        <w:rPr>
          <w:rFonts w:ascii="宋体" w:hAnsi="宋体" w:hint="eastAsia"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745"/>
        <w:gridCol w:w="2417"/>
        <w:gridCol w:w="2378"/>
        <w:gridCol w:w="1548"/>
      </w:tblGrid>
      <w:tr w:rsidR="008748BA" w:rsidRPr="008748BA" w:rsidTr="00812D94">
        <w:trPr>
          <w:trHeight w:val="524"/>
        </w:trPr>
        <w:tc>
          <w:tcPr>
            <w:tcW w:w="842" w:type="pct"/>
            <w:vMerge w:val="restart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课程及师资</w:t>
            </w:r>
          </w:p>
        </w:tc>
        <w:tc>
          <w:tcPr>
            <w:tcW w:w="437" w:type="pct"/>
            <w:vMerge w:val="restart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服务标准</w:t>
            </w:r>
          </w:p>
        </w:tc>
        <w:tc>
          <w:tcPr>
            <w:tcW w:w="2813" w:type="pct"/>
            <w:gridSpan w:val="2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服务内容及日程安排</w:t>
            </w:r>
          </w:p>
        </w:tc>
        <w:tc>
          <w:tcPr>
            <w:tcW w:w="908" w:type="pct"/>
            <w:vMerge w:val="restart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教材</w:t>
            </w:r>
          </w:p>
        </w:tc>
      </w:tr>
      <w:tr w:rsidR="008748BA" w:rsidRPr="008748BA" w:rsidTr="00812D94">
        <w:trPr>
          <w:trHeight w:val="524"/>
        </w:trPr>
        <w:tc>
          <w:tcPr>
            <w:tcW w:w="842" w:type="pct"/>
            <w:vMerge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7" w:type="pct"/>
            <w:vMerge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pct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395" w:type="pct"/>
            <w:shd w:val="clear" w:color="auto" w:fill="70AD47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908" w:type="pct"/>
            <w:vMerge/>
            <w:shd w:val="clear" w:color="auto" w:fill="70AD47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8748BA" w:rsidRPr="008748BA" w:rsidTr="00812D94">
        <w:trPr>
          <w:trHeight w:val="2181"/>
        </w:trPr>
        <w:tc>
          <w:tcPr>
            <w:tcW w:w="842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常规安全意识培训</w:t>
            </w:r>
            <w:r w:rsidRPr="008748BA">
              <w:rPr>
                <w:rFonts w:ascii="宋体" w:hAnsi="宋体"/>
                <w:sz w:val="24"/>
              </w:rPr>
              <w:t>1-2</w:t>
            </w:r>
            <w:r w:rsidRPr="008748BA">
              <w:rPr>
                <w:rFonts w:ascii="宋体" w:hAnsi="宋体" w:hint="eastAsia"/>
                <w:sz w:val="24"/>
              </w:rPr>
              <w:t>人</w:t>
            </w:r>
            <w:r w:rsidRPr="008748BA">
              <w:rPr>
                <w:rFonts w:ascii="宋体" w:hAnsi="宋体"/>
                <w:sz w:val="24"/>
              </w:rPr>
              <w:t>（</w:t>
            </w:r>
            <w:r w:rsidRPr="008748BA">
              <w:rPr>
                <w:rFonts w:ascii="宋体" w:hAnsi="宋体" w:hint="eastAsia"/>
                <w:sz w:val="24"/>
              </w:rPr>
              <w:t>中级</w:t>
            </w:r>
            <w:r w:rsidRPr="008748BA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437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418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1、签到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2、安全形式与法律法规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3、个人安全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4、企业安全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5、社会工程学防范</w:t>
            </w:r>
          </w:p>
        </w:tc>
        <w:tc>
          <w:tcPr>
            <w:tcW w:w="1395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1、漏洞攻击演示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2、恶意链接钓鱼演示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3、恶意文件钓鱼演示</w:t>
            </w:r>
          </w:p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4、安全意识培训总结</w:t>
            </w:r>
          </w:p>
        </w:tc>
        <w:tc>
          <w:tcPr>
            <w:tcW w:w="908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培训 PPT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安全意识培训，师资为1-2人，服务按次计算，通常一次服务时间为</w:t>
      </w:r>
      <w:r w:rsidRPr="008748BA">
        <w:rPr>
          <w:rFonts w:ascii="宋体" w:hAnsi="宋体"/>
          <w:sz w:val="24"/>
        </w:rPr>
        <w:t>1</w:t>
      </w:r>
      <w:r w:rsidRPr="008748BA">
        <w:rPr>
          <w:rFonts w:ascii="宋体" w:hAnsi="宋体" w:hint="eastAsia"/>
          <w:sz w:val="24"/>
        </w:rPr>
        <w:t>天</w:t>
      </w:r>
      <w:r w:rsidRPr="008748BA">
        <w:rPr>
          <w:rFonts w:ascii="宋体" w:hAnsi="宋体"/>
          <w:sz w:val="24"/>
        </w:rPr>
        <w:t>。</w:t>
      </w:r>
      <w:r w:rsidRPr="008748BA">
        <w:rPr>
          <w:rFonts w:ascii="宋体" w:hAnsi="宋体" w:hint="eastAsia"/>
          <w:sz w:val="24"/>
        </w:rPr>
        <w:t xml:space="preserve">常规安全意识培训，配备师资为：中级服务工程师，服务方式有：远程、现场、现场+远程三种。服务内容及日常安排为：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上午，PPT宣讲：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1) </w:t>
      </w:r>
      <w:r w:rsidRPr="008748BA">
        <w:rPr>
          <w:rFonts w:ascii="宋体" w:hAnsi="宋体" w:hint="eastAsia"/>
          <w:sz w:val="24"/>
        </w:rPr>
        <w:t xml:space="preserve">签到。包含：部门、姓名、联系电话等。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2) </w:t>
      </w:r>
      <w:r w:rsidRPr="008748BA">
        <w:rPr>
          <w:rFonts w:ascii="宋体" w:hAnsi="宋体" w:hint="eastAsia"/>
          <w:sz w:val="24"/>
        </w:rPr>
        <w:t xml:space="preserve">安全形式、法律法规。日常培训，安全形式介绍依托于近期网络安全事件；重大保障培训，安全形式介绍依托于历届活动总结。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3) </w:t>
      </w:r>
      <w:r w:rsidRPr="008748BA">
        <w:rPr>
          <w:rFonts w:ascii="宋体" w:hAnsi="宋体" w:hint="eastAsia"/>
          <w:sz w:val="24"/>
        </w:rPr>
        <w:t>个人安全。从设备、口令、行为习惯等方面展开。如：个人终端，长期不更新补丁，存在永恒之蓝漏洞；使用类似</w:t>
      </w:r>
      <w:r w:rsidRPr="008748BA">
        <w:rPr>
          <w:rFonts w:ascii="宋体" w:hAnsi="宋体"/>
          <w:sz w:val="24"/>
        </w:rPr>
        <w:t>111111</w:t>
      </w:r>
      <w:r w:rsidRPr="008748BA">
        <w:rPr>
          <w:rFonts w:ascii="宋体" w:hAnsi="宋体" w:hint="eastAsia"/>
          <w:sz w:val="24"/>
        </w:rPr>
        <w:t xml:space="preserve">的弱口令；习惯性在终端不加密记录重要业务说明、账户密码。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4) </w:t>
      </w:r>
      <w:r w:rsidRPr="008748BA">
        <w:rPr>
          <w:rFonts w:ascii="宋体" w:hAnsi="宋体" w:hint="eastAsia"/>
          <w:sz w:val="24"/>
        </w:rPr>
        <w:t>单位安全。包含：</w:t>
      </w:r>
      <w:r w:rsidRPr="008748BA">
        <w:rPr>
          <w:rFonts w:ascii="宋体" w:hAnsi="宋体"/>
          <w:sz w:val="24"/>
        </w:rPr>
        <w:t>APT</w:t>
      </w:r>
      <w:r w:rsidRPr="008748BA">
        <w:rPr>
          <w:rFonts w:ascii="宋体" w:hAnsi="宋体" w:hint="eastAsia"/>
          <w:sz w:val="24"/>
        </w:rPr>
        <w:t xml:space="preserve">攻击、勒索病毒、挖矿木马、源码泄露等风险场景介绍。 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 xml:space="preserve">5) </w:t>
      </w:r>
      <w:r w:rsidRPr="008748BA">
        <w:rPr>
          <w:rFonts w:ascii="宋体" w:hAnsi="宋体" w:hint="eastAsia"/>
          <w:sz w:val="24"/>
        </w:rPr>
        <w:t>社会工程学防范。包含：邮件钓鱼、网页钓鱼、社工平台钓鱼、二维码钓鱼、</w:t>
      </w:r>
      <w:r w:rsidRPr="008748BA">
        <w:rPr>
          <w:rFonts w:ascii="宋体" w:hAnsi="宋体"/>
          <w:sz w:val="24"/>
        </w:rPr>
        <w:t>WIFI</w:t>
      </w:r>
      <w:r w:rsidRPr="008748BA">
        <w:rPr>
          <w:rFonts w:ascii="宋体" w:hAnsi="宋体" w:hint="eastAsia"/>
          <w:sz w:val="24"/>
        </w:rPr>
        <w:t>钓鱼</w:t>
      </w:r>
      <w:r w:rsidRPr="008748BA">
        <w:rPr>
          <w:rFonts w:ascii="宋体" w:hAnsi="宋体"/>
          <w:sz w:val="24"/>
        </w:rPr>
        <w:t>、BadUSB</w:t>
      </w:r>
      <w:r w:rsidRPr="008748BA">
        <w:rPr>
          <w:rFonts w:ascii="宋体" w:hAnsi="宋体" w:hint="eastAsia"/>
          <w:sz w:val="24"/>
        </w:rPr>
        <w:t>钓鱼、近源攻击等场景。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47" w:name="_Toc706149422"/>
      <w:bookmarkStart w:id="48" w:name="_Toc7839"/>
      <w:r w:rsidRPr="008748BA">
        <w:rPr>
          <w:rFonts w:ascii="宋体" w:hAnsi="宋体" w:hint="eastAsia"/>
          <w:sz w:val="24"/>
        </w:rPr>
        <w:t>服务交付</w:t>
      </w:r>
      <w:bookmarkEnd w:id="47"/>
      <w:bookmarkEnd w:id="4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/>
          <w:sz w:val="24"/>
        </w:rPr>
        <w:t>安全</w:t>
      </w:r>
      <w:r w:rsidRPr="008748BA">
        <w:rPr>
          <w:rFonts w:ascii="宋体" w:hAnsi="宋体" w:hint="eastAsia"/>
          <w:sz w:val="24"/>
        </w:rPr>
        <w:t>培训服务服务交付物清单如下</w:t>
      </w:r>
      <w:r w:rsidRPr="008748BA">
        <w:rPr>
          <w:rFonts w:ascii="宋体" w:hAnsi="宋体"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6"/>
        <w:gridCol w:w="4646"/>
      </w:tblGrid>
      <w:tr w:rsidR="008748BA" w:rsidRPr="008748BA" w:rsidTr="00812D94">
        <w:trPr>
          <w:trHeight w:val="423"/>
        </w:trPr>
        <w:tc>
          <w:tcPr>
            <w:tcW w:w="2274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服务项目</w:t>
            </w:r>
          </w:p>
        </w:tc>
        <w:tc>
          <w:tcPr>
            <w:tcW w:w="2726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交付物</w:t>
            </w:r>
          </w:p>
        </w:tc>
      </w:tr>
      <w:tr w:rsidR="008748BA" w:rsidRPr="008748BA" w:rsidTr="00812D94">
        <w:trPr>
          <w:trHeight w:val="254"/>
        </w:trPr>
        <w:tc>
          <w:tcPr>
            <w:tcW w:w="2274" w:type="pct"/>
            <w:vMerge w:val="restar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前期沟通</w:t>
            </w:r>
          </w:p>
        </w:tc>
        <w:tc>
          <w:tcPr>
            <w:tcW w:w="2726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培训内容确认单</w:t>
            </w:r>
          </w:p>
        </w:tc>
      </w:tr>
      <w:tr w:rsidR="008748BA" w:rsidRPr="008748BA" w:rsidTr="00812D94">
        <w:trPr>
          <w:trHeight w:val="310"/>
        </w:trPr>
        <w:tc>
          <w:tcPr>
            <w:tcW w:w="2274" w:type="pct"/>
            <w:vMerge w:val="restar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培训准备</w:t>
            </w:r>
          </w:p>
        </w:tc>
        <w:tc>
          <w:tcPr>
            <w:tcW w:w="2726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授课人员信息</w:t>
            </w:r>
          </w:p>
        </w:tc>
      </w:tr>
      <w:tr w:rsidR="008748BA" w:rsidRPr="008748BA" w:rsidTr="00812D94">
        <w:trPr>
          <w:trHeight w:val="339"/>
        </w:trPr>
        <w:tc>
          <w:tcPr>
            <w:tcW w:w="2274" w:type="pct"/>
            <w:vMerge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26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培训内容相关课件</w:t>
            </w:r>
          </w:p>
        </w:tc>
      </w:tr>
      <w:tr w:rsidR="008748BA" w:rsidRPr="008748BA" w:rsidTr="00812D94">
        <w:trPr>
          <w:trHeight w:val="90"/>
        </w:trPr>
        <w:tc>
          <w:tcPr>
            <w:tcW w:w="2274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培训实施</w:t>
            </w:r>
          </w:p>
        </w:tc>
        <w:tc>
          <w:tcPr>
            <w:tcW w:w="2726" w:type="pct"/>
            <w:vAlign w:val="center"/>
          </w:tcPr>
          <w:p w:rsidR="008748BA" w:rsidRPr="008748BA" w:rsidRDefault="008748BA" w:rsidP="008748BA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签到信息记录</w:t>
            </w:r>
          </w:p>
        </w:tc>
      </w:tr>
    </w:tbl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49" w:name="_Toc8982"/>
      <w:bookmarkStart w:id="50" w:name="_Toc148620292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.8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安全咨询服务</w:t>
      </w:r>
      <w:bookmarkEnd w:id="49"/>
      <w:bookmarkEnd w:id="50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1" w:name="_Toc30925"/>
      <w:r w:rsidRPr="008748BA">
        <w:rPr>
          <w:rFonts w:ascii="宋体" w:hAnsi="宋体" w:hint="eastAsia"/>
          <w:sz w:val="24"/>
        </w:rPr>
        <w:t>服务方式</w:t>
      </w:r>
      <w:bookmarkEnd w:id="51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安全咨询</w:t>
      </w:r>
      <w:r w:rsidRPr="008748BA">
        <w:rPr>
          <w:rFonts w:ascii="宋体" w:hAnsi="宋体"/>
          <w:sz w:val="24"/>
        </w:rPr>
        <w:t xml:space="preserve">的服务方式为：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6502"/>
      </w:tblGrid>
      <w:tr w:rsidR="008748BA" w:rsidRPr="008748BA" w:rsidTr="00812D94">
        <w:trPr>
          <w:trHeight w:val="455"/>
        </w:trPr>
        <w:tc>
          <w:tcPr>
            <w:tcW w:w="118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381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</w:tr>
      <w:tr w:rsidR="008748BA" w:rsidRPr="008748BA" w:rsidTr="00812D94">
        <w:trPr>
          <w:trHeight w:val="400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根据漏洞或攻击利用情况进行修复指导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2" w:name="_Toc14597"/>
      <w:r w:rsidRPr="008748BA">
        <w:rPr>
          <w:rFonts w:ascii="宋体" w:hAnsi="宋体" w:hint="eastAsia"/>
          <w:sz w:val="24"/>
        </w:rPr>
        <w:t>服务内容</w:t>
      </w:r>
      <w:bookmarkEnd w:id="52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lastRenderedPageBreak/>
        <w:t>当用户遇到通报或漏洞需要整改时，由专业工程师分析服务器、终端、数据库及应用中间件等存在的安全漏洞，提出打补丁、强化帐号安全、修改安全配置、优化访问控制策略、增加安全机制等安全建议并指导修复，提高系统健壮性和安全性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3" w:name="_Toc13361"/>
      <w:r w:rsidRPr="008748BA">
        <w:rPr>
          <w:rFonts w:ascii="宋体" w:hAnsi="宋体" w:hint="eastAsia"/>
          <w:sz w:val="24"/>
        </w:rPr>
        <w:t>服务交付</w:t>
      </w:r>
      <w:bookmarkEnd w:id="53"/>
      <w:r w:rsidRPr="008748BA">
        <w:rPr>
          <w:rFonts w:ascii="宋体" w:hAnsi="宋体" w:hint="eastAsia"/>
          <w:sz w:val="24"/>
        </w:rPr>
        <w:t>；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安全咨询服务交付物清单：《XX系统安全修复建议》</w:t>
      </w:r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54" w:name="_Toc20325"/>
      <w:bookmarkStart w:id="55" w:name="_Toc148620293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</w:t>
      </w:r>
      <w:r w:rsidRPr="008748BA">
        <w:rPr>
          <w:rFonts w:ascii="宋体" w:eastAsia="宋体" w:hAnsi="宋体" w:cs="Times New Roman"/>
          <w:b w:val="0"/>
          <w:bCs w:val="0"/>
          <w:sz w:val="24"/>
          <w:szCs w:val="24"/>
        </w:rPr>
        <w:t>.9</w:t>
      </w:r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 xml:space="preserve"> IT资产摸排服务</w:t>
      </w:r>
      <w:bookmarkEnd w:id="54"/>
      <w:bookmarkEnd w:id="55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6" w:name="_Toc22285"/>
      <w:r w:rsidRPr="008748BA">
        <w:rPr>
          <w:rFonts w:ascii="宋体" w:hAnsi="宋体" w:hint="eastAsia"/>
          <w:sz w:val="24"/>
        </w:rPr>
        <w:t>服务方式</w:t>
      </w:r>
      <w:bookmarkEnd w:id="56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IT资产摸排</w:t>
      </w:r>
      <w:r w:rsidRPr="008748BA">
        <w:rPr>
          <w:rFonts w:ascii="宋体" w:hAnsi="宋体"/>
          <w:sz w:val="24"/>
        </w:rPr>
        <w:t xml:space="preserve">的服务方式为：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6502"/>
      </w:tblGrid>
      <w:tr w:rsidR="008748BA" w:rsidRPr="008748BA" w:rsidTr="00812D94">
        <w:trPr>
          <w:trHeight w:val="455"/>
          <w:jc w:val="center"/>
        </w:trPr>
        <w:tc>
          <w:tcPr>
            <w:tcW w:w="118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381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</w:tr>
      <w:tr w:rsidR="008748BA" w:rsidRPr="008748BA" w:rsidTr="00812D94">
        <w:trPr>
          <w:trHeight w:val="359"/>
          <w:jc w:val="center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现场进行现有情况调研、机房设备清点等工作</w:t>
            </w:r>
          </w:p>
        </w:tc>
      </w:tr>
      <w:tr w:rsidR="008748BA" w:rsidRPr="008748BA" w:rsidTr="00812D94">
        <w:trPr>
          <w:trHeight w:val="400"/>
          <w:jc w:val="center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远程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根据现场情况进行拓扑图完善、资产梳理等工作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7" w:name="_Toc30200"/>
      <w:r w:rsidRPr="008748BA">
        <w:rPr>
          <w:rFonts w:ascii="宋体" w:hAnsi="宋体" w:hint="eastAsia"/>
          <w:sz w:val="24"/>
        </w:rPr>
        <w:t>服务内容</w:t>
      </w:r>
      <w:bookmarkEnd w:id="57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针对客户内网服务器、应用，网络设备、安全设备等资产进行发现并协助梳理，完成后提供拓扑。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8" w:name="_Toc29314"/>
      <w:r w:rsidRPr="008748BA">
        <w:rPr>
          <w:rFonts w:ascii="宋体" w:hAnsi="宋体" w:hint="eastAsia"/>
          <w:sz w:val="24"/>
        </w:rPr>
        <w:t>服务交付</w:t>
      </w:r>
      <w:bookmarkEnd w:id="58"/>
      <w:r w:rsidRPr="008748BA">
        <w:rPr>
          <w:rFonts w:ascii="宋体" w:hAnsi="宋体" w:hint="eastAsia"/>
          <w:sz w:val="24"/>
        </w:rPr>
        <w:t>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bookmarkStart w:id="59" w:name="_Toc146640056"/>
      <w:r w:rsidRPr="008748BA">
        <w:rPr>
          <w:rFonts w:ascii="宋体" w:hAnsi="宋体" w:hint="eastAsia"/>
          <w:sz w:val="24"/>
        </w:rPr>
        <w:t>IT资产摸排服务交付物清单：《XX系统拓扑》</w:t>
      </w:r>
      <w:bookmarkEnd w:id="59"/>
    </w:p>
    <w:p w:rsidR="008748BA" w:rsidRPr="008748BA" w:rsidRDefault="008748BA" w:rsidP="008748BA">
      <w:pPr>
        <w:pStyle w:val="3"/>
        <w:spacing w:before="0" w:after="0" w:line="240" w:lineRule="auto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60" w:name="_Toc148620294"/>
      <w:r w:rsidRPr="008748BA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1.10 安全感知</w:t>
      </w:r>
      <w:bookmarkEnd w:id="60"/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服务方式：</w:t>
      </w:r>
    </w:p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安全感知的服务方式为：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6502"/>
      </w:tblGrid>
      <w:tr w:rsidR="008748BA" w:rsidRPr="008748BA" w:rsidTr="00812D94">
        <w:trPr>
          <w:trHeight w:val="455"/>
          <w:jc w:val="center"/>
        </w:trPr>
        <w:tc>
          <w:tcPr>
            <w:tcW w:w="118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服务方式</w:t>
            </w:r>
          </w:p>
        </w:tc>
        <w:tc>
          <w:tcPr>
            <w:tcW w:w="3815" w:type="pct"/>
            <w:shd w:val="clear" w:color="auto" w:fill="92D050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服务描述</w:t>
            </w:r>
          </w:p>
        </w:tc>
      </w:tr>
      <w:tr w:rsidR="008748BA" w:rsidRPr="008748BA" w:rsidTr="00812D94">
        <w:trPr>
          <w:trHeight w:val="359"/>
          <w:jc w:val="center"/>
        </w:trPr>
        <w:tc>
          <w:tcPr>
            <w:tcW w:w="118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现场</w:t>
            </w:r>
          </w:p>
        </w:tc>
        <w:tc>
          <w:tcPr>
            <w:tcW w:w="3815" w:type="pct"/>
            <w:vAlign w:val="center"/>
          </w:tcPr>
          <w:p w:rsidR="008748BA" w:rsidRPr="008748BA" w:rsidRDefault="008748BA" w:rsidP="008748BA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748BA">
              <w:rPr>
                <w:rFonts w:ascii="宋体" w:hAnsi="宋体" w:hint="eastAsia"/>
                <w:sz w:val="24"/>
              </w:rPr>
              <w:t>提供实时监测和预警，通过不断收集、分析和评估各种安全事件和威胁情报，以及对用户环境进行实时监测，提供及时的警报和通知。</w:t>
            </w:r>
          </w:p>
        </w:tc>
      </w:tr>
    </w:tbl>
    <w:p w:rsidR="008748BA" w:rsidRPr="008748BA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服务内容：</w:t>
      </w:r>
    </w:p>
    <w:p w:rsidR="008748BA" w:rsidRPr="008748BA" w:rsidRDefault="008748BA" w:rsidP="008748BA">
      <w:pPr>
        <w:widowControl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t>实时监测：持续监测用户的网络、系统和应用程序，收集和记录各种安全事件和活动，包括登录尝试、异常流量、恶意软件等。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威胁情报搜集与分析：从多个来源获取威胁情报，包括公开的漏洞披露、黑客论坛、恶意软件样本等，并对其进行分析和评估，以确定对用户环境的潜在威胁。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异常行为检测：通过实时监测用户环境的正常行为模式，识别出不符合预期的活动，如非授权访问、异常登录、数据泄露等，及时发出警报。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日志分析：对系统和应用程序的日志进行实时分析，识别出潜在的威胁迹象和异常事件，帮助用户快速发现并应对安全问题。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恶意软件检测：使用先进的威胁检测技术，监测网络流量和文件，识别潜在的恶意软件和病毒，并提供及时的警报和清除建议。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外部风险评估：评估与用户相关的外部风险因素，如供应链安全、第三方服务提供商的安全性等，帮助用户了解潜在的安全风险。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实时警报和通知：根据监测结果和威胁评估，向用户发送实时警报和通知，包括电子邮件、短信或安全事件管理平台上的通知，以便用户能够采取适当的行动。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安全报告和分析：定期生成详细的安全报告，包括威胁分析、弱点扫描结果、异常活动等，帮助用户了解整体的安全状况和趋势。</w:t>
      </w:r>
    </w:p>
    <w:p w:rsidR="008748BA" w:rsidRPr="008748BA" w:rsidRDefault="008748BA" w:rsidP="008748BA">
      <w:pPr>
        <w:pStyle w:val="4"/>
        <w:ind w:leftChars="0" w:left="0"/>
        <w:rPr>
          <w:rFonts w:ascii="宋体" w:eastAsia="宋体" w:hAnsi="宋体" w:cs="Times New Roman"/>
          <w:sz w:val="24"/>
          <w:szCs w:val="24"/>
        </w:rPr>
      </w:pPr>
      <w:r w:rsidRPr="008748BA">
        <w:rPr>
          <w:rFonts w:ascii="宋体" w:eastAsia="宋体" w:hAnsi="宋体" w:cs="Times New Roman" w:hint="eastAsia"/>
          <w:sz w:val="24"/>
          <w:szCs w:val="24"/>
        </w:rPr>
        <w:t>通过安全感知服务可以及时发现和应对各种安全威胁和漏洞，提高整体的安全性，并减少潜在的损失。</w:t>
      </w:r>
    </w:p>
    <w:p w:rsidR="0084482B" w:rsidRDefault="008748BA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8748BA">
        <w:rPr>
          <w:rFonts w:ascii="宋体" w:hAnsi="宋体" w:hint="eastAsia"/>
          <w:sz w:val="24"/>
        </w:rPr>
        <w:lastRenderedPageBreak/>
        <w:t>服务交付：《安全态势报告》</w:t>
      </w:r>
    </w:p>
    <w:p w:rsidR="002F59B3" w:rsidRDefault="002F59B3" w:rsidP="008748BA">
      <w:pPr>
        <w:ind w:firstLineChars="200" w:firstLine="482"/>
        <w:jc w:val="left"/>
        <w:outlineLvl w:val="0"/>
        <w:rPr>
          <w:rFonts w:ascii="宋体"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</w:rPr>
        <w:t>2、服务</w:t>
      </w:r>
      <w:r>
        <w:rPr>
          <w:rFonts w:ascii="宋体" w:hAnsi="宋体" w:cs="宋体" w:hint="eastAsia"/>
          <w:b/>
          <w:bCs/>
          <w:sz w:val="24"/>
          <w:lang w:val="zh-CN"/>
        </w:rPr>
        <w:t>地点：</w:t>
      </w:r>
      <w:r>
        <w:rPr>
          <w:rFonts w:ascii="宋体" w:hAnsi="宋体" w:cs="宋体" w:hint="eastAsia"/>
          <w:sz w:val="24"/>
          <w:lang w:val="zh-CN"/>
        </w:rPr>
        <w:t>采购人指定地点</w:t>
      </w:r>
      <w:bookmarkEnd w:id="3"/>
    </w:p>
    <w:p w:rsidR="002F59B3" w:rsidRDefault="002F59B3" w:rsidP="008748BA">
      <w:pPr>
        <w:ind w:firstLineChars="200" w:firstLine="482"/>
        <w:rPr>
          <w:rFonts w:ascii="宋体" w:hAnsi="宋体"/>
          <w:sz w:val="24"/>
        </w:rPr>
      </w:pPr>
      <w:bookmarkStart w:id="61" w:name="_Toc8874"/>
      <w:r>
        <w:rPr>
          <w:rFonts w:ascii="宋体" w:hAnsi="宋体" w:cs="宋体" w:hint="eastAsia"/>
          <w:b/>
          <w:bCs/>
          <w:sz w:val="24"/>
        </w:rPr>
        <w:t>3、服务期限：</w:t>
      </w:r>
      <w:r>
        <w:rPr>
          <w:rFonts w:ascii="宋体" w:hAnsi="Courier New" w:hint="eastAsia"/>
          <w:sz w:val="24"/>
        </w:rPr>
        <w:t>维保期限从</w:t>
      </w:r>
      <w:r w:rsidR="00B63B65">
        <w:rPr>
          <w:rFonts w:ascii="宋体" w:hAnsi="Courier New" w:hint="eastAsia"/>
          <w:sz w:val="24"/>
        </w:rPr>
        <w:t>中标日起</w:t>
      </w:r>
      <w:r w:rsidR="00304E1E">
        <w:rPr>
          <w:rFonts w:ascii="宋体" w:hAnsi="Courier New" w:hint="eastAsia"/>
          <w:sz w:val="24"/>
        </w:rPr>
        <w:t>至</w:t>
      </w:r>
      <w:r w:rsidR="00304E1E">
        <w:rPr>
          <w:rFonts w:ascii="宋体" w:hAnsi="Courier New"/>
          <w:sz w:val="24"/>
        </w:rPr>
        <w:t>202</w:t>
      </w:r>
      <w:r w:rsidR="008748BA">
        <w:rPr>
          <w:rFonts w:ascii="宋体" w:hAnsi="Courier New" w:hint="eastAsia"/>
          <w:sz w:val="24"/>
        </w:rPr>
        <w:t>4</w:t>
      </w:r>
      <w:r w:rsidR="00304E1E">
        <w:rPr>
          <w:rFonts w:ascii="宋体" w:hAnsi="Courier New" w:hint="eastAsia"/>
          <w:sz w:val="24"/>
        </w:rPr>
        <w:t>年1</w:t>
      </w:r>
      <w:r w:rsidR="00304E1E">
        <w:rPr>
          <w:rFonts w:ascii="宋体" w:hAnsi="Courier New"/>
          <w:sz w:val="24"/>
        </w:rPr>
        <w:t>2</w:t>
      </w:r>
      <w:r w:rsidR="00304E1E">
        <w:rPr>
          <w:rFonts w:ascii="宋体" w:hAnsi="Courier New" w:hint="eastAsia"/>
          <w:sz w:val="24"/>
        </w:rPr>
        <w:t>月3</w:t>
      </w:r>
      <w:r w:rsidR="00304E1E">
        <w:rPr>
          <w:rFonts w:ascii="宋体" w:hAnsi="Courier New"/>
          <w:sz w:val="24"/>
        </w:rPr>
        <w:t>1</w:t>
      </w:r>
      <w:r w:rsidR="00304E1E">
        <w:rPr>
          <w:rFonts w:ascii="宋体" w:hAnsi="Courier New" w:hint="eastAsia"/>
          <w:sz w:val="24"/>
        </w:rPr>
        <w:t>日</w:t>
      </w:r>
      <w:r>
        <w:rPr>
          <w:rFonts w:ascii="宋体" w:hAnsi="Courier New" w:hint="eastAsia"/>
          <w:sz w:val="24"/>
        </w:rPr>
        <w:t>。</w:t>
      </w:r>
    </w:p>
    <w:p w:rsidR="002F59B3" w:rsidRDefault="002F59B3" w:rsidP="008748BA">
      <w:pPr>
        <w:ind w:firstLineChars="200" w:firstLine="482"/>
        <w:jc w:val="left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4、报价说明</w:t>
      </w:r>
    </w:p>
    <w:p w:rsidR="002F59B3" w:rsidRDefault="002F59B3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（1）报价应包含与本次采购项目有关的所有费用。同时，还应包含支付给员工的工资和国家强制缴纳的各种社会保障资金，以及供应商认为需要的其他费用等。</w:t>
      </w:r>
    </w:p>
    <w:p w:rsidR="003E14CE" w:rsidRDefault="002F59B3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（2）供应商的任何错漏、优惠、竞争性报价不得作为减轻责任、减少服务、增加收费、降低服务质量的理由。</w:t>
      </w:r>
    </w:p>
    <w:p w:rsidR="003E14CE" w:rsidRPr="003E14CE" w:rsidRDefault="003E14CE" w:rsidP="008748B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）供应商应</w:t>
      </w:r>
      <w:r w:rsidR="00195011">
        <w:rPr>
          <w:rFonts w:ascii="宋体" w:hAnsi="宋体" w:hint="eastAsia"/>
          <w:sz w:val="24"/>
        </w:rPr>
        <w:t>入选“2</w:t>
      </w:r>
      <w:r w:rsidR="00195011">
        <w:rPr>
          <w:rFonts w:ascii="宋体" w:hAnsi="宋体"/>
          <w:sz w:val="24"/>
        </w:rPr>
        <w:t>023</w:t>
      </w:r>
      <w:r w:rsidR="00195011">
        <w:rPr>
          <w:rFonts w:ascii="宋体" w:hAnsi="宋体" w:hint="eastAsia"/>
          <w:sz w:val="24"/>
        </w:rPr>
        <w:t>年度无锡市网络和数据安全技术支撑单位”</w:t>
      </w:r>
      <w:r>
        <w:rPr>
          <w:rFonts w:ascii="宋体" w:hAnsi="宋体" w:hint="eastAsia"/>
          <w:sz w:val="24"/>
        </w:rPr>
        <w:t>。</w:t>
      </w:r>
    </w:p>
    <w:p w:rsidR="002F59B3" w:rsidRDefault="002F59B3" w:rsidP="008748BA">
      <w:pPr>
        <w:ind w:firstLineChars="200" w:firstLine="482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5、</w:t>
      </w:r>
      <w:r>
        <w:rPr>
          <w:rFonts w:ascii="宋体" w:hAnsi="宋体" w:hint="eastAsia"/>
          <w:b/>
          <w:bCs/>
          <w:sz w:val="24"/>
        </w:rPr>
        <w:t>验收标准：</w:t>
      </w:r>
      <w:r>
        <w:rPr>
          <w:rFonts w:ascii="宋体" w:hAnsi="宋体" w:hint="eastAsia"/>
          <w:sz w:val="24"/>
        </w:rPr>
        <w:t>采购人根据国家有关规定、响应文件以及合同约定的内容</w:t>
      </w:r>
    </w:p>
    <w:p w:rsidR="002F59B3" w:rsidRDefault="002F59B3" w:rsidP="008748BA">
      <w:pPr>
        <w:ind w:firstLineChars="200" w:firstLine="482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6、付款方式</w:t>
      </w:r>
      <w:r>
        <w:rPr>
          <w:rFonts w:ascii="宋体" w:hAnsi="宋体" w:cs="宋体" w:hint="eastAsia"/>
          <w:b/>
          <w:bCs/>
          <w:color w:val="000000"/>
          <w:sz w:val="24"/>
        </w:rPr>
        <w:t>：</w:t>
      </w:r>
      <w:bookmarkEnd w:id="61"/>
      <w:r>
        <w:rPr>
          <w:rFonts w:ascii="宋体" w:hAnsi="宋体" w:hint="eastAsia"/>
          <w:sz w:val="24"/>
        </w:rPr>
        <w:t>项目验收合格，收到发票后支付中标金额的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0%，服务期最后1个月支付5</w:t>
      </w:r>
      <w:r>
        <w:rPr>
          <w:rFonts w:ascii="宋体" w:hAnsi="宋体"/>
          <w:sz w:val="24"/>
        </w:rPr>
        <w:t>0%</w:t>
      </w:r>
      <w:r>
        <w:rPr>
          <w:rFonts w:ascii="宋体" w:hAnsi="宋体" w:hint="eastAsia"/>
          <w:sz w:val="24"/>
        </w:rPr>
        <w:t>。</w:t>
      </w:r>
    </w:p>
    <w:sectPr w:rsidR="002F59B3" w:rsidSect="00BB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19" w:rsidRDefault="00284C19" w:rsidP="002F59B3">
      <w:r>
        <w:separator/>
      </w:r>
    </w:p>
  </w:endnote>
  <w:endnote w:type="continuationSeparator" w:id="1">
    <w:p w:rsidR="00284C19" w:rsidRDefault="00284C19" w:rsidP="002F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19" w:rsidRDefault="00284C19" w:rsidP="002F59B3">
      <w:r>
        <w:separator/>
      </w:r>
    </w:p>
  </w:footnote>
  <w:footnote w:type="continuationSeparator" w:id="1">
    <w:p w:rsidR="00284C19" w:rsidRDefault="00284C19" w:rsidP="002F5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CE4AA"/>
    <w:multiLevelType w:val="singleLevel"/>
    <w:tmpl w:val="8B2CE4A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F4E"/>
    <w:rsid w:val="000A51D7"/>
    <w:rsid w:val="000C2DA4"/>
    <w:rsid w:val="000D7915"/>
    <w:rsid w:val="00195011"/>
    <w:rsid w:val="001A18E9"/>
    <w:rsid w:val="002279B4"/>
    <w:rsid w:val="002801DF"/>
    <w:rsid w:val="00284C19"/>
    <w:rsid w:val="002F59B3"/>
    <w:rsid w:val="00304E1E"/>
    <w:rsid w:val="003E14CE"/>
    <w:rsid w:val="004C6FC8"/>
    <w:rsid w:val="00574E72"/>
    <w:rsid w:val="005E507C"/>
    <w:rsid w:val="00746543"/>
    <w:rsid w:val="00785F08"/>
    <w:rsid w:val="0084383C"/>
    <w:rsid w:val="0084482B"/>
    <w:rsid w:val="008748BA"/>
    <w:rsid w:val="00877892"/>
    <w:rsid w:val="008B3C07"/>
    <w:rsid w:val="00912F40"/>
    <w:rsid w:val="00927349"/>
    <w:rsid w:val="00936D70"/>
    <w:rsid w:val="00994B7D"/>
    <w:rsid w:val="00B63B65"/>
    <w:rsid w:val="00B92772"/>
    <w:rsid w:val="00BB20E5"/>
    <w:rsid w:val="00BB67BD"/>
    <w:rsid w:val="00CD147A"/>
    <w:rsid w:val="00D3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F5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59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748BA"/>
    <w:pPr>
      <w:keepNext/>
      <w:keepLines/>
      <w:spacing w:before="260" w:after="260" w:line="416" w:lineRule="auto"/>
      <w:outlineLvl w:val="2"/>
    </w:pPr>
    <w:rPr>
      <w:rFonts w:ascii="等线" w:eastAsia="仿宋_GB2312" w:hAnsi="等线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9B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9B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F59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84482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4482B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"/>
    <w:link w:val="Char2"/>
    <w:unhideWhenUsed/>
    <w:qFormat/>
    <w:rsid w:val="0084482B"/>
    <w:pPr>
      <w:spacing w:line="360" w:lineRule="auto"/>
      <w:ind w:firstLineChars="200" w:firstLine="480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6"/>
    <w:rsid w:val="0084482B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qFormat/>
    <w:rsid w:val="008748BA"/>
    <w:rPr>
      <w:rFonts w:ascii="等线" w:eastAsia="仿宋_GB2312" w:hAnsi="等线" w:cs="Arial"/>
      <w:b/>
      <w:bCs/>
      <w:sz w:val="32"/>
      <w:szCs w:val="32"/>
    </w:rPr>
  </w:style>
  <w:style w:type="paragraph" w:styleId="4">
    <w:name w:val="index 4"/>
    <w:basedOn w:val="a"/>
    <w:next w:val="a"/>
    <w:uiPriority w:val="99"/>
    <w:unhideWhenUsed/>
    <w:qFormat/>
    <w:rsid w:val="008748BA"/>
    <w:pPr>
      <w:ind w:leftChars="600" w:left="600"/>
    </w:pPr>
    <w:rPr>
      <w:rFonts w:ascii="等线" w:eastAsia="仿宋_GB2312" w:hAnsi="等线" w:cs="Arial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lxd@js.cmcc</dc:creator>
  <cp:keywords/>
  <dc:description/>
  <cp:lastModifiedBy>Administrator</cp:lastModifiedBy>
  <cp:revision>12</cp:revision>
  <dcterms:created xsi:type="dcterms:W3CDTF">2023-07-18T07:35:00Z</dcterms:created>
  <dcterms:modified xsi:type="dcterms:W3CDTF">2024-01-03T05:14:00Z</dcterms:modified>
</cp:coreProperties>
</file>