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697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裴候女</w:t>
      </w:r>
      <w:bookmarkEnd w:id="0"/>
      <w:r>
        <w:rPr>
          <w:rFonts w:hint="eastAsia"/>
          <w:color w:val="000000"/>
          <w:sz w:val="28"/>
          <w:szCs w:val="28"/>
        </w:rPr>
        <w:t>，女，1986年11月10日出生，汉族，山西省沁源县人，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上党区人民法院于2021年5月13日作出（2021）晋0404刑初47号刑事判决，以罪犯裴候女犯贩卖毒品罪决定执行有期徒刑七年二个月，并处罚金15000元。刑期起止日期：2020年11月18日至2028年1月17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裴候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444224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裴候女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裴候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裴候女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对罪犯裴候女减去有期徒刑六个月（减刑后的刑期至2027年7月17日止）。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3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732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4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743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5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753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6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763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7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773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8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784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9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794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0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804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1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814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2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824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3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835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4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845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5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855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6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865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7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876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8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886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9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896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0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906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1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917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2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927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2C2F6B61"/>
    <w:rsid w:val="5C565C79"/>
    <w:rsid w:val="63E9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