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40" w:firstLineChars="200"/>
        <w:contextualSpacing/>
        <w:rPr>
          <w:rFonts w:ascii="仿宋_GB2312" w:hAnsi="Times New Roman" w:eastAsia="仿宋_GB2312"/>
          <w:sz w:val="32"/>
          <w:szCs w:val="32"/>
        </w:rPr>
      </w:pPr>
    </w:p>
    <w:p>
      <w:pPr>
        <w:spacing w:line="500" w:lineRule="exact"/>
        <w:ind w:right="632" w:rightChars="301" w:firstLine="640"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（2023）晋01刑更693号</w:t>
      </w:r>
    </w:p>
    <w:p>
      <w:pPr>
        <w:spacing w:line="440" w:lineRule="exact"/>
        <w:contextualSpacing/>
        <w:rPr>
          <w:rFonts w:ascii="仿宋_GB2312" w:hAnsi="方正仿宋_GBK" w:eastAsia="仿宋_GB2312" w:cs="方正仿宋_GBK"/>
          <w:sz w:val="32"/>
          <w:szCs w:val="32"/>
        </w:rPr>
      </w:pPr>
    </w:p>
    <w:p>
      <w:pPr>
        <w:spacing w:line="440" w:lineRule="exact"/>
        <w:contextualSpacing/>
        <w:rPr>
          <w:rFonts w:ascii="仿宋_GB2312" w:hAnsi="方正仿宋_GBK" w:eastAsia="仿宋_GB2312" w:cs="方正仿宋_GBK"/>
          <w:sz w:val="32"/>
          <w:szCs w:val="32"/>
          <w:shd w:val="clear" w:color="FFFFFF" w:fill="D9D9D9"/>
        </w:rPr>
      </w:pP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w:t>
      </w:r>
      <w:bookmarkStart w:id="0" w:name="_GoBack"/>
      <w:r>
        <w:rPr>
          <w:rFonts w:hint="eastAsia" w:ascii="Times New Roman" w:hAnsi="Times New Roman" w:eastAsia="仿宋_GB2312"/>
          <w:sz w:val="32"/>
          <w:szCs w:val="32"/>
        </w:rPr>
        <w:t>侯金花</w:t>
      </w:r>
      <w:bookmarkEnd w:id="0"/>
      <w:r>
        <w:rPr>
          <w:rFonts w:hint="eastAsia" w:ascii="Times New Roman" w:hAnsi="Times New Roman" w:eastAsia="仿宋_GB2312"/>
          <w:sz w:val="32"/>
          <w:szCs w:val="32"/>
        </w:rPr>
        <w:t>，女，1971年5月1日出生，汉族，阳泉市盂县人，小学文化，原住址山西省阳泉市盂县秀水镇东白水村。现在山西省太原第三监狱服刑。</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盂县人民法院于2019年10月15日作出（2019）晋0322刑初140号刑事判决书，以罪犯侯金花犯非法买卖、运输、储存爆炸物罪，判处有期徒刑六年，追缴非法所得16900元上缴国库。刑期起止日期：2018年10月19日至2024年10月18日止。一审判决后，该犯不服，提出上诉。山西省阳泉市中级人民法院于2019年11月21日作出（2019）晋03刑终238号刑事裁定，驳回上诉，维持原判。2022年6月21日经山西省太原市中级人民法院（2022）晋01刑更36号刑事裁定减刑五个月。现刑期止日为：2024年5月18日止。执行机关山西省太原第三监狱提出假释建议，报送本院后，本院于2023年11月20日立案审理，并依法公示，公示期间没有收到异议。本院依法组成合议庭于2023年12月7日公开开庭进行了审理。山西省太原第三监狱刑罚执行科干警王培健、姚琦琛，山西省太原西峪地区人民检察院检察员钟英华、石珊珊出庭履行职务。本案现已审理终结。</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三监狱认定罪犯侯金花已执行原判刑期二分之一以上，在刑罚执行期间，能够做到认罪悔罪，基本能够熟记《监狱服刑人员行为规范》的全部内容，基本能够按照规范的要求约束自己的行为，养成较好的行为习惯，积极参加思想、文化、职业技术教育，努力完成劳动任务；于2022年6月至2023年5月共获得监狱表扬3次，并有罪犯奖励审批表、罪犯评审鉴定表、“三课成绩单”、罪犯“确有悔改表现”情况说明及本人的认罪悔罪书予以证明。该犯经再犯罪风险评估，得分为30.3分，属于较低风险级别；该犯居住地的社区矫正组织有监督管理条件，且该犯假释后生活确有着落。建议对罪犯侯金花予以假释。</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三监狱所报假释程序符合相关法律规定，本院认为侯金花符合假释条件，同意予以假释。</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罪犯侯金花已执行原判刑期二分之一以上。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积极参加思想、文化、职业技术教育；积极参加劳动，努力完成劳动任务。于2022年6月至2023年5月共获得监狱表扬3次，违法所得16900元已全部履行完毕。再犯罪危险评估分值为30.3分，属于较低风险级别。盂县社区矫正管理局</w:t>
      </w:r>
      <w:r>
        <w:rPr>
          <w:rFonts w:ascii="Times New Roman" w:hAnsi="Times New Roman" w:eastAsia="仿宋_GB2312"/>
          <w:sz w:val="32"/>
          <w:szCs w:val="32"/>
        </w:rPr>
        <w:t>对</w:t>
      </w:r>
      <w:r>
        <w:rPr>
          <w:rFonts w:hint="eastAsia" w:ascii="Times New Roman" w:hAnsi="Times New Roman" w:eastAsia="仿宋_GB2312"/>
          <w:sz w:val="32"/>
          <w:szCs w:val="32"/>
        </w:rPr>
        <w:t>侯金花</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r>
        <w:rPr>
          <w:rFonts w:hint="eastAsia" w:ascii="Times New Roman" w:hAnsi="Times New Roman" w:eastAsia="仿宋_GB2312"/>
          <w:sz w:val="32"/>
          <w:szCs w:val="32"/>
        </w:rPr>
        <w:t>侯金花</w:t>
      </w:r>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w:t>
      </w:r>
      <w:r>
        <w:rPr>
          <w:rFonts w:ascii="Times New Roman" w:hAnsi="Times New Roman" w:eastAsia="仿宋_GB2312"/>
          <w:sz w:val="32"/>
          <w:szCs w:val="32"/>
        </w:rPr>
        <w:t>之规定，裁定如下：</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犯侯金花</w:t>
      </w:r>
      <w:r>
        <w:rPr>
          <w:rFonts w:ascii="Times New Roman" w:hAnsi="Times New Roman" w:eastAsia="仿宋_GB2312"/>
          <w:sz w:val="32"/>
          <w:szCs w:val="32"/>
        </w:rPr>
        <w:t>予以假释。</w:t>
      </w:r>
      <w:r>
        <w:rPr>
          <w:rFonts w:hint="eastAsia" w:ascii="Times New Roman" w:hAnsi="Times New Roman" w:eastAsia="仿宋_GB2312"/>
          <w:sz w:val="32"/>
          <w:szCs w:val="32"/>
        </w:rPr>
        <w:t>（</w:t>
      </w:r>
      <w:r>
        <w:rPr>
          <w:rFonts w:ascii="Times New Roman" w:hAnsi="Times New Roman" w:eastAsia="仿宋_GB2312"/>
          <w:sz w:val="32"/>
          <w:szCs w:val="32"/>
        </w:rPr>
        <w:t>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5</w:t>
      </w:r>
      <w:r>
        <w:rPr>
          <w:rFonts w:ascii="Times New Roman" w:hAnsi="Times New Roman" w:eastAsia="仿宋_GB2312"/>
          <w:sz w:val="32"/>
          <w:szCs w:val="32"/>
        </w:rPr>
        <w:t>月</w:t>
      </w:r>
      <w:r>
        <w:rPr>
          <w:rFonts w:hint="eastAsia" w:ascii="Times New Roman" w:hAnsi="Times New Roman" w:eastAsia="仿宋_GB2312"/>
          <w:sz w:val="32"/>
          <w:szCs w:val="32"/>
        </w:rPr>
        <w:t>18</w:t>
      </w:r>
      <w:r>
        <w:rPr>
          <w:rFonts w:ascii="Times New Roman" w:hAnsi="Times New Roman" w:eastAsia="仿宋_GB2312"/>
          <w:sz w:val="32"/>
          <w:szCs w:val="32"/>
        </w:rPr>
        <w:t>日止。</w:t>
      </w:r>
      <w:r>
        <w:rPr>
          <w:rFonts w:hint="eastAsia" w:ascii="Times New Roman" w:hAnsi="Times New Roman" w:eastAsia="仿宋_GB2312"/>
          <w:sz w:val="32"/>
          <w:szCs w:val="32"/>
        </w:rPr>
        <w:t>）</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460" w:lineRule="exact"/>
        <w:ind w:firstLine="640" w:firstLineChars="200"/>
        <w:contextualSpacing/>
        <w:rPr>
          <w:rFonts w:ascii="Times New Roman" w:hAnsi="Times New Roman" w:eastAsia="仿宋_GB2312"/>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二〇二三年十二月十三日</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116F"/>
    <w:rsid w:val="23D71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2024-01-17T08:21:00Z</dcterms:created>
  <dc:creator>Lenovo</dc:creator>
  <cp:lastModifiedBy>Lenovo</cp:lastModifiedBy>
  <dcterms:modified xsi:type="dcterms:W3CDTF">2024-01-17T08:21:44Z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