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napToGrid w:val="0"/>
        <w:spacing w:line="312" w:lineRule="auto"/>
        <w:jc w:val="left"/>
        <w:rPr>
          <w:rStyle w:val="6"/>
          <w:rFonts w:hint="eastAsia" w:ascii="方正小标宋简体" w:hAnsi="方正小标宋简体" w:eastAsia="方正小标宋简体" w:cs="方正小标宋简体"/>
          <w:sz w:val="24"/>
          <w:szCs w:val="24"/>
          <w:lang w:val="en-US" w:eastAsia="zh-CN"/>
        </w:rPr>
      </w:pPr>
      <w:r>
        <w:rPr>
          <w:rFonts w:hint="eastAsia" w:ascii="华文中宋" w:hAnsi="华文中宋" w:eastAsia="华文中宋"/>
          <w:b/>
          <w:bCs/>
          <w:sz w:val="36"/>
          <w:szCs w:val="36"/>
          <w:lang w:eastAsia="zh-CN"/>
        </w:rPr>
        <w:t>封面</w:t>
      </w:r>
      <w:r>
        <w:rPr>
          <w:rStyle w:val="6"/>
          <w:rFonts w:hint="eastAsia" w:ascii="方正小标宋简体" w:hAnsi="方正小标宋简体" w:eastAsia="方正小标宋简体" w:cs="方正小标宋简体"/>
          <w:sz w:val="24"/>
          <w:szCs w:val="24"/>
          <w:lang w:val="en-US" w:eastAsia="zh-CN"/>
        </w:rPr>
        <w:t>（实质性要求）</w:t>
      </w:r>
    </w:p>
    <w:p>
      <w:pPr>
        <w:pStyle w:val="2"/>
        <w:rPr>
          <w:rFonts w:hint="eastAsia"/>
          <w:lang w:eastAsia="zh-CN"/>
        </w:rPr>
      </w:pPr>
    </w:p>
    <w:p>
      <w:pPr>
        <w:tabs>
          <w:tab w:val="left" w:pos="0"/>
        </w:tabs>
        <w:jc w:val="center"/>
        <w:rPr>
          <w:rFonts w:hint="eastAsia"/>
        </w:rPr>
      </w:pPr>
      <w:r>
        <w:rPr>
          <w:rFonts w:hint="eastAsia" w:ascii="华文中宋" w:hAnsi="华文中宋" w:eastAsia="华文中宋"/>
          <w:sz w:val="36"/>
          <w:szCs w:val="36"/>
          <w:lang w:val="en-US" w:eastAsia="zh-CN"/>
        </w:rPr>
        <w:t xml:space="preserve">                                 </w:t>
      </w:r>
      <w:r>
        <w:rPr>
          <w:rFonts w:hint="eastAsia" w:ascii="华文中宋" w:hAnsi="华文中宋" w:eastAsia="华文中宋"/>
          <w:sz w:val="36"/>
          <w:szCs w:val="36"/>
        </w:rPr>
        <w:t>正本或副本</w:t>
      </w:r>
    </w:p>
    <w:p>
      <w:pPr>
        <w:tabs>
          <w:tab w:val="left" w:pos="0"/>
        </w:tabs>
        <w:snapToGrid w:val="0"/>
        <w:spacing w:line="312" w:lineRule="auto"/>
        <w:jc w:val="center"/>
        <w:rPr>
          <w:rFonts w:hint="eastAsia" w:ascii="仿宋" w:hAnsi="仿宋" w:eastAsia="仿宋" w:cs="仿宋"/>
          <w:b/>
          <w:color w:val="auto"/>
          <w:kern w:val="0"/>
          <w:sz w:val="52"/>
          <w:szCs w:val="52"/>
          <w:highlight w:val="none"/>
        </w:rPr>
      </w:pPr>
    </w:p>
    <w:p>
      <w:pPr>
        <w:tabs>
          <w:tab w:val="left" w:pos="0"/>
        </w:tabs>
        <w:snapToGrid w:val="0"/>
        <w:spacing w:line="312"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响</w:t>
      </w:r>
    </w:p>
    <w:p>
      <w:pPr>
        <w:tabs>
          <w:tab w:val="left" w:pos="0"/>
        </w:tabs>
        <w:snapToGrid w:val="0"/>
        <w:spacing w:line="312"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应</w:t>
      </w:r>
    </w:p>
    <w:p>
      <w:pPr>
        <w:tabs>
          <w:tab w:val="left" w:pos="0"/>
        </w:tabs>
        <w:snapToGrid w:val="0"/>
        <w:spacing w:line="312"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pPr>
        <w:tabs>
          <w:tab w:val="left" w:pos="0"/>
        </w:tabs>
        <w:snapToGrid w:val="0"/>
        <w:spacing w:line="312"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pPr>
        <w:tabs>
          <w:tab w:val="left" w:pos="0"/>
        </w:tabs>
        <w:snapToGrid w:val="0"/>
        <w:spacing w:line="312" w:lineRule="auto"/>
        <w:jc w:val="center"/>
        <w:rPr>
          <w:rFonts w:hint="eastAsia" w:ascii="仿宋" w:hAnsi="仿宋" w:eastAsia="仿宋" w:cs="仿宋"/>
          <w:b/>
          <w:bCs/>
          <w:color w:val="auto"/>
          <w:sz w:val="36"/>
          <w:highlight w:val="none"/>
        </w:rPr>
      </w:pPr>
    </w:p>
    <w:p>
      <w:pPr>
        <w:tabs>
          <w:tab w:val="left" w:pos="0"/>
        </w:tabs>
        <w:snapToGrid w:val="0"/>
        <w:spacing w:line="312" w:lineRule="auto"/>
        <w:jc w:val="center"/>
        <w:rPr>
          <w:rFonts w:hint="eastAsia" w:ascii="仿宋" w:hAnsi="仿宋" w:eastAsia="仿宋" w:cs="仿宋"/>
          <w:b/>
          <w:bCs/>
          <w:color w:val="auto"/>
          <w:sz w:val="36"/>
          <w:highlight w:val="none"/>
        </w:rPr>
      </w:pPr>
    </w:p>
    <w:p>
      <w:pPr>
        <w:pStyle w:val="2"/>
        <w:rPr>
          <w:rFonts w:hint="eastAsia" w:ascii="仿宋" w:hAnsi="仿宋" w:eastAsia="仿宋" w:cs="仿宋"/>
          <w:b/>
          <w:bCs/>
          <w:color w:val="auto"/>
          <w:sz w:val="36"/>
          <w:highlight w:val="none"/>
        </w:rPr>
      </w:pPr>
    </w:p>
    <w:p>
      <w:pPr>
        <w:pStyle w:val="3"/>
        <w:rPr>
          <w:rFonts w:hint="eastAsia"/>
        </w:rPr>
      </w:pPr>
    </w:p>
    <w:p>
      <w:pPr>
        <w:tabs>
          <w:tab w:val="left" w:pos="7665"/>
        </w:tabs>
        <w:snapToGrid w:val="0"/>
        <w:spacing w:line="312" w:lineRule="auto"/>
        <w:ind w:left="3600" w:hanging="3600" w:hangingChars="1200"/>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采购项目名称：</w:t>
      </w:r>
      <w:r>
        <w:rPr>
          <w:rFonts w:hint="eastAsia" w:ascii="仿宋" w:hAnsi="仿宋" w:eastAsia="仿宋" w:cs="仿宋"/>
          <w:color w:val="auto"/>
          <w:kern w:val="0"/>
          <w:sz w:val="30"/>
          <w:szCs w:val="30"/>
          <w:highlight w:val="none"/>
          <w:u w:val="none"/>
        </w:rPr>
        <w:t xml:space="preserve"> </w:t>
      </w:r>
      <w:bookmarkStart w:id="0" w:name="_GoBack"/>
      <w:r>
        <w:rPr>
          <w:rStyle w:val="6"/>
          <w:rFonts w:hint="eastAsia" w:ascii="Times New Roman" w:hAnsi="Times New Roman" w:eastAsia="仿宋_GB2312" w:cs="Times New Roman"/>
          <w:snapToGrid w:val="0"/>
          <w:spacing w:val="-4"/>
          <w:kern w:val="50"/>
          <w:sz w:val="32"/>
          <w:szCs w:val="32"/>
          <w:u w:val="single"/>
          <w:lang w:val="en-US" w:eastAsia="zh-CN"/>
        </w:rPr>
        <w:t>法庭和诉服支撑保障维修服务</w:t>
      </w:r>
      <w:r>
        <w:rPr>
          <w:rStyle w:val="6"/>
          <w:rFonts w:hint="default" w:ascii="Times New Roman" w:hAnsi="Times New Roman" w:eastAsia="仿宋_GB2312" w:cs="Times New Roman"/>
          <w:snapToGrid w:val="0"/>
          <w:spacing w:val="-4"/>
          <w:kern w:val="50"/>
          <w:sz w:val="32"/>
          <w:szCs w:val="32"/>
          <w:u w:val="single"/>
          <w:lang w:val="en-US" w:eastAsia="zh-CN"/>
        </w:rPr>
        <w:t>采购项目</w:t>
      </w:r>
    </w:p>
    <w:bookmarkEnd w:id="0"/>
    <w:p>
      <w:pPr>
        <w:tabs>
          <w:tab w:val="left" w:pos="7665"/>
        </w:tabs>
        <w:snapToGrid w:val="0"/>
        <w:spacing w:line="312" w:lineRule="auto"/>
        <w:rPr>
          <w:rFonts w:hint="eastAsia" w:ascii="仿宋" w:hAnsi="仿宋" w:eastAsia="仿宋" w:cs="仿宋"/>
          <w:b/>
          <w:bCs/>
          <w:color w:val="auto"/>
          <w:sz w:val="36"/>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lang w:val="en-US" w:eastAsia="zh-CN"/>
        </w:rPr>
        <w:t>响应</w:t>
      </w:r>
      <w:r>
        <w:rPr>
          <w:rFonts w:hint="eastAsia" w:ascii="仿宋" w:hAnsi="仿宋" w:eastAsia="仿宋" w:cs="仿宋"/>
          <w:color w:val="auto"/>
          <w:kern w:val="0"/>
          <w:sz w:val="30"/>
          <w:szCs w:val="30"/>
          <w:highlight w:val="none"/>
        </w:rPr>
        <w:t>人名称（加盖公章）：</w:t>
      </w:r>
      <w:r>
        <w:rPr>
          <w:rFonts w:hint="eastAsia" w:ascii="仿宋" w:hAnsi="仿宋" w:eastAsia="仿宋" w:cs="仿宋"/>
          <w:color w:val="auto"/>
          <w:kern w:val="0"/>
          <w:sz w:val="30"/>
          <w:szCs w:val="30"/>
          <w:highlight w:val="none"/>
          <w:u w:val="single"/>
        </w:rPr>
        <w:t xml:space="preserve">                     </w:t>
      </w:r>
    </w:p>
    <w:p>
      <w:pPr>
        <w:tabs>
          <w:tab w:val="left" w:pos="7665"/>
        </w:tabs>
        <w:snapToGrid w:val="0"/>
        <w:spacing w:line="312" w:lineRule="auto"/>
        <w:ind w:firstLine="900" w:firstLineChars="300"/>
        <w:jc w:val="both"/>
        <w:rPr>
          <w:rStyle w:val="6"/>
          <w:rFonts w:hint="eastAsia" w:ascii="方正小标宋简体" w:hAnsi="方正小标宋简体" w:eastAsia="方正小标宋简体" w:cs="方正小标宋简体"/>
          <w:color w:val="auto"/>
          <w:sz w:val="36"/>
          <w:szCs w:val="36"/>
          <w:highlight w:val="none"/>
          <w:lang w:val="en-US" w:eastAsia="zh-CN"/>
        </w:rPr>
      </w:pPr>
      <w:r>
        <w:rPr>
          <w:rFonts w:hint="eastAsia" w:ascii="仿宋" w:hAnsi="仿宋" w:eastAsia="仿宋" w:cs="仿宋"/>
          <w:color w:val="auto"/>
          <w:kern w:val="0"/>
          <w:sz w:val="30"/>
          <w:szCs w:val="30"/>
          <w:highlight w:val="none"/>
          <w:lang w:val="en-US" w:eastAsia="zh-CN"/>
        </w:rPr>
        <w:t>响应</w:t>
      </w:r>
      <w:r>
        <w:rPr>
          <w:rFonts w:hint="eastAsia" w:ascii="仿宋" w:hAnsi="仿宋" w:eastAsia="仿宋" w:cs="仿宋"/>
          <w:color w:val="auto"/>
          <w:kern w:val="0"/>
          <w:sz w:val="30"/>
          <w:szCs w:val="30"/>
          <w:highlight w:val="none"/>
        </w:rPr>
        <w:t>日期：    年  月  日</w:t>
      </w:r>
    </w:p>
    <w:p>
      <w:pPr>
        <w:pStyle w:val="2"/>
        <w:sectPr>
          <w:pgSz w:w="11906" w:h="16838"/>
          <w:pgMar w:top="1440" w:right="1800" w:bottom="1440" w:left="1800" w:header="851" w:footer="992" w:gutter="0"/>
          <w:cols w:space="425" w:num="1"/>
          <w:docGrid w:type="lines" w:linePitch="312" w:charSpace="0"/>
        </w:sectPr>
      </w:pPr>
    </w:p>
    <w:p>
      <w:pPr>
        <w:pStyle w:val="5"/>
        <w:spacing w:before="0" w:beforeLines="0" w:after="0" w:afterLines="0" w:line="240" w:lineRule="auto"/>
        <w:jc w:val="center"/>
        <w:rPr>
          <w:rStyle w:val="6"/>
          <w:rFonts w:hint="eastAsia" w:ascii="宋体" w:hAnsi="宋体" w:eastAsia="宋体" w:cs="宋体"/>
          <w:b/>
          <w:bCs/>
          <w:sz w:val="44"/>
          <w:szCs w:val="44"/>
          <w:lang w:val="en-US" w:eastAsia="zh-CN"/>
        </w:rPr>
      </w:pPr>
      <w:r>
        <w:rPr>
          <w:rStyle w:val="6"/>
          <w:rFonts w:hint="eastAsia" w:ascii="宋体" w:hAnsi="宋体" w:eastAsia="宋体" w:cs="宋体"/>
          <w:b/>
          <w:bCs/>
          <w:sz w:val="44"/>
          <w:szCs w:val="44"/>
          <w:highlight w:val="none"/>
          <w:lang w:val="en-US" w:eastAsia="zh-CN"/>
        </w:rPr>
        <w:t>法庭和诉服支撑保障维修服务采购项目</w:t>
      </w:r>
      <w:r>
        <w:rPr>
          <w:rStyle w:val="6"/>
          <w:rFonts w:hint="eastAsia" w:ascii="宋体" w:hAnsi="宋体" w:eastAsia="宋体" w:cs="宋体"/>
          <w:b/>
          <w:bCs/>
          <w:sz w:val="44"/>
          <w:szCs w:val="44"/>
          <w:lang w:val="en-US" w:eastAsia="zh-CN"/>
        </w:rPr>
        <w:t>报价表（实质性要求）</w:t>
      </w:r>
    </w:p>
    <w:tbl>
      <w:tblPr>
        <w:tblStyle w:val="7"/>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500"/>
        <w:gridCol w:w="3465"/>
        <w:gridCol w:w="2954"/>
        <w:gridCol w:w="740"/>
        <w:gridCol w:w="986"/>
        <w:gridCol w:w="1095"/>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1500"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标的名称</w:t>
            </w:r>
          </w:p>
        </w:tc>
        <w:tc>
          <w:tcPr>
            <w:tcW w:w="3465"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具体内容</w:t>
            </w:r>
          </w:p>
        </w:tc>
        <w:tc>
          <w:tcPr>
            <w:tcW w:w="2954"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响应标的参数/规格要求</w:t>
            </w:r>
          </w:p>
        </w:tc>
        <w:tc>
          <w:tcPr>
            <w:tcW w:w="740"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c>
          <w:tcPr>
            <w:tcW w:w="986"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单价（元）</w:t>
            </w:r>
          </w:p>
        </w:tc>
        <w:tc>
          <w:tcPr>
            <w:tcW w:w="1095"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合计（元）</w:t>
            </w:r>
          </w:p>
        </w:tc>
        <w:tc>
          <w:tcPr>
            <w:tcW w:w="2868" w:type="dxa"/>
            <w:shd w:val="clear" w:color="auto" w:fill="FFFFFF"/>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500" w:type="dxa"/>
            <w:tcMar>
              <w:top w:w="15" w:type="dxa"/>
              <w:left w:w="15" w:type="dxa"/>
              <w:right w:w="15" w:type="dxa"/>
            </w:tcMar>
            <w:vAlign w:val="center"/>
          </w:tcPr>
          <w:p>
            <w:pPr>
              <w:widowControl w:val="0"/>
              <w:adjustRightInd w:val="0"/>
              <w:snapToGrid w:val="0"/>
              <w:spacing w:before="0" w:beforeLines="0" w:after="0" w:afterLines="0" w:afterAutospacing="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门禁控制组件维修</w:t>
            </w:r>
          </w:p>
        </w:tc>
        <w:tc>
          <w:tcPr>
            <w:tcW w:w="34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维修内容包含现有的法院已安装的chiefan两门网络控制器1个12V5A电源1个ONETOP双门280kg磁力锁1个网络交换机1个设备箱1个WG34读卡器2个</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1套</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rPr>
            </w:pPr>
          </w:p>
        </w:tc>
        <w:tc>
          <w:tcPr>
            <w:tcW w:w="2868" w:type="dxa"/>
            <w:vMerge w:val="restart"/>
            <w:tcMar>
              <w:top w:w="15" w:type="dxa"/>
              <w:left w:w="15" w:type="dxa"/>
              <w:right w:w="15" w:type="dxa"/>
            </w:tcMar>
            <w:vAlign w:val="center"/>
          </w:tcPr>
          <w:p>
            <w:pPr>
              <w:widowControl w:val="0"/>
              <w:adjustRightInd w:val="0"/>
              <w:snapToGrid w:val="0"/>
              <w:spacing w:before="0" w:beforeLines="0" w:after="0" w:afterLines="0" w:afterAutospacing="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1.质保期：质保期为通过验收后半年。所有维修项的服务为包干完成，需要在维修时替换现有设备</w:t>
            </w:r>
            <w:r>
              <w:rPr>
                <w:rFonts w:hint="eastAsia" w:ascii="宋体" w:hAnsi="宋体" w:eastAsia="宋体" w:cs="宋体"/>
                <w:sz w:val="24"/>
              </w:rPr>
              <w:t>故障定位的</w:t>
            </w:r>
            <w:r>
              <w:rPr>
                <w:rFonts w:hint="eastAsia" w:ascii="宋体" w:hAnsi="宋体" w:eastAsia="宋体" w:cs="宋体"/>
                <w:sz w:val="24"/>
                <w:szCs w:val="24"/>
                <w:lang w:val="en-US" w:eastAsia="zh-CN"/>
              </w:rPr>
              <w:t>不稳定零部件以确保恢复正常运行，每项维修服务费用已包含但不限于辅材消耗和人工施工等所有配套服务。</w:t>
            </w:r>
          </w:p>
          <w:p>
            <w:pPr>
              <w:widowControl w:val="0"/>
              <w:adjustRightInd w:val="0"/>
              <w:snapToGrid w:val="0"/>
              <w:spacing w:before="0" w:beforeLines="0" w:after="0" w:afterLines="0" w:afterAutospacing="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2.本项目工期90日，一次性验收，一次性付款。</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要求：若到货安装调试至达到正常运行的工期时间超过90日、验收不合格或质保期中出现故障异常，则质保期自动按照90日外超时时间、验收不合格整改持续时间和质保期内故障持续时间顺延增加质保期的总时间，若相同故障问题经过2次整改后仍然无法正常运行的，采购人有权依据本项目货物单价清单按照故障或不合格问题追究成交价等额违约款，供应商应照价赔付，且仍然继续整改直至恢复正常，若因本项目清单造成采购人其它损失的，供应商应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00" w:type="dxa"/>
            <w:tcMar>
              <w:top w:w="15" w:type="dxa"/>
              <w:left w:w="15" w:type="dxa"/>
              <w:right w:w="15" w:type="dxa"/>
            </w:tcMar>
            <w:vAlign w:val="center"/>
          </w:tcPr>
          <w:p>
            <w:pPr>
              <w:widowControl w:val="0"/>
              <w:adjustRightInd w:val="0"/>
              <w:snapToGrid w:val="0"/>
              <w:spacing w:before="0" w:beforeLines="0" w:after="0" w:afterLines="0" w:afterAutospacing="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SC420存储硬盘维修</w:t>
            </w:r>
          </w:p>
        </w:tc>
        <w:tc>
          <w:tcPr>
            <w:tcW w:w="346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afterAutospacing="0" w:line="240"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维修匹配现有已运行存储硬盘ST2400MM0159</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2块</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SC460存储硬盘维修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维修匹配现有已运行存储硬盘ST6000NM035A</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2块</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SC460存储硬盘维修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维修匹配现有已运行存储硬盘HUH721212AL4200</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1块</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DELL服务器电源维修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维修匹配现有已运行服务器电源L1100E-S1</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DELL服务器电源维修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维修匹配现有已运行服务器电源Z1100P-00或7001515-J100并且包含为施工必备的静电手环10个，对应服务器组网用的工作站主机主板专用纽扣电池100个</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综合显示拼接屏维修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维修本部综合楼一楼</w:t>
            </w:r>
            <w:r>
              <w:rPr>
                <w:rFonts w:hint="eastAsia" w:ascii="宋体" w:hAnsi="宋体" w:eastAsia="宋体" w:cs="宋体"/>
                <w:sz w:val="24"/>
              </w:rPr>
              <w:t>故障定位的</w:t>
            </w:r>
            <w:r>
              <w:rPr>
                <w:rFonts w:hint="eastAsia" w:ascii="宋体" w:hAnsi="宋体" w:eastAsia="宋体" w:cs="宋体"/>
                <w:sz w:val="24"/>
                <w:szCs w:val="24"/>
                <w:lang w:val="en-US" w:eastAsia="zh-CN"/>
              </w:rPr>
              <w:t>位置拼接LED大屏需要</w:t>
            </w:r>
            <w:r>
              <w:rPr>
                <w:rFonts w:hint="eastAsia" w:ascii="宋体" w:hAnsi="宋体" w:eastAsia="宋体" w:cs="宋体"/>
                <w:sz w:val="24"/>
              </w:rPr>
              <w:t>故障定位的</w:t>
            </w:r>
            <w:r>
              <w:rPr>
                <w:rFonts w:hint="eastAsia" w:ascii="宋体" w:hAnsi="宋体" w:eastAsia="宋体" w:cs="宋体"/>
                <w:sz w:val="24"/>
                <w:szCs w:val="24"/>
                <w:lang w:val="en-US" w:eastAsia="zh-CN"/>
              </w:rPr>
              <w:t>配件耗材</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排期显示电视屏维修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维修东区诉服大厅</w:t>
            </w:r>
            <w:r>
              <w:rPr>
                <w:rFonts w:hint="eastAsia" w:ascii="宋体" w:hAnsi="宋体" w:eastAsia="宋体" w:cs="宋体"/>
                <w:sz w:val="24"/>
              </w:rPr>
              <w:t>故障定位的</w:t>
            </w:r>
            <w:r>
              <w:rPr>
                <w:rFonts w:hint="eastAsia" w:ascii="宋体" w:hAnsi="宋体" w:eastAsia="宋体" w:cs="宋体"/>
                <w:sz w:val="24"/>
                <w:szCs w:val="24"/>
                <w:lang w:val="en-US" w:eastAsia="zh-CN"/>
              </w:rPr>
              <w:t>位置电视屏幕需要</w:t>
            </w:r>
            <w:r>
              <w:rPr>
                <w:rFonts w:hint="eastAsia" w:ascii="宋体" w:hAnsi="宋体" w:eastAsia="宋体" w:cs="宋体"/>
                <w:sz w:val="24"/>
              </w:rPr>
              <w:t>故障定位的</w:t>
            </w:r>
            <w:r>
              <w:rPr>
                <w:rFonts w:hint="eastAsia" w:ascii="宋体" w:hAnsi="宋体" w:eastAsia="宋体" w:cs="宋体"/>
                <w:sz w:val="24"/>
                <w:szCs w:val="24"/>
                <w:lang w:val="en-US" w:eastAsia="zh-CN"/>
              </w:rPr>
              <w:t>配件耗材</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硬盘数据恢复</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需要对</w:t>
            </w:r>
            <w:r>
              <w:rPr>
                <w:rFonts w:hint="eastAsia" w:ascii="宋体" w:hAnsi="宋体" w:eastAsia="宋体" w:cs="宋体"/>
                <w:sz w:val="24"/>
              </w:rPr>
              <w:t>故障定位的</w:t>
            </w:r>
            <w:r>
              <w:rPr>
                <w:rFonts w:hint="eastAsia" w:ascii="宋体" w:hAnsi="宋体" w:eastAsia="宋体" w:cs="宋体"/>
                <w:sz w:val="24"/>
                <w:szCs w:val="24"/>
                <w:lang w:val="en-US" w:eastAsia="zh-CN"/>
              </w:rPr>
              <w:t>硬盘完成数据恢复</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565"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00"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专用热敏打印机维修</w:t>
            </w:r>
          </w:p>
        </w:tc>
        <w:tc>
          <w:tcPr>
            <w:tcW w:w="3465" w:type="dxa"/>
            <w:tcMar>
              <w:top w:w="15" w:type="dxa"/>
              <w:left w:w="15" w:type="dxa"/>
              <w:right w:w="15" w:type="dxa"/>
            </w:tcMar>
            <w:vAlign w:val="center"/>
          </w:tcPr>
          <w:p>
            <w:pPr>
              <w:adjustRightInd w:val="0"/>
              <w:snapToGrid w:val="0"/>
              <w:spacing w:before="0" w:beforeLines="0" w:after="0" w:afterLines="0" w:afterAutospacing="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维修南区知产庭诉服大厅排号机专用机需要</w:t>
            </w:r>
            <w:r>
              <w:rPr>
                <w:rFonts w:hint="eastAsia" w:ascii="宋体" w:hAnsi="宋体" w:eastAsia="宋体" w:cs="宋体"/>
                <w:sz w:val="24"/>
              </w:rPr>
              <w:t>故障定位的</w:t>
            </w:r>
            <w:r>
              <w:rPr>
                <w:rFonts w:hint="eastAsia" w:ascii="宋体" w:hAnsi="宋体" w:eastAsia="宋体" w:cs="宋体"/>
                <w:sz w:val="24"/>
                <w:szCs w:val="24"/>
                <w:lang w:val="en-US" w:eastAsia="zh-CN"/>
              </w:rPr>
              <w:t>配件耗材</w:t>
            </w:r>
          </w:p>
        </w:tc>
        <w:tc>
          <w:tcPr>
            <w:tcW w:w="2954"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740" w:type="dxa"/>
            <w:tcMar>
              <w:top w:w="15" w:type="dxa"/>
              <w:left w:w="15" w:type="dxa"/>
              <w:right w:w="15" w:type="dxa"/>
            </w:tcMar>
            <w:vAlign w:val="center"/>
          </w:tcPr>
          <w:p>
            <w:pPr>
              <w:keepNext w:val="0"/>
              <w:keepLines w:val="0"/>
              <w:widowControl w:val="0"/>
              <w:suppressLineNumbers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98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10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c>
          <w:tcPr>
            <w:tcW w:w="2868" w:type="dxa"/>
            <w:vMerge w:val="continue"/>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4173" w:type="dxa"/>
            <w:gridSpan w:val="8"/>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afterAutospacing="0" w:line="240" w:lineRule="auto"/>
              <w:ind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总报价：                  元(大写：                  元整）</w:t>
            </w:r>
          </w:p>
        </w:tc>
      </w:tr>
    </w:tbl>
    <w:p>
      <w:pPr>
        <w:pStyle w:val="8"/>
        <w:tabs>
          <w:tab w:val="left" w:pos="-480"/>
          <w:tab w:val="clear" w:pos="0"/>
        </w:tabs>
        <w:spacing w:before="0" w:beforeLines="0" w:after="0" w:afterLines="0" w:line="240" w:lineRule="auto"/>
        <w:ind w:left="0" w:leftChars="0" w:right="0" w:rightChars="0" w:firstLine="0" w:firstLineChars="0"/>
        <w:rPr>
          <w:rStyle w:val="6"/>
          <w:rFonts w:hint="eastAsia" w:ascii="宋体" w:hAnsi="宋体" w:eastAsia="宋体" w:cs="宋体"/>
          <w:b/>
          <w:bCs w:val="0"/>
          <w:sz w:val="28"/>
          <w:szCs w:val="28"/>
          <w:u w:val="single"/>
          <w:lang w:eastAsia="zh-CN"/>
        </w:rPr>
      </w:pPr>
      <w:r>
        <w:rPr>
          <w:rStyle w:val="6"/>
          <w:rFonts w:hint="eastAsia" w:ascii="宋体" w:hAnsi="宋体" w:eastAsia="宋体" w:cs="宋体"/>
          <w:sz w:val="28"/>
          <w:szCs w:val="28"/>
        </w:rPr>
        <w:t>注：</w:t>
      </w:r>
      <w:r>
        <w:rPr>
          <w:rStyle w:val="6"/>
          <w:rFonts w:hint="eastAsia" w:ascii="宋体" w:hAnsi="宋体" w:eastAsia="宋体" w:cs="宋体"/>
          <w:b w:val="0"/>
          <w:bCs/>
          <w:sz w:val="28"/>
          <w:szCs w:val="28"/>
        </w:rPr>
        <w:t>①</w:t>
      </w:r>
      <w:r>
        <w:rPr>
          <w:rStyle w:val="6"/>
          <w:rFonts w:hint="eastAsia" w:ascii="宋体" w:hAnsi="宋体" w:eastAsia="宋体" w:cs="宋体"/>
          <w:b w:val="0"/>
          <w:sz w:val="28"/>
          <w:szCs w:val="28"/>
        </w:rPr>
        <w:t>报价以人民币计价、且包含税费</w:t>
      </w:r>
      <w:r>
        <w:rPr>
          <w:rStyle w:val="6"/>
          <w:rFonts w:hint="eastAsia" w:ascii="宋体" w:hAnsi="宋体" w:eastAsia="宋体" w:cs="宋体"/>
          <w:b w:val="0"/>
          <w:color w:val="000000"/>
          <w:kern w:val="2"/>
          <w:sz w:val="28"/>
          <w:szCs w:val="28"/>
          <w:lang w:val="en-US" w:eastAsia="zh-CN" w:bidi="ar"/>
        </w:rPr>
        <w:t>、完成定制供货服务工作所必须的工具、耗材、人工费等全部费用</w:t>
      </w:r>
      <w:r>
        <w:rPr>
          <w:rStyle w:val="6"/>
          <w:rFonts w:hint="eastAsia" w:ascii="宋体" w:hAnsi="宋体" w:eastAsia="宋体" w:cs="宋体"/>
          <w:b w:val="0"/>
          <w:bCs w:val="0"/>
          <w:sz w:val="28"/>
          <w:szCs w:val="28"/>
          <w:lang w:eastAsia="zh-CN"/>
        </w:rPr>
        <w:t>。</w:t>
      </w:r>
      <w:r>
        <w:rPr>
          <w:rStyle w:val="6"/>
          <w:rFonts w:hint="eastAsia" w:ascii="宋体" w:hAnsi="宋体" w:eastAsia="宋体" w:cs="宋体"/>
          <w:b w:val="0"/>
          <w:bCs w:val="0"/>
          <w:sz w:val="28"/>
          <w:szCs w:val="28"/>
          <w:highlight w:val="none"/>
        </w:rPr>
        <w:t xml:space="preserve"> </w:t>
      </w:r>
      <w:r>
        <w:rPr>
          <w:rStyle w:val="6"/>
          <w:rFonts w:hint="eastAsia" w:ascii="宋体" w:hAnsi="宋体" w:eastAsia="宋体" w:cs="宋体"/>
          <w:b w:val="0"/>
          <w:bCs/>
          <w:sz w:val="28"/>
          <w:szCs w:val="28"/>
        </w:rPr>
        <w:t>②需由法定代表人/单位负责人或授权代表签字并盖章。</w:t>
      </w:r>
      <w:r>
        <w:rPr>
          <w:rStyle w:val="6"/>
          <w:rFonts w:hint="eastAsia" w:ascii="宋体" w:hAnsi="宋体" w:eastAsia="宋体" w:cs="宋体"/>
          <w:b/>
          <w:bCs w:val="0"/>
          <w:sz w:val="28"/>
          <w:szCs w:val="28"/>
          <w:u w:val="single"/>
        </w:rPr>
        <w:t>③</w:t>
      </w:r>
      <w:r>
        <w:rPr>
          <w:rStyle w:val="6"/>
          <w:rFonts w:hint="eastAsia" w:ascii="宋体" w:hAnsi="宋体" w:eastAsia="宋体" w:cs="宋体"/>
          <w:b/>
          <w:bCs w:val="0"/>
          <w:sz w:val="28"/>
          <w:szCs w:val="28"/>
          <w:u w:val="single"/>
          <w:lang w:eastAsia="zh-CN"/>
        </w:rPr>
        <w:t>此《</w:t>
      </w:r>
      <w:r>
        <w:rPr>
          <w:rStyle w:val="6"/>
          <w:rFonts w:hint="eastAsia" w:ascii="宋体" w:hAnsi="宋体" w:eastAsia="宋体" w:cs="宋体"/>
          <w:b/>
          <w:bCs w:val="0"/>
          <w:sz w:val="28"/>
          <w:szCs w:val="28"/>
          <w:u w:val="single"/>
        </w:rPr>
        <w:t>报价表</w:t>
      </w:r>
      <w:r>
        <w:rPr>
          <w:rStyle w:val="6"/>
          <w:rFonts w:hint="eastAsia" w:ascii="宋体" w:hAnsi="宋体" w:eastAsia="宋体" w:cs="宋体"/>
          <w:b/>
          <w:bCs w:val="0"/>
          <w:sz w:val="28"/>
          <w:szCs w:val="28"/>
          <w:u w:val="single"/>
          <w:lang w:eastAsia="zh-CN"/>
        </w:rPr>
        <w:t>》为实质性要求，供应商必须按照此表格内容及格式无偏离响应，若未按要求响应的，则视为无效响应。</w:t>
      </w:r>
    </w:p>
    <w:p>
      <w:pPr>
        <w:pStyle w:val="9"/>
        <w:keepNext w:val="0"/>
        <w:keepLines w:val="0"/>
        <w:pageBreakBefore w:val="0"/>
        <w:widowControl w:val="0"/>
        <w:tabs>
          <w:tab w:val="left" w:pos="320"/>
          <w:tab w:val="clear" w:pos="0"/>
        </w:tabs>
        <w:kinsoku/>
        <w:wordWrap w:val="0"/>
        <w:overflowPunct/>
        <w:topLinePunct/>
        <w:autoSpaceDE/>
        <w:autoSpaceDN/>
        <w:bidi w:val="0"/>
        <w:adjustRightInd/>
        <w:snapToGrid/>
        <w:spacing w:before="0" w:beforeLines="0" w:after="0" w:afterLines="0" w:line="240" w:lineRule="auto"/>
        <w:ind w:left="0" w:leftChars="0" w:firstLine="0" w:firstLineChars="0"/>
        <w:jc w:val="both"/>
        <w:textAlignment w:val="auto"/>
        <w:outlineLvl w:val="9"/>
        <w:rPr>
          <w:rStyle w:val="6"/>
          <w:rFonts w:hint="eastAsia" w:ascii="宋体" w:hAnsi="宋体" w:eastAsia="宋体" w:cs="宋体"/>
          <w:sz w:val="32"/>
          <w:szCs w:val="32"/>
        </w:rPr>
      </w:pPr>
      <w:r>
        <w:rPr>
          <w:rStyle w:val="6"/>
          <w:rFonts w:hint="eastAsia" w:ascii="宋体" w:hAnsi="宋体" w:eastAsia="宋体" w:cs="宋体"/>
          <w:sz w:val="32"/>
          <w:szCs w:val="32"/>
          <w:lang w:eastAsia="zh-CN"/>
        </w:rPr>
        <w:t>响应</w:t>
      </w:r>
      <w:r>
        <w:rPr>
          <w:rStyle w:val="6"/>
          <w:rFonts w:hint="eastAsia" w:ascii="宋体" w:hAnsi="宋体" w:eastAsia="宋体" w:cs="宋体"/>
          <w:sz w:val="32"/>
          <w:szCs w:val="32"/>
        </w:rPr>
        <w:t>人名称：</w:t>
      </w:r>
      <w:r>
        <w:rPr>
          <w:rStyle w:val="6"/>
          <w:rFonts w:hint="eastAsia" w:ascii="宋体" w:hAnsi="宋体" w:eastAsia="宋体" w:cs="宋体"/>
          <w:bCs/>
          <w:sz w:val="32"/>
          <w:szCs w:val="32"/>
          <w:u w:val="single"/>
        </w:rPr>
        <w:t xml:space="preserve">           </w:t>
      </w:r>
      <w:r>
        <w:rPr>
          <w:rStyle w:val="6"/>
          <w:rFonts w:hint="eastAsia" w:ascii="宋体" w:hAnsi="宋体" w:eastAsia="宋体" w:cs="宋体"/>
          <w:sz w:val="32"/>
          <w:szCs w:val="32"/>
        </w:rPr>
        <w:t>(盖章)</w:t>
      </w:r>
    </w:p>
    <w:p>
      <w:pPr>
        <w:pStyle w:val="9"/>
        <w:keepNext w:val="0"/>
        <w:keepLines w:val="0"/>
        <w:pageBreakBefore w:val="0"/>
        <w:widowControl w:val="0"/>
        <w:kinsoku/>
        <w:wordWrap w:val="0"/>
        <w:overflowPunct/>
        <w:topLinePunct/>
        <w:autoSpaceDE/>
        <w:autoSpaceDN/>
        <w:bidi w:val="0"/>
        <w:adjustRightInd/>
        <w:snapToGrid/>
        <w:spacing w:before="0" w:beforeLines="0" w:after="0" w:afterLines="0" w:line="240" w:lineRule="auto"/>
        <w:ind w:left="0" w:leftChars="0" w:firstLine="0" w:firstLineChars="0"/>
        <w:jc w:val="both"/>
        <w:textAlignment w:val="auto"/>
        <w:outlineLvl w:val="9"/>
        <w:rPr>
          <w:rStyle w:val="6"/>
          <w:rFonts w:hint="eastAsia" w:ascii="宋体" w:hAnsi="宋体" w:eastAsia="宋体" w:cs="宋体"/>
          <w:sz w:val="32"/>
          <w:szCs w:val="32"/>
          <w:lang w:val="en-US" w:eastAsia="zh-CN"/>
        </w:rPr>
      </w:pPr>
      <w:r>
        <w:rPr>
          <w:rStyle w:val="6"/>
          <w:rFonts w:hint="eastAsia" w:ascii="宋体" w:hAnsi="宋体" w:eastAsia="宋体" w:cs="宋体"/>
          <w:sz w:val="32"/>
          <w:szCs w:val="32"/>
        </w:rPr>
        <w:t>法定代表人/单位负责人或授权代表：</w:t>
      </w:r>
      <w:r>
        <w:rPr>
          <w:rStyle w:val="6"/>
          <w:rFonts w:hint="eastAsia" w:ascii="宋体" w:hAnsi="宋体" w:eastAsia="宋体" w:cs="宋体"/>
          <w:bCs/>
          <w:sz w:val="32"/>
          <w:szCs w:val="32"/>
          <w:u w:val="single"/>
        </w:rPr>
        <w:t xml:space="preserve">          </w:t>
      </w:r>
      <w:r>
        <w:rPr>
          <w:rStyle w:val="6"/>
          <w:rFonts w:hint="eastAsia" w:ascii="宋体" w:hAnsi="宋体" w:eastAsia="宋体" w:cs="宋体"/>
          <w:sz w:val="32"/>
          <w:szCs w:val="32"/>
        </w:rPr>
        <w:t>(签字或盖章)</w:t>
      </w:r>
      <w:r>
        <w:rPr>
          <w:rStyle w:val="6"/>
          <w:rFonts w:hint="eastAsia" w:ascii="宋体" w:hAnsi="宋体" w:eastAsia="宋体" w:cs="宋体"/>
          <w:sz w:val="32"/>
          <w:szCs w:val="32"/>
          <w:lang w:val="en-US" w:eastAsia="zh-CN"/>
        </w:rPr>
        <w:t xml:space="preserve">  </w:t>
      </w:r>
    </w:p>
    <w:p>
      <w:pPr>
        <w:pStyle w:val="9"/>
        <w:wordWrap w:val="0"/>
        <w:topLinePunct/>
        <w:spacing w:before="0" w:beforeLines="0" w:after="0" w:afterLines="0" w:line="240" w:lineRule="auto"/>
        <w:ind w:left="0" w:leftChars="0" w:firstLine="0" w:firstLineChars="0"/>
      </w:pPr>
      <w:r>
        <w:rPr>
          <w:rStyle w:val="6"/>
          <w:rFonts w:hint="eastAsia" w:ascii="宋体" w:hAnsi="宋体" w:eastAsia="宋体" w:cs="宋体"/>
          <w:sz w:val="32"/>
          <w:szCs w:val="32"/>
          <w:lang w:eastAsia="zh-CN"/>
        </w:rPr>
        <w:t>响应</w:t>
      </w:r>
      <w:r>
        <w:rPr>
          <w:rStyle w:val="6"/>
          <w:rFonts w:hint="eastAsia" w:ascii="宋体" w:hAnsi="宋体" w:eastAsia="宋体" w:cs="宋体"/>
          <w:sz w:val="32"/>
          <w:szCs w:val="32"/>
        </w:rPr>
        <w:t>日期：</w:t>
      </w:r>
      <w:r>
        <w:rPr>
          <w:rStyle w:val="6"/>
          <w:rFonts w:hint="eastAsia" w:ascii="宋体" w:hAnsi="宋体" w:eastAsia="宋体" w:cs="宋体"/>
          <w:sz w:val="32"/>
          <w:szCs w:val="32"/>
          <w:u w:val="single"/>
          <w:lang w:val="en-US" w:eastAsia="zh-CN"/>
        </w:rPr>
        <w:t xml:space="preserve">    </w:t>
      </w:r>
      <w:r>
        <w:rPr>
          <w:rStyle w:val="6"/>
          <w:rFonts w:hint="eastAsia" w:ascii="宋体" w:hAnsi="宋体" w:eastAsia="宋体" w:cs="宋体"/>
          <w:bCs/>
          <w:sz w:val="32"/>
          <w:szCs w:val="32"/>
          <w:u w:val="single"/>
          <w:lang w:val="en-US" w:eastAsia="zh-CN"/>
        </w:rPr>
        <w:t xml:space="preserve">           </w:t>
      </w:r>
    </w:p>
    <w:sectPr>
      <w:footerReference r:id="rId3" w:type="default"/>
      <w:pgSz w:w="16838" w:h="11906" w:orient="landscape"/>
      <w:pgMar w:top="2098" w:right="1474" w:bottom="1984" w:left="1587" w:header="851" w:footer="1020" w:gutter="0"/>
      <w:pgNumType w:fmt="decimalFullWidth" w:start="1"/>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E6644"/>
    <w:rsid w:val="052E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widowControl w:val="0"/>
      <w:ind w:firstLine="420" w:firstLineChars="100"/>
      <w:jc w:val="both"/>
    </w:pPr>
    <w:rPr>
      <w:rFonts w:ascii="宋体" w:hAnsi="宋体"/>
      <w:kern w:val="2"/>
      <w:sz w:val="21"/>
      <w:szCs w:val="20"/>
    </w:rPr>
  </w:style>
  <w:style w:type="paragraph" w:styleId="4">
    <w:name w:val="footer"/>
    <w:basedOn w:val="5"/>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5">
    <w:name w:val="正文1"/>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03、“注：”正文(加粗，首行缩进2字符)"/>
    <w:basedOn w:val="9"/>
    <w:qFormat/>
    <w:uiPriority w:val="0"/>
    <w:pPr>
      <w:tabs>
        <w:tab w:val="left" w:pos="0"/>
      </w:tabs>
      <w:ind w:firstLine="480" w:firstLineChars="200"/>
    </w:pPr>
    <w:rPr>
      <w:b/>
    </w:rPr>
  </w:style>
  <w:style w:type="paragraph" w:customStyle="1" w:styleId="9">
    <w:name w:val="01、普通正文"/>
    <w:basedOn w:val="10"/>
    <w:qFormat/>
    <w:uiPriority w:val="0"/>
    <w:pPr>
      <w:tabs>
        <w:tab w:val="left" w:pos="0"/>
      </w:tabs>
      <w:wordWrap w:val="0"/>
      <w:topLinePunct/>
    </w:pPr>
    <w:rPr>
      <w:snapToGrid w:val="0"/>
    </w:rPr>
  </w:style>
  <w:style w:type="paragraph" w:customStyle="1" w:styleId="10">
    <w:name w:val="Normal_0"/>
    <w:next w:val="4"/>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2024-01-26T02:23:00Z</dcterms:created>
  <dc:creator>胡加美</dc:creator>
  <cp:lastModifiedBy>胡加美</cp:lastModifiedBy>
  <dcterms:modified xsi:type="dcterms:W3CDTF">2024-01-26T02:26:23Z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