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napToGrid w:val="0"/>
        <w:spacing w:line="312" w:lineRule="auto"/>
        <w:jc w:val="left"/>
        <w:rPr>
          <w:rStyle w:val="11"/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Style w:val="11"/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封面</w:t>
      </w:r>
      <w:r>
        <w:rPr>
          <w:rStyle w:val="11"/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（实质性要求）</w:t>
      </w:r>
    </w:p>
    <w:p>
      <w:pPr>
        <w:pStyle w:val="2"/>
        <w:rPr>
          <w:rStyle w:val="11"/>
          <w:rFonts w:hint="eastAsia"/>
          <w:lang w:eastAsia="zh-CN"/>
        </w:rPr>
      </w:pPr>
    </w:p>
    <w:p>
      <w:pPr>
        <w:pStyle w:val="3"/>
        <w:tabs>
          <w:tab w:val="left" w:pos="0"/>
        </w:tabs>
        <w:jc w:val="center"/>
        <w:rPr>
          <w:rStyle w:val="11"/>
          <w:rFonts w:hint="eastAsia"/>
        </w:rPr>
      </w:pPr>
      <w:r>
        <w:rPr>
          <w:rStyle w:val="11"/>
          <w:rFonts w:hint="eastAsia" w:ascii="华文中宋" w:hAnsi="华文中宋" w:eastAsia="华文中宋"/>
          <w:sz w:val="36"/>
          <w:szCs w:val="36"/>
          <w:lang w:val="en-US" w:eastAsia="zh-CN"/>
        </w:rPr>
        <w:t xml:space="preserve">                                 </w:t>
      </w:r>
      <w:r>
        <w:rPr>
          <w:rStyle w:val="11"/>
          <w:rFonts w:hint="eastAsia" w:ascii="华文中宋" w:hAnsi="华文中宋" w:eastAsia="华文中宋"/>
          <w:sz w:val="36"/>
          <w:szCs w:val="36"/>
        </w:rPr>
        <w:t>正本或副本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52"/>
          <w:szCs w:val="52"/>
          <w:highlight w:val="none"/>
          <w:lang w:eastAsia="zh-CN"/>
        </w:rPr>
      </w:pPr>
    </w:p>
    <w:p>
      <w:pPr>
        <w:pStyle w:val="2"/>
        <w:rPr>
          <w:rStyle w:val="11"/>
          <w:rFonts w:hint="eastAsia"/>
          <w:lang w:eastAsia="zh-CN"/>
        </w:rPr>
      </w:pP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响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应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文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件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</w:p>
    <w:p>
      <w:pPr>
        <w:pStyle w:val="2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</w:p>
    <w:p>
      <w:pPr>
        <w:pStyle w:val="4"/>
        <w:rPr>
          <w:rStyle w:val="11"/>
          <w:rFonts w:hint="eastAsia"/>
        </w:rPr>
      </w:pPr>
    </w:p>
    <w:p>
      <w:pPr>
        <w:pStyle w:val="3"/>
        <w:tabs>
          <w:tab w:val="left" w:pos="7665"/>
        </w:tabs>
        <w:snapToGrid w:val="0"/>
        <w:spacing w:line="312" w:lineRule="auto"/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 xml:space="preserve">          采购项目名称：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>摄影器材采购项目（第二次）</w:t>
      </w:r>
    </w:p>
    <w:p>
      <w:pPr>
        <w:pStyle w:val="3"/>
        <w:tabs>
          <w:tab w:val="left" w:pos="7665"/>
        </w:tabs>
        <w:snapToGrid w:val="0"/>
        <w:spacing w:line="312" w:lineRule="auto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 xml:space="preserve">          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响应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人名称（加盖公章）：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</w:rPr>
        <w:t xml:space="preserve">                 </w:t>
      </w:r>
    </w:p>
    <w:p>
      <w:pPr>
        <w:pStyle w:val="3"/>
        <w:tabs>
          <w:tab w:val="left" w:pos="7665"/>
        </w:tabs>
        <w:snapToGrid w:val="0"/>
        <w:spacing w:line="312" w:lineRule="auto"/>
        <w:ind w:firstLine="1500" w:firstLineChars="500"/>
        <w:jc w:val="both"/>
        <w:rPr>
          <w:rStyle w:val="11"/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响应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日期：    年  月  日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70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四川省成都市中级人民法院摄影器材</w:t>
      </w:r>
      <w:r>
        <w:rPr>
          <w:rStyle w:val="11"/>
          <w:rFonts w:hint="default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采购项目</w:t>
      </w:r>
      <w:r>
        <w:rPr>
          <w:rStyle w:val="11"/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（第二次）报价表</w:t>
      </w:r>
    </w:p>
    <w:tbl>
      <w:tblPr>
        <w:tblStyle w:val="13"/>
        <w:tblW w:w="139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80"/>
        <w:gridCol w:w="1420"/>
        <w:gridCol w:w="4658"/>
        <w:gridCol w:w="425"/>
        <w:gridCol w:w="413"/>
        <w:gridCol w:w="852"/>
        <w:gridCol w:w="929"/>
        <w:gridCol w:w="955"/>
        <w:gridCol w:w="2168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05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eastAsia" w:ascii="Times New Roman" w:hAnsi="Times New Roman" w:eastAsia="宋体" w:cs="Times New Roman"/>
                <w:b w:val="0"/>
                <w:bCs/>
                <w:snapToGrid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品牌型号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具体参数与要求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52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限价（元）</w:t>
            </w:r>
          </w:p>
        </w:tc>
        <w:tc>
          <w:tcPr>
            <w:tcW w:w="929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响应</w:t>
            </w:r>
          </w:p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955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响应</w:t>
            </w:r>
          </w:p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总价（元 ）</w:t>
            </w:r>
          </w:p>
        </w:tc>
        <w:tc>
          <w:tcPr>
            <w:tcW w:w="2168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服务响应承诺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（包含且不限于以下所列举内容）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摄录一体机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索尼（SONY）PXW-Z150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240" w:lineRule="auto"/>
              <w:jc w:val="left"/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1.机身重量≤1920g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2.录制帧率≥MPEG HD420 (1280 x 720) @59.94p，50p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3.光学变焦≥12 倍，焦距f = 9.3 - 111.6 mm 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★4.总像素≥2000万像素，有效像素≥1400万像素</w:t>
            </w:r>
          </w:p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5.最低照度1.7 lux（Low Lux 低照度模式）</w:t>
            </w:r>
          </w:p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★6.4K输出视频3840x2160/50/P情况下，高亮通道信噪比≤65.5dB 提供相关权威机构出具的检测报告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26865</w:t>
            </w:r>
          </w:p>
        </w:tc>
        <w:tc>
          <w:tcPr>
            <w:tcW w:w="9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1" w:firstLineChars="100"/>
              <w:jc w:val="both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/>
                <w:bCs w:val="0"/>
                <w:snapToGrid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（1）无论响应还是质保，必须提供原厂生产的原装设备、配件，并完全符合生产企业或国家规定的质量、规格和性能要求。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（2）货物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-SA"/>
              </w:rPr>
              <w:t>质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bidi="ar-SA"/>
              </w:rPr>
              <w:t>保期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bidi="ar-SA"/>
              </w:rPr>
              <w:t>年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若响应材料写原厂质保，条件必须相同。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（3）在承诺质保期内，货物制造质量出现问题，供应商应负责三包(包修、包换、包退)，费用由供应商负担。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（4）响应所提供的设备及配件，必须是全新原装未拆封，外包装必须完好无损，无摔打水泡之痕迹，不得用翻新机、套牌机以次充好。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照相机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佳能90D （18-135 USM套机）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1.有效像素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3250万高清级像素</w:t>
            </w:r>
          </w:p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2.影像处理器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DIGIC 8</w:t>
            </w:r>
          </w:p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3.最高分辨率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6960×4640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9894</w:t>
            </w:r>
          </w:p>
        </w:tc>
        <w:tc>
          <w:tcPr>
            <w:tcW w:w="92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补光灯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贝阳（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BEIYANG）补光灯DL300W（三灯套餐A）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有效功率≥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300w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2.色温不低于5600K</w:t>
            </w:r>
          </w:p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3.支持温度保护功能</w:t>
            </w:r>
          </w:p>
          <w:p>
            <w:pPr>
              <w:pStyle w:val="7"/>
              <w:spacing w:line="240" w:lineRule="auto"/>
              <w:jc w:val="both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4.显色指数&gt;95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5.支持2.4G无线遥控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★6.供应商提供安装调试服务（提供承诺函）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4894</w:t>
            </w:r>
          </w:p>
        </w:tc>
        <w:tc>
          <w:tcPr>
            <w:tcW w:w="92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提词器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天影视通提词器TS-T20s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240" w:lineRule="auto"/>
              <w:jc w:val="left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1.采用高分变率的彩显，清晰度高;可与文案摄像方式联用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2.支持多种文本格式 word ppt 图片等可设置字体大小，播放速度，标记等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★3.正规厂商生产提供产品检测报告复印件或品牌商标注册证书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2560</w:t>
            </w:r>
          </w:p>
        </w:tc>
        <w:tc>
          <w:tcPr>
            <w:tcW w:w="92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相机三角架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Smiliboo米泊MTT602II-AL摄像机三脚架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240" w:lineRule="auto"/>
              <w:jc w:val="left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专业摄影支架相机三角架，Smiliboo米泊MTT602II-AL摄像机三脚架单反专业摄影支架相机三角架带液压云台套装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731</w:t>
            </w:r>
          </w:p>
        </w:tc>
        <w:tc>
          <w:tcPr>
            <w:tcW w:w="92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left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spacing w:line="240" w:lineRule="auto"/>
              <w:jc w:val="left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无线麦克风话筒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索尼（SONY）领夹式无线麦克风话筒（国行ECM-W3）</w:t>
            </w:r>
          </w:p>
        </w:tc>
        <w:tc>
          <w:tcPr>
            <w:tcW w:w="4658" w:type="dxa"/>
            <w:vAlign w:val="center"/>
          </w:tcPr>
          <w:p>
            <w:pPr>
              <w:pStyle w:val="7"/>
              <w:spacing w:line="240" w:lineRule="auto"/>
              <w:jc w:val="left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领夹式无线麦克风话筒，索尼（SONY）领夹式无线麦克风话筒一拖二套装（国行ECM-W3）</w:t>
            </w:r>
          </w:p>
        </w:tc>
        <w:tc>
          <w:tcPr>
            <w:tcW w:w="4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2219</w:t>
            </w:r>
          </w:p>
        </w:tc>
        <w:tc>
          <w:tcPr>
            <w:tcW w:w="92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  <w:outlineLvl w:val="9"/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4"/>
          <w:szCs w:val="24"/>
          <w:lang w:val="en-US" w:eastAsia="zh-CN" w:bidi="ar-SA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注：</w:t>
      </w:r>
      <w:r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①</w:t>
      </w:r>
      <w:r>
        <w:rPr>
          <w:rStyle w:val="11"/>
          <w:rFonts w:hint="eastAsia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报价以人民币计价、且包</w:t>
      </w:r>
      <w:r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含税费、完成</w:t>
      </w:r>
      <w:r>
        <w:rPr>
          <w:rStyle w:val="11"/>
          <w:rFonts w:hint="eastAsia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设备安装调试</w:t>
      </w:r>
      <w:r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工作所必须的工具、耗材、人工费等全部费用。 ②需由法定代表人/单位负责人或授权代表签字并盖印章。</w:t>
      </w:r>
    </w:p>
    <w:p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1"/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Style w:val="11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(盖章)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法定代表人/单位负责人或授权代表：</w:t>
      </w:r>
      <w:r>
        <w:rPr>
          <w:rStyle w:val="11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(签字或盖章)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/>
          <w:lang w:eastAsia="zh-CN"/>
        </w:rPr>
      </w:pPr>
      <w:r>
        <w:rPr>
          <w:rStyle w:val="11"/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Style w:val="11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</w:p>
    <w:p/>
    <w:sectPr>
      <w:pgSz w:w="16838" w:h="11906" w:orient="landscape"/>
      <w:pgMar w:top="1531" w:right="1871" w:bottom="1531" w:left="170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962B4"/>
    <w:rsid w:val="0A1C3977"/>
    <w:rsid w:val="20BF1605"/>
    <w:rsid w:val="257962B4"/>
    <w:rsid w:val="36FA5762"/>
    <w:rsid w:val="71592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670" w:firstLineChars="200"/>
      <w:jc w:val="both"/>
    </w:pPr>
    <w:rPr>
      <w:rFonts w:ascii="Calibri" w:hAnsi="Calibri" w:eastAsia="仿宋_GB2312" w:cs="Times New Roman"/>
      <w:kern w:val="0"/>
      <w:sz w:val="32"/>
      <w:szCs w:val="24"/>
      <w:lang w:val="en-US" w:eastAsia="zh-CN" w:bidi="ar-SA"/>
    </w:rPr>
  </w:style>
  <w:style w:type="paragraph" w:styleId="5">
    <w:name w:val="heading 4"/>
    <w:basedOn w:val="3"/>
    <w:next w:val="6"/>
    <w:unhideWhenUsed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 w:cs="Times New Roman"/>
      <w:b/>
      <w:kern w:val="2"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4"/>
    <w:uiPriority w:val="0"/>
    <w:pPr>
      <w:spacing w:after="120" w:afterLines="0" w:afterAutospacing="0"/>
    </w:pPr>
  </w:style>
  <w:style w:type="paragraph" w:customStyle="1" w:styleId="3">
    <w:name w:val="正文11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2"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paragraph" w:styleId="6">
    <w:name w:val="Normal Indent"/>
    <w:basedOn w:val="7"/>
    <w:uiPriority w:val="0"/>
    <w:pPr>
      <w:ind w:firstLine="420" w:firstLineChars="200"/>
    </w:pPr>
  </w:style>
  <w:style w:type="paragraph" w:customStyle="1" w:styleId="7">
    <w:name w:val="正文1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Salutation"/>
    <w:basedOn w:val="7"/>
    <w:next w:val="7"/>
    <w:uiPriority w:val="0"/>
    <w:rPr>
      <w:rFonts w:ascii="Calibri" w:hAnsi="Calibri"/>
    </w:rPr>
  </w:style>
  <w:style w:type="paragraph" w:styleId="9">
    <w:name w:val="toc 1"/>
    <w:basedOn w:val="10"/>
    <w:next w:val="10"/>
    <w:uiPriority w:val="0"/>
    <w:pPr>
      <w:tabs>
        <w:tab w:val="right" w:leader="dot" w:pos="0"/>
        <w:tab w:val="right" w:leader="dot" w:pos="9746"/>
      </w:tabs>
      <w:wordWrap w:val="0"/>
      <w:topLinePunct/>
      <w:spacing w:line="400" w:lineRule="exact"/>
    </w:pPr>
    <w:rPr>
      <w:sz w:val="21"/>
    </w:rPr>
  </w:style>
  <w:style w:type="paragraph" w:customStyle="1" w:styleId="10">
    <w:name w:val="正文2"/>
    <w:next w:val="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table" w:styleId="13">
    <w:name w:val="Table Grid"/>
    <w:basedOn w:val="12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113"/>
    <w:next w:val="9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Normal_0"/>
    <w:next w:val="6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03、“注：”正文(加粗，首行缩进2字符)"/>
    <w:basedOn w:val="18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8">
    <w:name w:val="01、普通正文"/>
    <w:basedOn w:val="16"/>
    <w:qFormat/>
    <w:uiPriority w:val="0"/>
    <w:pPr>
      <w:tabs>
        <w:tab w:val="left" w:pos="0"/>
      </w:tabs>
      <w:wordWrap w:val="0"/>
      <w:topLinePunct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2024-01-26T02:33:00Z</dcterms:created>
  <dc:creator>熊芳</dc:creator>
  <cp:lastModifiedBy>胡加美</cp:lastModifiedBy>
  <dcterms:modified xsi:type="dcterms:W3CDTF">2024-01-26T02:55:50Z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