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附件3</w:t>
      </w:r>
    </w:p>
    <w:p>
      <w:pPr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申请人提交材料清单</w:t>
      </w:r>
    </w:p>
    <w:p>
      <w:pPr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1.博士入学申请研究计划书；（具体提交日期将报名后通知到学员）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2.本人发表的论文或著作题目；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3.本人发表的文章中最有代表意义的两篇文章全文；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4.符合报名条件的相关学位证、学历证复印件；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5.与法官任命等级信息相应的证明文书复印件。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6.本科、硕士成绩单</w:t>
      </w:r>
    </w:p>
    <w:p>
      <w:pPr>
        <w:ind w:firstLine="640" w:firstLineChars="200"/>
        <w:rPr>
          <w:rFonts w:ascii="Calibri" w:hAnsi="Calibri"/>
        </w:rPr>
      </w:pPr>
      <w:r>
        <w:rPr>
          <w:rFonts w:hint="eastAsia" w:ascii="仿宋" w:hAnsi="仿宋" w:eastAsia="仿宋"/>
          <w:sz w:val="32"/>
          <w:szCs w:val="32"/>
        </w:rPr>
        <w:t>请各位法官务必根据香港城市大学法律学院的要求做准备。</w:t>
      </w:r>
    </w:p>
    <w:p>
      <w:pPr>
        <w:spacing w:line="580" w:lineRule="exact"/>
        <w:ind w:left="298" w:leftChars="142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left="298" w:leftChars="142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left="298" w:leftChars="142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left="298" w:leftChars="142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left="298" w:leftChars="142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left="298" w:leftChars="142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left="298" w:leftChars="142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left="298" w:leftChars="142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1F572E"/>
    <w:rsid w:val="F71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2024-01-31T19:33:00Z</dcterms:created>
  <dc:creator>王YH</dc:creator>
  <cp:lastModifiedBy>王YH</cp:lastModifiedBy>
  <dcterms:modified xsi:type="dcterms:W3CDTF">2024-01-31T19:34:16Z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6FECA421B8C318182630BA65566F1011_41</vt:lpwstr>
  </property>
</Properties>
</file>