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z w:val="32"/>
          <w:szCs w:val="32"/>
          <w:lang w:eastAsia="zh-CN"/>
        </w:rPr>
      </w:pPr>
      <w:bookmarkStart w:id="0" w:name="_GoBack"/>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00" w:lineRule="exact"/>
        <w:jc w:val="center"/>
        <w:rPr>
          <w:rFonts w:ascii="宋体" w:hAnsi="宋体" w:eastAsia="宋体"/>
          <w:b/>
          <w:sz w:val="36"/>
          <w:szCs w:val="36"/>
        </w:rPr>
      </w:pPr>
      <w:r>
        <w:rPr>
          <w:rFonts w:hint="eastAsia" w:ascii="宋体" w:hAnsi="宋体" w:eastAsia="宋体"/>
          <w:b/>
          <w:sz w:val="36"/>
          <w:szCs w:val="36"/>
        </w:rPr>
        <w:t>个案节点考核</w:t>
      </w:r>
      <w:r>
        <w:rPr>
          <w:rFonts w:hint="eastAsia" w:ascii="宋体" w:hAnsi="宋体" w:eastAsia="宋体"/>
          <w:b/>
          <w:sz w:val="36"/>
          <w:szCs w:val="36"/>
          <w:lang w:eastAsia="zh-CN"/>
        </w:rPr>
        <w:t>自评</w:t>
      </w:r>
      <w:r>
        <w:rPr>
          <w:rFonts w:hint="eastAsia" w:ascii="宋体" w:hAnsi="宋体" w:eastAsia="宋体"/>
          <w:b/>
          <w:sz w:val="36"/>
          <w:szCs w:val="36"/>
        </w:rPr>
        <w:t>表</w:t>
      </w:r>
    </w:p>
    <w:bookmarkEnd w:id="0"/>
    <w:p>
      <w:pPr>
        <w:spacing w:before="156" w:beforeLines="50" w:after="156" w:afterLines="50" w:line="460" w:lineRule="exact"/>
        <w:jc w:val="left"/>
        <w:rPr>
          <w:rFonts w:hint="eastAsia" w:ascii="仿宋_GB2312" w:hAnsi="宋体" w:eastAsia="仿宋_GB2312"/>
          <w:b/>
          <w:sz w:val="28"/>
          <w:szCs w:val="28"/>
          <w:lang w:eastAsia="zh-CN"/>
        </w:rPr>
      </w:pPr>
      <w:r>
        <w:rPr>
          <w:rFonts w:hint="eastAsia" w:ascii="仿宋_GB2312" w:hAnsi="宋体" w:eastAsia="仿宋_GB2312"/>
          <w:b/>
          <w:sz w:val="28"/>
          <w:szCs w:val="28"/>
        </w:rPr>
        <w:t>案号：（20  ）湘01破    号</w:t>
      </w:r>
      <w:r>
        <w:rPr>
          <w:rFonts w:ascii="仿宋_GB2312" w:hAnsi="宋体" w:eastAsia="仿宋_GB2312"/>
          <w:b/>
          <w:sz w:val="28"/>
          <w:szCs w:val="28"/>
        </w:rPr>
        <w:br w:type="textWrapping"/>
      </w:r>
      <w:r>
        <w:rPr>
          <w:rFonts w:hint="eastAsia" w:ascii="仿宋_GB2312" w:hAnsi="宋体" w:eastAsia="仿宋_GB2312"/>
          <w:b/>
          <w:sz w:val="28"/>
          <w:szCs w:val="28"/>
        </w:rPr>
        <w:t>承办人：                  管理人：</w:t>
      </w:r>
      <w:r>
        <w:rPr>
          <w:rFonts w:hint="eastAsia" w:ascii="仿宋_GB2312" w:hAnsi="宋体" w:eastAsia="仿宋_GB2312"/>
          <w:b/>
          <w:sz w:val="28"/>
          <w:szCs w:val="28"/>
          <w:lang w:eastAsia="zh-CN"/>
        </w:rPr>
        <w:t>（填写案件管理人名称并加盖公章）</w:t>
      </w:r>
    </w:p>
    <w:tbl>
      <w:tblPr>
        <w:tblStyle w:val="3"/>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73"/>
        <w:gridCol w:w="4263"/>
        <w:gridCol w:w="1397"/>
        <w:gridCol w:w="115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gridSpan w:val="2"/>
            <w:noWrap w:val="0"/>
            <w:vAlign w:val="top"/>
          </w:tcPr>
          <w:p>
            <w:pPr>
              <w:jc w:val="center"/>
              <w:rPr>
                <w:b/>
              </w:rPr>
            </w:pPr>
            <w:r>
              <w:rPr>
                <w:rFonts w:hint="eastAsia"/>
                <w:b/>
              </w:rPr>
              <w:t>工作事项</w:t>
            </w:r>
          </w:p>
        </w:tc>
        <w:tc>
          <w:tcPr>
            <w:tcW w:w="4263" w:type="dxa"/>
            <w:noWrap w:val="0"/>
            <w:vAlign w:val="top"/>
          </w:tcPr>
          <w:p>
            <w:pPr>
              <w:jc w:val="center"/>
              <w:rPr>
                <w:b/>
              </w:rPr>
            </w:pPr>
            <w:r>
              <w:rPr>
                <w:rFonts w:hint="eastAsia"/>
                <w:b/>
              </w:rPr>
              <w:t>负面清单项</w:t>
            </w:r>
          </w:p>
        </w:tc>
        <w:tc>
          <w:tcPr>
            <w:tcW w:w="1397" w:type="dxa"/>
            <w:noWrap w:val="0"/>
            <w:vAlign w:val="top"/>
          </w:tcPr>
          <w:p>
            <w:pPr>
              <w:jc w:val="center"/>
              <w:rPr>
                <w:b/>
              </w:rPr>
            </w:pPr>
            <w:r>
              <w:rPr>
                <w:rFonts w:hint="eastAsia"/>
                <w:b/>
              </w:rPr>
              <w:t>评分标准</w:t>
            </w:r>
          </w:p>
        </w:tc>
        <w:tc>
          <w:tcPr>
            <w:tcW w:w="1157" w:type="dxa"/>
            <w:noWrap w:val="0"/>
            <w:vAlign w:val="top"/>
          </w:tcPr>
          <w:p>
            <w:pPr>
              <w:jc w:val="center"/>
              <w:rPr>
                <w:b/>
              </w:rPr>
            </w:pPr>
            <w:r>
              <w:rPr>
                <w:rFonts w:hint="eastAsia"/>
                <w:b/>
              </w:rPr>
              <w:t>扣分情况</w:t>
            </w:r>
          </w:p>
        </w:tc>
        <w:tc>
          <w:tcPr>
            <w:tcW w:w="651" w:type="dxa"/>
            <w:noWrap w:val="0"/>
            <w:vAlign w:val="top"/>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spacing w:line="300" w:lineRule="exact"/>
              <w:jc w:val="center"/>
            </w:pPr>
            <w:r>
              <w:rPr>
                <w:rFonts w:hint="eastAsia"/>
              </w:rPr>
              <w:t>团队组建与内部管理</w:t>
            </w:r>
          </w:p>
        </w:tc>
        <w:tc>
          <w:tcPr>
            <w:tcW w:w="1573" w:type="dxa"/>
            <w:vMerge w:val="restart"/>
            <w:noWrap w:val="0"/>
            <w:vAlign w:val="center"/>
          </w:tcPr>
          <w:p>
            <w:pPr>
              <w:jc w:val="center"/>
            </w:pPr>
            <w:r>
              <w:rPr>
                <w:rFonts w:hint="eastAsia"/>
              </w:rPr>
              <w:t>1.团队组建</w:t>
            </w:r>
          </w:p>
        </w:tc>
        <w:tc>
          <w:tcPr>
            <w:tcW w:w="4263" w:type="dxa"/>
            <w:noWrap w:val="0"/>
            <w:vAlign w:val="center"/>
          </w:tcPr>
          <w:p>
            <w:r>
              <w:rPr>
                <w:rFonts w:hint="eastAsia"/>
              </w:rPr>
              <w:t>1.1未按法院要求及时报送团队成员名单。</w:t>
            </w:r>
          </w:p>
        </w:tc>
        <w:tc>
          <w:tcPr>
            <w:tcW w:w="1397" w:type="dxa"/>
            <w:vMerge w:val="restart"/>
            <w:noWrap w:val="0"/>
            <w:vAlign w:val="center"/>
          </w:tcPr>
          <w:p>
            <w:pPr>
              <w:jc w:val="center"/>
            </w:pPr>
            <w:r>
              <w:rPr>
                <w:rFonts w:hint="eastAsia"/>
              </w:rPr>
              <w:t>每项扣0.5分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1.2团队核心成员发生变化未及时向法院报备。</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1.3团队成员无相关执业资质。</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1.4团队组建或人员变动违反法律和司法解释的相关规定。</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restart"/>
            <w:noWrap w:val="0"/>
            <w:vAlign w:val="center"/>
          </w:tcPr>
          <w:p>
            <w:pPr>
              <w:jc w:val="center"/>
            </w:pPr>
            <w:r>
              <w:rPr>
                <w:rFonts w:hint="eastAsia"/>
              </w:rPr>
              <w:t>2.制度管理</w:t>
            </w:r>
          </w:p>
        </w:tc>
        <w:tc>
          <w:tcPr>
            <w:tcW w:w="4263" w:type="dxa"/>
            <w:noWrap w:val="0"/>
            <w:vAlign w:val="center"/>
          </w:tcPr>
          <w:p>
            <w:r>
              <w:rPr>
                <w:rFonts w:hint="eastAsia"/>
              </w:rPr>
              <w:t>2.1未按法院要求及时报备管理人工作制度或报备的制度不完备。</w:t>
            </w:r>
          </w:p>
        </w:tc>
        <w:tc>
          <w:tcPr>
            <w:tcW w:w="1397" w:type="dxa"/>
            <w:vMerge w:val="restart"/>
            <w:noWrap w:val="0"/>
            <w:vAlign w:val="center"/>
          </w:tcPr>
          <w:p>
            <w:pPr>
              <w:jc w:val="center"/>
            </w:pPr>
            <w:r>
              <w:rPr>
                <w:rFonts w:hint="eastAsia"/>
              </w:rPr>
              <w:t>每项扣1分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2.2未制定维稳预案或未及时报告维稳风险。</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restart"/>
            <w:noWrap w:val="0"/>
            <w:vAlign w:val="center"/>
          </w:tcPr>
          <w:p>
            <w:pPr>
              <w:jc w:val="center"/>
            </w:pPr>
            <w:r>
              <w:rPr>
                <w:rFonts w:hint="eastAsia"/>
              </w:rPr>
              <w:t>3.印章管理</w:t>
            </w:r>
          </w:p>
        </w:tc>
        <w:tc>
          <w:tcPr>
            <w:tcW w:w="4263" w:type="dxa"/>
            <w:noWrap w:val="0"/>
            <w:vAlign w:val="center"/>
          </w:tcPr>
          <w:p>
            <w:r>
              <w:rPr>
                <w:rFonts w:hint="eastAsia"/>
              </w:rPr>
              <w:t>3.1未按法院要求及时将管理人印章封样备案即启用印章。</w:t>
            </w:r>
          </w:p>
        </w:tc>
        <w:tc>
          <w:tcPr>
            <w:tcW w:w="1397" w:type="dxa"/>
            <w:vMerge w:val="restart"/>
            <w:noWrap w:val="0"/>
            <w:vAlign w:val="center"/>
          </w:tcPr>
          <w:p>
            <w:pPr>
              <w:jc w:val="center"/>
            </w:pPr>
            <w:r>
              <w:rPr>
                <w:rFonts w:hint="eastAsia"/>
              </w:rPr>
              <w:t>每项扣0.5分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3.2无印章使用登记记录。</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3.3终止职务后未及时销毁印章并向法院报备。</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restart"/>
            <w:noWrap w:val="0"/>
            <w:vAlign w:val="center"/>
          </w:tcPr>
          <w:p>
            <w:pPr>
              <w:jc w:val="center"/>
            </w:pPr>
            <w:r>
              <w:rPr>
                <w:rFonts w:hint="eastAsia"/>
              </w:rPr>
              <w:t>4.财务管理</w:t>
            </w:r>
          </w:p>
        </w:tc>
        <w:tc>
          <w:tcPr>
            <w:tcW w:w="4263" w:type="dxa"/>
            <w:noWrap w:val="0"/>
            <w:vAlign w:val="center"/>
          </w:tcPr>
          <w:p>
            <w:r>
              <w:rPr>
                <w:rFonts w:hint="eastAsia"/>
              </w:rPr>
              <w:t>4.1未及时将债务人存款、债务人财产变价款划入管理人账户进行统一管理。</w:t>
            </w:r>
          </w:p>
        </w:tc>
        <w:tc>
          <w:tcPr>
            <w:tcW w:w="1397" w:type="dxa"/>
            <w:vMerge w:val="restart"/>
            <w:noWrap w:val="0"/>
            <w:vAlign w:val="center"/>
          </w:tcPr>
          <w:p>
            <w:pPr>
              <w:jc w:val="center"/>
            </w:pPr>
            <w:r>
              <w:rPr>
                <w:rFonts w:hint="eastAsia"/>
              </w:rPr>
              <w:t>每项扣1分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4.2未按法院要求报告财务收支情况。</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4.3超过法院规定限额的支出未经法院批准。</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4.4破产费用支出无依据。</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4.5违规列支破产费用。</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noWrap w:val="0"/>
            <w:vAlign w:val="center"/>
          </w:tcPr>
          <w:p>
            <w:pPr>
              <w:jc w:val="center"/>
            </w:pPr>
            <w:r>
              <w:rPr>
                <w:rFonts w:hint="eastAsia"/>
              </w:rPr>
              <w:t>5.档案管理</w:t>
            </w:r>
          </w:p>
        </w:tc>
        <w:tc>
          <w:tcPr>
            <w:tcW w:w="4263" w:type="dxa"/>
            <w:noWrap w:val="0"/>
            <w:vAlign w:val="center"/>
          </w:tcPr>
          <w:p>
            <w:r>
              <w:rPr>
                <w:rFonts w:hint="eastAsia"/>
              </w:rPr>
              <w:t>5.1未对每起破产案件建立档案并分类归集档案材料。</w:t>
            </w:r>
          </w:p>
        </w:tc>
        <w:tc>
          <w:tcPr>
            <w:tcW w:w="1397" w:type="dxa"/>
            <w:noWrap w:val="0"/>
            <w:vAlign w:val="center"/>
          </w:tcPr>
          <w:p>
            <w:pPr>
              <w:jc w:val="center"/>
            </w:pPr>
            <w:r>
              <w:rPr>
                <w:rFonts w:hint="eastAsia"/>
              </w:rPr>
              <w:t>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spacing w:line="300" w:lineRule="exact"/>
              <w:jc w:val="center"/>
            </w:pPr>
            <w:r>
              <w:rPr>
                <w:rFonts w:hint="eastAsia"/>
              </w:rPr>
              <w:t>接管</w:t>
            </w:r>
          </w:p>
        </w:tc>
        <w:tc>
          <w:tcPr>
            <w:tcW w:w="1573" w:type="dxa"/>
            <w:vMerge w:val="restart"/>
            <w:noWrap w:val="0"/>
            <w:vAlign w:val="center"/>
          </w:tcPr>
          <w:p>
            <w:pPr>
              <w:jc w:val="center"/>
            </w:pPr>
            <w:r>
              <w:rPr>
                <w:rFonts w:hint="eastAsia"/>
              </w:rPr>
              <w:t>6.接管</w:t>
            </w:r>
          </w:p>
        </w:tc>
        <w:tc>
          <w:tcPr>
            <w:tcW w:w="4263" w:type="dxa"/>
            <w:noWrap w:val="0"/>
            <w:vAlign w:val="center"/>
          </w:tcPr>
          <w:p>
            <w:r>
              <w:rPr>
                <w:rFonts w:hint="eastAsia"/>
              </w:rPr>
              <w:t>6.1无正当理由未在法院指定期限内完成接管并提交接管专项工作报告。</w:t>
            </w:r>
          </w:p>
        </w:tc>
        <w:tc>
          <w:tcPr>
            <w:tcW w:w="1397" w:type="dxa"/>
            <w:vMerge w:val="restart"/>
            <w:noWrap w:val="0"/>
            <w:vAlign w:val="center"/>
          </w:tcPr>
          <w:p>
            <w:pPr>
              <w:jc w:val="center"/>
            </w:pPr>
            <w:r>
              <w:rPr>
                <w:rFonts w:hint="eastAsia"/>
              </w:rPr>
              <w:t>每项扣1分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6.2未制作接管笔录或接管笔录无相关人员签字确认。</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6.3未及时提请有关法院解除保全措施、中止执行，或未及时提请中止诉讼、仲裁程序。</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spacing w:line="300" w:lineRule="exact"/>
              <w:jc w:val="center"/>
            </w:pPr>
            <w:r>
              <w:rPr>
                <w:rFonts w:hint="eastAsia"/>
              </w:rPr>
              <w:t>财产管理</w:t>
            </w:r>
          </w:p>
        </w:tc>
        <w:tc>
          <w:tcPr>
            <w:tcW w:w="1573" w:type="dxa"/>
            <w:vMerge w:val="restart"/>
            <w:noWrap w:val="0"/>
            <w:vAlign w:val="center"/>
          </w:tcPr>
          <w:p>
            <w:pPr>
              <w:jc w:val="center"/>
            </w:pPr>
            <w:r>
              <w:rPr>
                <w:rFonts w:hint="eastAsia"/>
              </w:rPr>
              <w:t>7.财产调查</w:t>
            </w:r>
          </w:p>
        </w:tc>
        <w:tc>
          <w:tcPr>
            <w:tcW w:w="4263" w:type="dxa"/>
            <w:noWrap w:val="0"/>
            <w:vAlign w:val="center"/>
          </w:tcPr>
          <w:p>
            <w:r>
              <w:rPr>
                <w:rFonts w:hint="eastAsia"/>
              </w:rPr>
              <w:t>7.1无正当理由未在法院指定期限内完成财产调查并提交财产调查专项工作报告。</w:t>
            </w:r>
          </w:p>
        </w:tc>
        <w:tc>
          <w:tcPr>
            <w:tcW w:w="1397" w:type="dxa"/>
            <w:vMerge w:val="restart"/>
            <w:noWrap w:val="0"/>
            <w:vAlign w:val="center"/>
          </w:tcPr>
          <w:p>
            <w:pPr>
              <w:jc w:val="center"/>
            </w:pPr>
            <w:r>
              <w:rPr>
                <w:rFonts w:hint="eastAsia"/>
              </w:rPr>
              <w:t>每项扣2分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7.2发现债务人有《企业破产法》第三十一条、第三十二条、第三十三条规定的行为，未及时向法院报告。</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7.3发现债务人或债务人有关人员隐匿或故意销毁财务账册、财务资料，或者制造虚假财务账册、财务资料，未及时向法院报告。</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7.4未核查债务人注册资本实缴情况。</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restart"/>
            <w:noWrap w:val="0"/>
            <w:vAlign w:val="center"/>
          </w:tcPr>
          <w:p>
            <w:pPr>
              <w:jc w:val="center"/>
            </w:pPr>
            <w:r>
              <w:rPr>
                <w:rFonts w:hint="eastAsia"/>
              </w:rPr>
              <w:t>8.财产管理</w:t>
            </w:r>
          </w:p>
        </w:tc>
        <w:tc>
          <w:tcPr>
            <w:tcW w:w="4263" w:type="dxa"/>
            <w:noWrap w:val="0"/>
            <w:vAlign w:val="center"/>
          </w:tcPr>
          <w:p>
            <w:r>
              <w:rPr>
                <w:rFonts w:hint="eastAsia"/>
              </w:rPr>
              <w:t>8.1未经法院批准或未按法院要求自行聘请审计、评估等中介机构。</w:t>
            </w:r>
          </w:p>
        </w:tc>
        <w:tc>
          <w:tcPr>
            <w:tcW w:w="1397" w:type="dxa"/>
            <w:vMerge w:val="restart"/>
            <w:noWrap w:val="0"/>
            <w:vAlign w:val="center"/>
          </w:tcPr>
          <w:p>
            <w:pPr>
              <w:jc w:val="center"/>
            </w:pPr>
            <w:r>
              <w:rPr>
                <w:rFonts w:hint="eastAsia"/>
              </w:rPr>
              <w:t>每项扣2分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8.2未对自行聘请的审计、评估等中介机构进行有效监督。</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8.3未能准确判断债务人是否需要继续经营，造成重大影响或重大损失。</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8.4未能准确判断是否需要继续履行或解除合同，造成重大影响或重大损失。</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8.5未及时报请处置易损、易腐坏、易贬值、保管费用高昂等管理成本较高的财产，导致资产严重贬值。</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8.6未报告债权人委员会或法院，实施《企业破产法》第六十九条第一款规定的行为。</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restart"/>
            <w:noWrap w:val="0"/>
            <w:vAlign w:val="center"/>
          </w:tcPr>
          <w:p>
            <w:pPr>
              <w:jc w:val="center"/>
            </w:pPr>
            <w:r>
              <w:rPr>
                <w:rFonts w:hint="eastAsia"/>
              </w:rPr>
              <w:t>9.财产追收</w:t>
            </w:r>
          </w:p>
        </w:tc>
        <w:tc>
          <w:tcPr>
            <w:tcW w:w="4263" w:type="dxa"/>
            <w:noWrap w:val="0"/>
            <w:vAlign w:val="center"/>
          </w:tcPr>
          <w:p>
            <w:r>
              <w:rPr>
                <w:rFonts w:hint="eastAsia"/>
              </w:rPr>
              <w:t>9.1未及时向债务人的债务人或财产持有人主张权利。</w:t>
            </w:r>
          </w:p>
        </w:tc>
        <w:tc>
          <w:tcPr>
            <w:tcW w:w="1397" w:type="dxa"/>
            <w:noWrap w:val="0"/>
            <w:vAlign w:val="center"/>
          </w:tcPr>
          <w:p>
            <w:pPr>
              <w:jc w:val="center"/>
            </w:pPr>
            <w:r>
              <w:rPr>
                <w:rFonts w:hint="eastAsia"/>
              </w:rPr>
              <w:t>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9.2发现债务人有《企业破产法》第三十一条、第三十二条、第三十三条规定的行为，未及时主张权利或采取相关措施，造成不良后果。</w:t>
            </w:r>
          </w:p>
        </w:tc>
        <w:tc>
          <w:tcPr>
            <w:tcW w:w="1397" w:type="dxa"/>
            <w:vMerge w:val="restart"/>
            <w:noWrap w:val="0"/>
            <w:vAlign w:val="center"/>
          </w:tcPr>
          <w:p>
            <w:pPr>
              <w:jc w:val="center"/>
            </w:pPr>
            <w:r>
              <w:rPr>
                <w:rFonts w:hint="eastAsia"/>
              </w:rPr>
              <w:t>每项扣3分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9.3掌握债务人或债务人有关人员相关财产线索后，未充分调查核实或未及时采取措施，或随意放弃追收财产，造成不良后果。</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jc w:val="center"/>
            </w:pPr>
            <w:r>
              <w:rPr>
                <w:rFonts w:hint="eastAsia"/>
              </w:rPr>
              <w:t>债权审查</w:t>
            </w:r>
          </w:p>
        </w:tc>
        <w:tc>
          <w:tcPr>
            <w:tcW w:w="1573" w:type="dxa"/>
            <w:vMerge w:val="restart"/>
            <w:noWrap w:val="0"/>
            <w:vAlign w:val="center"/>
          </w:tcPr>
          <w:p>
            <w:pPr>
              <w:jc w:val="center"/>
            </w:pPr>
            <w:r>
              <w:rPr>
                <w:rFonts w:hint="eastAsia"/>
              </w:rPr>
              <w:t>10.债权审查</w:t>
            </w:r>
          </w:p>
        </w:tc>
        <w:tc>
          <w:tcPr>
            <w:tcW w:w="4263" w:type="dxa"/>
            <w:noWrap w:val="0"/>
            <w:vAlign w:val="center"/>
          </w:tcPr>
          <w:p>
            <w:r>
              <w:rPr>
                <w:rFonts w:hint="eastAsia"/>
              </w:rPr>
              <w:t>10.1未对债权登记造册或未编制债权表。</w:t>
            </w:r>
          </w:p>
        </w:tc>
        <w:tc>
          <w:tcPr>
            <w:tcW w:w="1397" w:type="dxa"/>
            <w:vMerge w:val="restart"/>
            <w:noWrap w:val="0"/>
            <w:vAlign w:val="center"/>
          </w:tcPr>
          <w:p>
            <w:pPr>
              <w:jc w:val="center"/>
            </w:pPr>
            <w:r>
              <w:rPr>
                <w:rFonts w:hint="eastAsia"/>
              </w:rPr>
              <w:t>每项扣1分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10.2未对职工债权列出清单并予公示。</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10.3未了解债务人欠缴社保费用、税费情况或未通知社保主管部门、税务部门申报债权。</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10.4未及时处理债权异议或未告知异议债权人救济途径，导致债权人权益受损。</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10.5违反法律规定确认、不予确认、暂缓确认债权。</w:t>
            </w:r>
          </w:p>
        </w:tc>
        <w:tc>
          <w:tcPr>
            <w:tcW w:w="1397" w:type="dxa"/>
            <w:noWrap w:val="0"/>
            <w:vAlign w:val="center"/>
          </w:tcPr>
          <w:p>
            <w:pPr>
              <w:jc w:val="center"/>
            </w:pPr>
            <w:r>
              <w:rPr>
                <w:rFonts w:hint="eastAsia"/>
              </w:rPr>
              <w:t>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jc w:val="center"/>
            </w:pPr>
            <w:r>
              <w:rPr>
                <w:rFonts w:hint="eastAsia"/>
              </w:rPr>
              <w:t>债权人会议</w:t>
            </w:r>
          </w:p>
        </w:tc>
        <w:tc>
          <w:tcPr>
            <w:tcW w:w="1573" w:type="dxa"/>
            <w:vMerge w:val="restart"/>
            <w:noWrap w:val="0"/>
            <w:vAlign w:val="center"/>
          </w:tcPr>
          <w:p>
            <w:pPr>
              <w:jc w:val="center"/>
            </w:pPr>
            <w:r>
              <w:rPr>
                <w:rFonts w:hint="eastAsia"/>
              </w:rPr>
              <w:t>11.债权人会议</w:t>
            </w:r>
          </w:p>
        </w:tc>
        <w:tc>
          <w:tcPr>
            <w:tcW w:w="4263" w:type="dxa"/>
            <w:noWrap w:val="0"/>
            <w:vAlign w:val="center"/>
          </w:tcPr>
          <w:p>
            <w:r>
              <w:rPr>
                <w:rFonts w:hint="eastAsia"/>
              </w:rPr>
              <w:t>11.1未按法院要求筹备第一次债权人会议并准备会议资料，或第一次债权人会议出现重大纰漏。</w:t>
            </w:r>
          </w:p>
        </w:tc>
        <w:tc>
          <w:tcPr>
            <w:tcW w:w="1397" w:type="dxa"/>
            <w:vMerge w:val="restart"/>
            <w:noWrap w:val="0"/>
            <w:vAlign w:val="center"/>
          </w:tcPr>
          <w:p>
            <w:pPr>
              <w:jc w:val="center"/>
            </w:pPr>
            <w:r>
              <w:rPr>
                <w:rFonts w:hint="eastAsia"/>
              </w:rPr>
              <w:t>每项扣2分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11.2未按法律规定或法院要求通知债权人或其他相关人员参加债权人会议。</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11.3未按法院要求报告债权人会议召开情况。</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11.4未按《企业破产法》第六十五条的规定及时申请法院裁定。</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r>
              <w:rPr>
                <w:rFonts w:hint="eastAsia"/>
              </w:rPr>
              <w:t>重整</w:t>
            </w:r>
          </w:p>
        </w:tc>
        <w:tc>
          <w:tcPr>
            <w:tcW w:w="1573" w:type="dxa"/>
            <w:vMerge w:val="restart"/>
            <w:noWrap w:val="0"/>
            <w:vAlign w:val="center"/>
          </w:tcPr>
          <w:p>
            <w:pPr>
              <w:jc w:val="center"/>
            </w:pPr>
            <w:r>
              <w:rPr>
                <w:rFonts w:hint="eastAsia"/>
              </w:rPr>
              <w:t>12.重整</w:t>
            </w:r>
          </w:p>
        </w:tc>
        <w:tc>
          <w:tcPr>
            <w:tcW w:w="4263" w:type="dxa"/>
            <w:noWrap w:val="0"/>
            <w:vAlign w:val="center"/>
          </w:tcPr>
          <w:p>
            <w:r>
              <w:rPr>
                <w:rFonts w:hint="eastAsia"/>
              </w:rPr>
              <w:t>12.1未经法院许可聘请债务人经营管理人员负责营业事务。</w:t>
            </w:r>
          </w:p>
        </w:tc>
        <w:tc>
          <w:tcPr>
            <w:tcW w:w="1397" w:type="dxa"/>
            <w:noWrap w:val="0"/>
            <w:vAlign w:val="center"/>
          </w:tcPr>
          <w:p>
            <w:pPr>
              <w:jc w:val="center"/>
            </w:pPr>
            <w:r>
              <w:rPr>
                <w:rFonts w:hint="eastAsia"/>
              </w:rPr>
              <w:t>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12.2未经法院许可实施对债务人财产有重要影响的行为。</w:t>
            </w:r>
          </w:p>
        </w:tc>
        <w:tc>
          <w:tcPr>
            <w:tcW w:w="1397" w:type="dxa"/>
            <w:vMerge w:val="restart"/>
            <w:noWrap w:val="0"/>
            <w:vAlign w:val="center"/>
          </w:tcPr>
          <w:p>
            <w:pPr>
              <w:jc w:val="center"/>
            </w:pPr>
            <w:r>
              <w:rPr>
                <w:rFonts w:hint="eastAsia"/>
              </w:rPr>
              <w:t>每项扣3分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12.3在债务人自行管理情形下，管理人未制定监督制度或未能对债务人实现有效监督。</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12.4不能按期提交重整计划草案且未申请延期，又不申请宣告债务人破产。</w:t>
            </w:r>
          </w:p>
        </w:tc>
        <w:tc>
          <w:tcPr>
            <w:tcW w:w="1397" w:type="dxa"/>
            <w:vMerge w:val="restart"/>
            <w:noWrap w:val="0"/>
            <w:vAlign w:val="center"/>
          </w:tcPr>
          <w:p>
            <w:pPr>
              <w:jc w:val="center"/>
            </w:pPr>
            <w:r>
              <w:rPr>
                <w:rFonts w:hint="eastAsia"/>
              </w:rPr>
              <w:t>每项扣2分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12.5债务人出现《企业破产法》第七十八条规定的情形，未及时申请法院终止重整程序并宣告债务人破产。</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12.6在债务人自行管理情形下，管理人未对重整计划草案进行合法性和可行性分析并书面报告法院。</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12.7未对重整计划的执行实行有效监督，或未按法院要求提交监督报告。</w:t>
            </w:r>
          </w:p>
        </w:tc>
        <w:tc>
          <w:tcPr>
            <w:tcW w:w="1397" w:type="dxa"/>
            <w:noWrap w:val="0"/>
            <w:vAlign w:val="center"/>
          </w:tcPr>
          <w:p>
            <w:pPr>
              <w:jc w:val="center"/>
            </w:pPr>
            <w:r>
              <w:rPr>
                <w:rFonts w:hint="eastAsia"/>
              </w:rPr>
              <w:t>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12.8未根据案件情况及时申请法院裁定延长重整计划执行的监督期限。</w:t>
            </w:r>
          </w:p>
        </w:tc>
        <w:tc>
          <w:tcPr>
            <w:tcW w:w="1397" w:type="dxa"/>
            <w:vMerge w:val="restart"/>
            <w:noWrap w:val="0"/>
            <w:vAlign w:val="center"/>
          </w:tcPr>
          <w:p>
            <w:pPr>
              <w:jc w:val="center"/>
            </w:pPr>
            <w:r>
              <w:rPr>
                <w:rFonts w:hint="eastAsia"/>
              </w:rPr>
              <w:t>每项扣2分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12.9债务人不能执行或者不执行重整计划时，未及时申请人民法院裁定终止重整计划的执行并宣告债务人破产。</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jc w:val="center"/>
            </w:pPr>
            <w:r>
              <w:rPr>
                <w:rFonts w:hint="eastAsia"/>
              </w:rPr>
              <w:t>和解</w:t>
            </w:r>
          </w:p>
        </w:tc>
        <w:tc>
          <w:tcPr>
            <w:tcW w:w="1573" w:type="dxa"/>
            <w:vMerge w:val="restart"/>
            <w:noWrap w:val="0"/>
            <w:vAlign w:val="center"/>
          </w:tcPr>
          <w:p>
            <w:pPr>
              <w:jc w:val="center"/>
            </w:pPr>
            <w:r>
              <w:rPr>
                <w:rFonts w:hint="eastAsia"/>
              </w:rPr>
              <w:t>13.和解</w:t>
            </w:r>
          </w:p>
        </w:tc>
        <w:tc>
          <w:tcPr>
            <w:tcW w:w="4263" w:type="dxa"/>
            <w:noWrap w:val="0"/>
            <w:vAlign w:val="center"/>
          </w:tcPr>
          <w:p>
            <w:r>
              <w:rPr>
                <w:rFonts w:hint="eastAsia"/>
              </w:rPr>
              <w:t>13.1未对和解协议草案进行合法性和可行性分析并书面报告法院。</w:t>
            </w:r>
          </w:p>
        </w:tc>
        <w:tc>
          <w:tcPr>
            <w:tcW w:w="1397" w:type="dxa"/>
            <w:noWrap w:val="0"/>
            <w:vAlign w:val="center"/>
          </w:tcPr>
          <w:p>
            <w:pPr>
              <w:jc w:val="center"/>
            </w:pPr>
            <w:r>
              <w:rPr>
                <w:rFonts w:hint="eastAsia"/>
              </w:rPr>
              <w:t>扣2分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13.2未经法院许可实施对债务人财产有重要影响的行为。</w:t>
            </w:r>
          </w:p>
        </w:tc>
        <w:tc>
          <w:tcPr>
            <w:tcW w:w="1397" w:type="dxa"/>
            <w:noWrap w:val="0"/>
            <w:vAlign w:val="center"/>
          </w:tcPr>
          <w:p>
            <w:pPr>
              <w:jc w:val="center"/>
            </w:pPr>
            <w:r>
              <w:rPr>
                <w:rFonts w:hint="eastAsia"/>
              </w:rPr>
              <w:t>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noWrap w:val="0"/>
            <w:vAlign w:val="center"/>
          </w:tcPr>
          <w:p>
            <w:pPr>
              <w:jc w:val="center"/>
            </w:pPr>
            <w:r>
              <w:rPr>
                <w:rFonts w:hint="eastAsia"/>
              </w:rPr>
              <w:t>变价</w:t>
            </w:r>
          </w:p>
        </w:tc>
        <w:tc>
          <w:tcPr>
            <w:tcW w:w="1573" w:type="dxa"/>
            <w:noWrap w:val="0"/>
            <w:vAlign w:val="center"/>
          </w:tcPr>
          <w:p>
            <w:pPr>
              <w:jc w:val="center"/>
            </w:pPr>
            <w:r>
              <w:rPr>
                <w:rFonts w:hint="eastAsia"/>
              </w:rPr>
              <w:t>14.变价</w:t>
            </w:r>
          </w:p>
        </w:tc>
        <w:tc>
          <w:tcPr>
            <w:tcW w:w="4263" w:type="dxa"/>
            <w:noWrap w:val="0"/>
            <w:vAlign w:val="center"/>
          </w:tcPr>
          <w:p>
            <w:r>
              <w:rPr>
                <w:rFonts w:hint="eastAsia"/>
              </w:rPr>
              <w:t>14.1未按债权人会议通过或法院裁定的财产变价方案处置债务人资产。</w:t>
            </w:r>
          </w:p>
        </w:tc>
        <w:tc>
          <w:tcPr>
            <w:tcW w:w="1397" w:type="dxa"/>
            <w:noWrap w:val="0"/>
            <w:vAlign w:val="center"/>
          </w:tcPr>
          <w:p>
            <w:pPr>
              <w:jc w:val="center"/>
            </w:pPr>
            <w:r>
              <w:rPr>
                <w:rFonts w:hint="eastAsia"/>
              </w:rPr>
              <w:t>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jc w:val="center"/>
            </w:pPr>
            <w:r>
              <w:rPr>
                <w:rFonts w:hint="eastAsia"/>
              </w:rPr>
              <w:t>分配</w:t>
            </w:r>
          </w:p>
        </w:tc>
        <w:tc>
          <w:tcPr>
            <w:tcW w:w="1573" w:type="dxa"/>
            <w:vMerge w:val="restart"/>
            <w:noWrap w:val="0"/>
            <w:vAlign w:val="center"/>
          </w:tcPr>
          <w:p>
            <w:pPr>
              <w:jc w:val="center"/>
            </w:pPr>
            <w:r>
              <w:rPr>
                <w:rFonts w:hint="eastAsia"/>
              </w:rPr>
              <w:t>15.分配</w:t>
            </w:r>
          </w:p>
        </w:tc>
        <w:tc>
          <w:tcPr>
            <w:tcW w:w="4263" w:type="dxa"/>
            <w:noWrap w:val="0"/>
            <w:vAlign w:val="center"/>
          </w:tcPr>
          <w:p>
            <w:r>
              <w:rPr>
                <w:rFonts w:hint="eastAsia"/>
              </w:rPr>
              <w:t>15.1未按债权人会议通过或法院裁定的分配方案进行财产分配。</w:t>
            </w:r>
          </w:p>
        </w:tc>
        <w:tc>
          <w:tcPr>
            <w:tcW w:w="1397" w:type="dxa"/>
            <w:noWrap w:val="0"/>
            <w:vAlign w:val="center"/>
          </w:tcPr>
          <w:p>
            <w:pPr>
              <w:jc w:val="center"/>
            </w:pPr>
            <w:r>
              <w:rPr>
                <w:rFonts w:hint="eastAsia"/>
              </w:rPr>
              <w:t>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15.2未按照《企业破产法》的相关规定将债权人的分配额提存。</w:t>
            </w:r>
          </w:p>
        </w:tc>
        <w:tc>
          <w:tcPr>
            <w:tcW w:w="1397" w:type="dxa"/>
            <w:vMerge w:val="restart"/>
            <w:noWrap w:val="0"/>
            <w:vAlign w:val="center"/>
          </w:tcPr>
          <w:p>
            <w:pPr>
              <w:jc w:val="center"/>
            </w:pPr>
            <w:r>
              <w:rPr>
                <w:rFonts w:hint="eastAsia"/>
              </w:rPr>
              <w:t>每项扣2分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15.3未按法院要求及时提交分配报告。</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jc w:val="center"/>
            </w:pPr>
            <w:r>
              <w:rPr>
                <w:rFonts w:hint="eastAsia"/>
              </w:rPr>
              <w:t>终结程序</w:t>
            </w:r>
          </w:p>
        </w:tc>
        <w:tc>
          <w:tcPr>
            <w:tcW w:w="1573" w:type="dxa"/>
            <w:vMerge w:val="restart"/>
            <w:noWrap w:val="0"/>
            <w:vAlign w:val="center"/>
          </w:tcPr>
          <w:p>
            <w:pPr>
              <w:jc w:val="center"/>
            </w:pPr>
            <w:r>
              <w:rPr>
                <w:rFonts w:hint="eastAsia"/>
              </w:rPr>
              <w:t>16.终结程序</w:t>
            </w:r>
          </w:p>
        </w:tc>
        <w:tc>
          <w:tcPr>
            <w:tcW w:w="4263" w:type="dxa"/>
            <w:noWrap w:val="0"/>
            <w:vAlign w:val="center"/>
          </w:tcPr>
          <w:p>
            <w:r>
              <w:rPr>
                <w:rFonts w:hint="eastAsia"/>
              </w:rPr>
              <w:t>16.1未按法律规定或法院要求及时申请终结破产程序。</w:t>
            </w:r>
          </w:p>
        </w:tc>
        <w:tc>
          <w:tcPr>
            <w:tcW w:w="1397" w:type="dxa"/>
            <w:vMerge w:val="restart"/>
            <w:noWrap w:val="0"/>
            <w:vAlign w:val="center"/>
          </w:tcPr>
          <w:p>
            <w:pPr>
              <w:jc w:val="center"/>
            </w:pPr>
            <w:r>
              <w:rPr>
                <w:rFonts w:hint="eastAsia"/>
              </w:rPr>
              <w:t>每项扣1分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16.2未及时向登记机关办理注销登记并向法院报告注销情况。</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16.3未按法院要求提交履职情况报告。</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noWrap w:val="0"/>
            <w:vAlign w:val="center"/>
          </w:tcPr>
          <w:p>
            <w:pPr>
              <w:jc w:val="center"/>
            </w:pPr>
            <w:r>
              <w:rPr>
                <w:rFonts w:hint="eastAsia"/>
              </w:rPr>
              <w:t>其他</w:t>
            </w:r>
          </w:p>
        </w:tc>
        <w:tc>
          <w:tcPr>
            <w:tcW w:w="1573" w:type="dxa"/>
            <w:vMerge w:val="restart"/>
            <w:noWrap w:val="0"/>
            <w:vAlign w:val="center"/>
          </w:tcPr>
          <w:p>
            <w:pPr>
              <w:jc w:val="center"/>
            </w:pPr>
            <w:r>
              <w:rPr>
                <w:rFonts w:hint="eastAsia"/>
              </w:rPr>
              <w:t>17.其他</w:t>
            </w:r>
          </w:p>
        </w:tc>
        <w:tc>
          <w:tcPr>
            <w:tcW w:w="4263" w:type="dxa"/>
            <w:noWrap w:val="0"/>
            <w:vAlign w:val="center"/>
          </w:tcPr>
          <w:p>
            <w:r>
              <w:rPr>
                <w:rFonts w:hint="eastAsia"/>
              </w:rPr>
              <w:t>17.1因管理人履职不力导致破产衍生诉讼。</w:t>
            </w:r>
          </w:p>
        </w:tc>
        <w:tc>
          <w:tcPr>
            <w:tcW w:w="1397" w:type="dxa"/>
            <w:vMerge w:val="restart"/>
            <w:noWrap w:val="0"/>
            <w:vAlign w:val="center"/>
          </w:tcPr>
          <w:p>
            <w:pPr>
              <w:jc w:val="center"/>
            </w:pPr>
            <w:r>
              <w:rPr>
                <w:rFonts w:hint="eastAsia"/>
              </w:rPr>
              <w:t>每项扣1分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17.2管理人工作报告或文书不符合法院要求。</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17.3未按法院要求使用信息化工作平台。</w:t>
            </w:r>
          </w:p>
        </w:tc>
        <w:tc>
          <w:tcPr>
            <w:tcW w:w="1397" w:type="dxa"/>
            <w:vMerge w:val="continue"/>
            <w:noWrap w:val="0"/>
            <w:vAlign w:val="center"/>
          </w:tcPr>
          <w:p>
            <w:pPr>
              <w:jc w:val="center"/>
            </w:pP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noWrap w:val="0"/>
            <w:vAlign w:val="center"/>
          </w:tcPr>
          <w:p>
            <w:pPr>
              <w:jc w:val="center"/>
            </w:pPr>
          </w:p>
        </w:tc>
        <w:tc>
          <w:tcPr>
            <w:tcW w:w="1573" w:type="dxa"/>
            <w:vMerge w:val="continue"/>
            <w:noWrap w:val="0"/>
            <w:vAlign w:val="center"/>
          </w:tcPr>
          <w:p>
            <w:pPr>
              <w:jc w:val="center"/>
            </w:pPr>
          </w:p>
        </w:tc>
        <w:tc>
          <w:tcPr>
            <w:tcW w:w="4263" w:type="dxa"/>
            <w:noWrap w:val="0"/>
            <w:vAlign w:val="center"/>
          </w:tcPr>
          <w:p>
            <w:r>
              <w:rPr>
                <w:rFonts w:hint="eastAsia"/>
              </w:rPr>
              <w:t>17.4未按法院要求协助做好优化营商环境工作。</w:t>
            </w:r>
          </w:p>
        </w:tc>
        <w:tc>
          <w:tcPr>
            <w:tcW w:w="1397" w:type="dxa"/>
            <w:noWrap w:val="0"/>
            <w:vAlign w:val="center"/>
          </w:tcPr>
          <w:p>
            <w:pPr>
              <w:jc w:val="center"/>
            </w:pPr>
            <w:r>
              <w:rPr>
                <w:rFonts w:hint="eastAsia"/>
              </w:rPr>
              <w:t>扣3分</w:t>
            </w:r>
          </w:p>
        </w:tc>
        <w:tc>
          <w:tcPr>
            <w:tcW w:w="1157" w:type="dxa"/>
            <w:noWrap w:val="0"/>
            <w:vAlign w:val="center"/>
          </w:tcPr>
          <w:p>
            <w:pPr>
              <w:jc w:val="center"/>
            </w:pPr>
          </w:p>
        </w:tc>
        <w:tc>
          <w:tcPr>
            <w:tcW w:w="65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9" w:type="dxa"/>
            <w:gridSpan w:val="2"/>
            <w:noWrap w:val="0"/>
            <w:vAlign w:val="center"/>
          </w:tcPr>
          <w:p>
            <w:pPr>
              <w:jc w:val="center"/>
              <w:rPr>
                <w:rFonts w:hint="eastAsia" w:eastAsia="宋体"/>
                <w:lang w:eastAsia="zh-CN"/>
              </w:rPr>
            </w:pPr>
            <w:r>
              <w:rPr>
                <w:rFonts w:hint="eastAsia"/>
                <w:lang w:eastAsia="zh-CN"/>
              </w:rPr>
              <w:t>总分</w:t>
            </w:r>
          </w:p>
        </w:tc>
        <w:tc>
          <w:tcPr>
            <w:tcW w:w="7468" w:type="dxa"/>
            <w:gridSpan w:val="4"/>
            <w:noWrap w:val="0"/>
            <w:vAlign w:val="center"/>
          </w:tcPr>
          <w:p>
            <w:pPr>
              <w:jc w:val="center"/>
              <w:rPr>
                <w:rFonts w:hint="eastAsia" w:eastAsia="宋体"/>
                <w:lang w:eastAsia="zh-CN"/>
              </w:rPr>
            </w:pPr>
            <w:r>
              <w:rPr>
                <w:rFonts w:hint="eastAsia"/>
                <w:lang w:eastAsia="zh-CN"/>
              </w:rPr>
              <w:t>（总分</w:t>
            </w:r>
            <w:r>
              <w:rPr>
                <w:rFonts w:hint="eastAsia"/>
                <w:lang w:val="en-US" w:eastAsia="zh-CN"/>
              </w:rPr>
              <w:t>100分</w:t>
            </w:r>
            <w:r>
              <w:rPr>
                <w:rFonts w:hint="eastAsia"/>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TViMTc1ODY1YzFhYmRhZWFmZDA2YTAyMzM3Y2IifQ=="/>
  </w:docVars>
  <w:rsids>
    <w:rsidRoot w:val="5CBF1B32"/>
    <w:rsid w:val="5CBF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2024-02-26T08:11:00Z</dcterms:created>
  <dc:creator>南北醉清秋</dc:creator>
  <cp:lastModifiedBy>南北醉清秋</cp:lastModifiedBy>
  <dcterms:modified xsi:type="dcterms:W3CDTF">2024-02-26T08:11:21Z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A3F75AFE1C564C93A23E5895578BF67E_11</vt:lpwstr>
  </property>
</Properties>
</file>