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0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个案整体考核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自评</w:t>
      </w:r>
      <w:r>
        <w:rPr>
          <w:rFonts w:hint="eastAsia" w:ascii="宋体" w:hAnsi="宋体" w:eastAsia="宋体"/>
          <w:b/>
          <w:sz w:val="36"/>
          <w:szCs w:val="36"/>
        </w:rPr>
        <w:t>表</w:t>
      </w:r>
    </w:p>
    <w:bookmarkEnd w:id="0"/>
    <w:p>
      <w:pPr>
        <w:spacing w:before="156" w:beforeLines="50" w:after="156" w:afterLines="50" w:line="460" w:lineRule="exact"/>
        <w:jc w:val="left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案号：（20  ）湘01破    号</w:t>
      </w:r>
      <w:r>
        <w:rPr>
          <w:rFonts w:ascii="仿宋_GB2312" w:hAnsi="宋体" w:eastAsia="仿宋_GB2312"/>
          <w:b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b/>
          <w:sz w:val="28"/>
          <w:szCs w:val="28"/>
        </w:rPr>
        <w:t>承办人：                  管理人：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（填写案件管理人名称并加盖章）</w:t>
      </w:r>
    </w:p>
    <w:tbl>
      <w:tblPr>
        <w:tblStyle w:val="3"/>
        <w:tblW w:w="92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863"/>
        <w:gridCol w:w="1814"/>
        <w:gridCol w:w="1134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主要事项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具体内容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最高分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一、程序推进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严格依法开展破产工作，能够按照法律规定高效推进破产程序，完成案件涉及的各项工作。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二、接受监督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自觉接受人民法院和债权人会议、债权人委员会的监督，对于案件重大工作事项及时报告、请示。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三、资产清理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资产调查、管理、处置工作应准确到位，形成材料扎实，实现破产财产和重整价值最大化，有效提高债权清偿率。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四、成本管控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有效节约案件办理成本，能尽量减少不必要的破产费用开支。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五、法律适用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对案涉法律关系把握准确，能准确援引法律、参考判例对具体纠纷、问题作出正确处理。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六、个案创新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案件办理中有具有典型示范意义并可复制推广的创新性举措。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七、维护稳定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积极维护利害关系人权益，妥善应对群体性事件，化解社会矛盾，能正确行使诉讼权利，妥善处理重大、敏感的破产衍生诉讼案件。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八、职业道德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遵守法律、执业纪律或职业道德，合理支出破产费用，合理收取相关费用，无利用管理人身份为自己和他人谋取非法利益的情形。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九、案件效果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案件办理能实现债权人、债务人、投资人等各方主体利益共赢，取得良好的法律效果和社会效果。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十、投诉举报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能依法依规开展工作，注重工作方式方法，无债务人、债权人等利害关系人的不良投诉。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4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总得分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TViMTc1ODY1YzFhYmRhZWFmZDA2YTAyMzM3Y2IifQ=="/>
  </w:docVars>
  <w:rsids>
    <w:rsidRoot w:val="7F795797"/>
    <w:rsid w:val="7F79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2024-02-26T08:11:00Z</dcterms:created>
  <dc:creator>南北醉清秋</dc:creator>
  <cp:lastModifiedBy>南北醉清秋</cp:lastModifiedBy>
  <dcterms:modified xsi:type="dcterms:W3CDTF">2024-02-26T08:11:50Z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B0D5AF37C63E4DD1B1E5609629E417D1_11</vt:lpwstr>
  </property>
</Properties>
</file>