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color w:val="000000"/>
          <w:sz w:val="48"/>
          <w:lang w:eastAsia="zh-CN"/>
        </w:rPr>
      </w:pPr>
      <w:bookmarkStart w:id="5" w:name="_GoBack"/>
      <w:bookmarkEnd w:id="5"/>
      <w:r>
        <w:rPr>
          <w:rFonts w:ascii="方正小标宋简体" w:hAnsi="方正小标宋_GBK" w:eastAsia="方正小标宋简体" w:cs="方正小标宋_GBK"/>
          <w:color w:val="000000"/>
          <w:sz w:val="48"/>
          <w:lang w:eastAsia="zh-CN"/>
        </w:rPr>
        <w:t xml:space="preserve"> </w:t>
      </w:r>
    </w:p>
    <w:p>
      <w:pPr>
        <w:jc w:val="center"/>
        <w:rPr>
          <w:rFonts w:ascii="方正小标宋简体" w:hAnsi="方正小标宋_GBK" w:eastAsia="方正小标宋简体" w:cs="方正小标宋_GBK"/>
          <w:color w:val="000000"/>
          <w:sz w:val="48"/>
          <w:lang w:eastAsia="zh-CN"/>
        </w:rPr>
      </w:pPr>
      <w:r>
        <w:rPr>
          <w:rFonts w:ascii="方正小标宋简体" w:hAnsi="方正小标宋_GBK" w:eastAsia="方正小标宋简体" w:cs="方正小标宋_GBK"/>
          <w:color w:val="000000"/>
          <w:sz w:val="48"/>
          <w:lang w:eastAsia="zh-CN"/>
        </w:rPr>
        <w:t xml:space="preserve"> </w:t>
      </w:r>
    </w:p>
    <w:p>
      <w:pPr>
        <w:jc w:val="center"/>
        <w:rPr>
          <w:rFonts w:ascii="方正小标宋简体" w:hAnsi="方正小标宋_GBK" w:eastAsia="方正小标宋简体" w:cs="方正小标宋_GBK"/>
          <w:color w:val="000000"/>
          <w:sz w:val="48"/>
          <w:lang w:eastAsia="zh-CN"/>
        </w:rPr>
      </w:pPr>
      <w:r>
        <w:rPr>
          <w:rFonts w:ascii="方正小标宋简体" w:hAnsi="方正小标宋_GBK" w:eastAsia="方正小标宋简体" w:cs="方正小标宋_GBK"/>
          <w:color w:val="000000"/>
          <w:sz w:val="48"/>
          <w:lang w:eastAsia="zh-CN"/>
        </w:rPr>
        <w:t xml:space="preserve"> </w:t>
      </w:r>
    </w:p>
    <w:p>
      <w:pPr>
        <w:jc w:val="center"/>
        <w:rPr>
          <w:rFonts w:ascii="方正小标宋简体" w:hAnsi="方正小标宋_GBK" w:eastAsia="方正小标宋简体" w:cs="方正小标宋_GBK"/>
          <w:color w:val="000000"/>
          <w:sz w:val="48"/>
          <w:lang w:eastAsia="zh-CN"/>
        </w:rPr>
      </w:pPr>
      <w:r>
        <w:rPr>
          <w:rFonts w:ascii="方正小标宋简体" w:hAnsi="方正小标宋_GBK" w:eastAsia="方正小标宋简体" w:cs="方正小标宋_GBK"/>
          <w:color w:val="000000"/>
          <w:sz w:val="48"/>
          <w:lang w:eastAsia="zh-CN"/>
        </w:rPr>
        <w:t>天津市宝坻区人民法院</w:t>
      </w:r>
    </w:p>
    <w:p>
      <w:pPr>
        <w:jc w:val="center"/>
        <w:rPr>
          <w:rFonts w:ascii="方正小标宋简体" w:hAnsi="方正小标宋_GBK" w:eastAsia="方正小标宋简体" w:cs="方正小标宋_GBK"/>
          <w:color w:val="000000"/>
          <w:sz w:val="48"/>
          <w:lang w:eastAsia="zh-CN"/>
        </w:rPr>
      </w:pPr>
      <w:r>
        <w:rPr>
          <w:rFonts w:hint="eastAsia" w:ascii="方正小标宋简体" w:hAnsi="方正小标宋_GBK" w:eastAsia="方正小标宋简体" w:cs="方正小标宋_GBK"/>
          <w:color w:val="000000"/>
          <w:sz w:val="48"/>
          <w:lang w:eastAsia="zh-CN"/>
        </w:rPr>
        <w:t>项目支出绩效目标表</w:t>
      </w:r>
    </w:p>
    <w:p>
      <w:pPr>
        <w:jc w:val="center"/>
        <w:rPr>
          <w:rFonts w:hint="eastAsia" w:ascii="方正小标宋简体" w:eastAsia="方正小标宋简体"/>
          <w:sz w:val="22"/>
        </w:rPr>
      </w:pPr>
      <w:r>
        <w:rPr>
          <w:rFonts w:hint="eastAsia" w:ascii="方正小标宋简体" w:hAnsi="方正小标宋_GBK" w:eastAsia="方正小标宋简体" w:cs="方正小标宋_GBK"/>
          <w:color w:val="000000"/>
          <w:sz w:val="48"/>
          <w:lang w:eastAsia="zh-CN"/>
        </w:rPr>
        <w:t>（2024年</w:t>
      </w:r>
      <w:r>
        <w:rPr>
          <w:rFonts w:hint="eastAsia" w:ascii="方正小标宋简体" w:hAnsi="方正小标宋_GBK" w:eastAsia="方正小标宋简体" w:cs="方正小标宋_GBK"/>
          <w:color w:val="000000"/>
          <w:sz w:val="48"/>
          <w:lang w:val="uk-UA"/>
        </w:rPr>
        <w:t>）</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p>
    <w:p>
      <w:pPr>
        <w:jc w:val="center"/>
      </w:pPr>
      <w:r>
        <w:rPr>
          <w:rFonts w:ascii="方正小标宋_GBK" w:hAnsi="方正小标宋_GBK" w:eastAsia="方正小标宋_GBK" w:cs="方正小标宋_GBK"/>
          <w:sz w:val="30"/>
        </w:rPr>
        <w:t xml:space="preserve"> </w:t>
      </w:r>
    </w:p>
    <w:p>
      <w:pPr>
        <w:pStyle w:val="5"/>
        <w:tabs>
          <w:tab w:val="right" w:leader="dot" w:pos="928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r>
        <w:fldChar w:fldCharType="begin"/>
      </w:r>
      <w:r>
        <w:instrText xml:space="preserve"> HYPERLINK \l "_Toc157675400" </w:instrText>
      </w:r>
      <w:r>
        <w:fldChar w:fldCharType="separate"/>
      </w:r>
      <w:r>
        <w:rPr>
          <w:rStyle w:val="8"/>
          <w:rFonts w:ascii="方正仿宋_GBK" w:hAnsi="方正仿宋_GBK" w:eastAsia="方正仿宋_GBK" w:cs="方正仿宋_GBK"/>
        </w:rPr>
        <w:t>1.</w:t>
      </w:r>
      <w:r>
        <w:rPr>
          <w:rStyle w:val="8"/>
          <w:rFonts w:hint="eastAsia" w:ascii="方正仿宋_GBK" w:hAnsi="方正仿宋_GBK" w:eastAsia="方正仿宋_GBK" w:cs="方正仿宋_GBK"/>
        </w:rPr>
        <w:t>宝坻法院</w:t>
      </w:r>
      <w:r>
        <w:rPr>
          <w:rStyle w:val="8"/>
          <w:rFonts w:ascii="方正仿宋_GBK" w:hAnsi="方正仿宋_GBK" w:eastAsia="方正仿宋_GBK" w:cs="方正仿宋_GBK"/>
        </w:rPr>
        <w:t>2024</w:t>
      </w:r>
      <w:r>
        <w:rPr>
          <w:rStyle w:val="8"/>
          <w:rFonts w:hint="eastAsia" w:ascii="方正仿宋_GBK" w:hAnsi="方正仿宋_GBK" w:eastAsia="方正仿宋_GBK" w:cs="方正仿宋_GBK"/>
        </w:rPr>
        <w:t>年办案业务费绩效目标表</w:t>
      </w:r>
      <w:r>
        <w:rPr>
          <w:rStyle w:val="8"/>
          <w:rFonts w:hint="eastAsia" w:ascii="方正仿宋_GBK" w:hAnsi="方正仿宋_GBK" w:eastAsia="方正仿宋_GBK" w:cs="方正仿宋_GBK"/>
        </w:rPr>
        <w:fldChar w:fldCharType="end"/>
      </w:r>
    </w:p>
    <w:p>
      <w:pPr>
        <w:pStyle w:val="5"/>
        <w:tabs>
          <w:tab w:val="right" w:leader="dot" w:pos="9282"/>
        </w:tabs>
        <w:rPr>
          <w:rFonts w:asciiTheme="minorHAnsi" w:hAnsiTheme="minorHAnsi" w:eastAsiaTheme="minorEastAsia" w:cstheme="minorBidi"/>
          <w:kern w:val="2"/>
          <w:sz w:val="21"/>
          <w:szCs w:val="22"/>
          <w:lang w:eastAsia="zh-CN"/>
        </w:rPr>
      </w:pPr>
      <w:r>
        <w:fldChar w:fldCharType="begin"/>
      </w:r>
      <w:r>
        <w:instrText xml:space="preserve"> HYPERLINK \l "_Toc157675401" </w:instrText>
      </w:r>
      <w:r>
        <w:fldChar w:fldCharType="separate"/>
      </w:r>
      <w:r>
        <w:rPr>
          <w:rStyle w:val="8"/>
          <w:rFonts w:ascii="方正仿宋_GBK" w:hAnsi="方正仿宋_GBK" w:eastAsia="方正仿宋_GBK" w:cs="方正仿宋_GBK"/>
        </w:rPr>
        <w:t>2.</w:t>
      </w:r>
      <w:r>
        <w:rPr>
          <w:rStyle w:val="8"/>
          <w:rFonts w:hint="eastAsia" w:ascii="方正仿宋_GBK" w:hAnsi="方正仿宋_GBK" w:eastAsia="方正仿宋_GBK" w:cs="方正仿宋_GBK"/>
        </w:rPr>
        <w:t>法院办案业务、业务装备及审判辅助事务外包服务等经费</w:t>
      </w:r>
      <w:r>
        <w:rPr>
          <w:rStyle w:val="8"/>
          <w:rFonts w:ascii="方正仿宋_GBK" w:hAnsi="方正仿宋_GBK" w:eastAsia="方正仿宋_GBK" w:cs="方正仿宋_GBK"/>
        </w:rPr>
        <w:t>-2023</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leader="dot" w:pos="9282"/>
        </w:tabs>
        <w:rPr>
          <w:rFonts w:asciiTheme="minorHAnsi" w:hAnsiTheme="minorHAnsi" w:eastAsiaTheme="minorEastAsia" w:cstheme="minorBidi"/>
          <w:kern w:val="2"/>
          <w:sz w:val="21"/>
          <w:szCs w:val="22"/>
          <w:lang w:eastAsia="zh-CN"/>
        </w:rPr>
      </w:pPr>
      <w:r>
        <w:fldChar w:fldCharType="begin"/>
      </w:r>
      <w:r>
        <w:instrText xml:space="preserve"> HYPERLINK \l "_Toc157675402" </w:instrText>
      </w:r>
      <w:r>
        <w:fldChar w:fldCharType="separate"/>
      </w:r>
      <w:r>
        <w:rPr>
          <w:rStyle w:val="8"/>
          <w:rFonts w:ascii="方正仿宋_GBK" w:hAnsi="方正仿宋_GBK" w:eastAsia="方正仿宋_GBK" w:cs="方正仿宋_GBK"/>
        </w:rPr>
        <w:t>3.</w:t>
      </w:r>
      <w:r>
        <w:rPr>
          <w:rStyle w:val="8"/>
          <w:rFonts w:hint="eastAsia" w:ascii="方正仿宋_GBK" w:hAnsi="方正仿宋_GBK" w:eastAsia="方正仿宋_GBK" w:cs="方正仿宋_GBK"/>
        </w:rPr>
        <w:t>法院办案业务、业务装备及审判辅助事务外包服务等经费</w:t>
      </w:r>
      <w:r>
        <w:rPr>
          <w:rStyle w:val="8"/>
          <w:rFonts w:ascii="方正仿宋_GBK" w:hAnsi="方正仿宋_GBK" w:eastAsia="方正仿宋_GBK" w:cs="方正仿宋_GBK"/>
        </w:rPr>
        <w:t>-2024</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leader="dot" w:pos="9282"/>
        </w:tabs>
        <w:rPr>
          <w:rFonts w:asciiTheme="minorHAnsi" w:hAnsiTheme="minorHAnsi" w:eastAsiaTheme="minorEastAsia" w:cstheme="minorBidi"/>
          <w:kern w:val="2"/>
          <w:sz w:val="21"/>
          <w:szCs w:val="22"/>
          <w:lang w:eastAsia="zh-CN"/>
        </w:rPr>
      </w:pPr>
      <w:r>
        <w:fldChar w:fldCharType="begin"/>
      </w:r>
      <w:r>
        <w:instrText xml:space="preserve"> HYPERLINK \l "_Toc157675403" </w:instrText>
      </w:r>
      <w:r>
        <w:fldChar w:fldCharType="separate"/>
      </w:r>
      <w:r>
        <w:rPr>
          <w:rStyle w:val="8"/>
          <w:rFonts w:ascii="方正仿宋_GBK" w:hAnsi="方正仿宋_GBK" w:eastAsia="方正仿宋_GBK" w:cs="方正仿宋_GBK"/>
        </w:rPr>
        <w:t>4.</w:t>
      </w:r>
      <w:r>
        <w:rPr>
          <w:rStyle w:val="8"/>
          <w:rFonts w:hint="eastAsia" w:ascii="方正仿宋_GBK" w:hAnsi="方正仿宋_GBK" w:eastAsia="方正仿宋_GBK" w:cs="方正仿宋_GBK"/>
        </w:rPr>
        <w:t>市高院拨项目款</w:t>
      </w:r>
      <w:r>
        <w:rPr>
          <w:rStyle w:val="8"/>
          <w:rFonts w:ascii="方正仿宋_GBK" w:hAnsi="方正仿宋_GBK" w:eastAsia="方正仿宋_GBK" w:cs="方正仿宋_GBK"/>
        </w:rPr>
        <w:t>-2024</w:t>
      </w:r>
      <w:r>
        <w:rPr>
          <w:rStyle w:val="8"/>
          <w:rFonts w:hint="eastAsia" w:ascii="方正仿宋_GBK" w:hAnsi="方正仿宋_GBK" w:eastAsia="方正仿宋_GBK" w:cs="方正仿宋_GBK"/>
        </w:rPr>
        <w:t>非财拨绩效目标表</w:t>
      </w:r>
      <w:r>
        <w:rPr>
          <w:rStyle w:val="8"/>
          <w:rFonts w:hint="eastAsia" w:ascii="方正仿宋_GBK" w:hAnsi="方正仿宋_GBK" w:eastAsia="方正仿宋_GBK" w:cs="方正仿宋_GBK"/>
        </w:rPr>
        <w:fldChar w:fldCharType="end"/>
      </w:r>
    </w:p>
    <w:p>
      <w:pPr>
        <w:pStyle w:val="5"/>
        <w:tabs>
          <w:tab w:val="right" w:leader="dot" w:pos="9282"/>
        </w:tabs>
        <w:rPr>
          <w:rFonts w:asciiTheme="minorHAnsi" w:hAnsiTheme="minorHAnsi" w:eastAsiaTheme="minorEastAsia" w:cstheme="minorBidi"/>
          <w:kern w:val="2"/>
          <w:sz w:val="21"/>
          <w:szCs w:val="22"/>
          <w:lang w:eastAsia="zh-CN"/>
        </w:rPr>
      </w:pPr>
      <w:r>
        <w:fldChar w:fldCharType="begin"/>
      </w:r>
      <w:r>
        <w:instrText xml:space="preserve"> HYPERLINK \l "_Toc157675404" </w:instrText>
      </w:r>
      <w:r>
        <w:fldChar w:fldCharType="separate"/>
      </w:r>
      <w:r>
        <w:rPr>
          <w:rStyle w:val="8"/>
          <w:rFonts w:ascii="方正仿宋_GBK" w:hAnsi="方正仿宋_GBK" w:eastAsia="方正仿宋_GBK" w:cs="方正仿宋_GBK"/>
        </w:rPr>
        <w:t>5.</w:t>
      </w:r>
      <w:r>
        <w:rPr>
          <w:rStyle w:val="8"/>
          <w:rFonts w:hint="eastAsia" w:ascii="方正仿宋_GBK" w:hAnsi="方正仿宋_GBK" w:eastAsia="方正仿宋_GBK" w:cs="方正仿宋_GBK"/>
        </w:rPr>
        <w:t>司法救助</w:t>
      </w:r>
      <w:r>
        <w:rPr>
          <w:rStyle w:val="8"/>
          <w:rFonts w:ascii="方正仿宋_GBK" w:hAnsi="方正仿宋_GBK" w:eastAsia="方正仿宋_GBK" w:cs="方正仿宋_GBK"/>
        </w:rPr>
        <w:t>-2024</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sectPr>
          <w:footerReference r:id="rId3" w:type="default"/>
          <w:footerReference r:id="rId4" w:type="even"/>
          <w:pgSz w:w="11900" w:h="16840"/>
          <w:pgMar w:top="1984" w:right="1304" w:bottom="1134" w:left="1304" w:header="720" w:footer="720" w:gutter="0"/>
          <w:pgNumType w:start="1"/>
          <w:cols w:space="720" w:num="1"/>
          <w:docGrid w:linePitch="326" w:charSpace="0"/>
        </w:sectPr>
      </w:pPr>
      <w:r>
        <w:rPr>
          <w:rFonts w:eastAsia="方正仿宋_GBK"/>
          <w:color w:val="000000"/>
          <w:sz w:val="28"/>
        </w:rPr>
        <w:fldChar w:fldCharType="end"/>
      </w:r>
    </w:p>
    <w:p>
      <w:pPr>
        <w:jc w:val="center"/>
      </w:pPr>
    </w:p>
    <w:p>
      <w:pPr>
        <w:ind w:firstLine="560"/>
        <w:outlineLvl w:val="3"/>
      </w:pPr>
      <w:bookmarkStart w:id="0" w:name="_Toc157675400"/>
      <w:r>
        <w:rPr>
          <w:rFonts w:ascii="方正仿宋_GBK" w:hAnsi="方正仿宋_GBK" w:eastAsia="方正仿宋_GBK" w:cs="方正仿宋_GBK"/>
          <w:sz w:val="28"/>
        </w:rPr>
        <w:t>1.宝坻法院2024年办案业务费绩效目标表</w:t>
      </w:r>
      <w:bookmarkEnd w:id="0"/>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217101天津市宝坻区人民法院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宝坻法院2024年办案业务费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173.00</w:t>
            </w:r>
          </w:p>
        </w:tc>
        <w:tc>
          <w:tcPr>
            <w:tcW w:w="1587" w:type="dxa"/>
            <w:vAlign w:val="center"/>
          </w:tcPr>
          <w:p>
            <w:pPr>
              <w:pStyle w:val="17"/>
            </w:pPr>
            <w:r>
              <w:t>其中：财政    资金</w:t>
            </w:r>
          </w:p>
        </w:tc>
        <w:tc>
          <w:tcPr>
            <w:tcW w:w="1843" w:type="dxa"/>
            <w:vAlign w:val="center"/>
          </w:tcPr>
          <w:p>
            <w:pPr>
              <w:pStyle w:val="16"/>
            </w:pPr>
            <w:r>
              <w:t>173.00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主要用于邮寄送达和档案扫描外包服务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1.重点保障电子档案外包服务、法院专递外包服务等外包辅助工作</w:t>
            </w:r>
          </w:p>
          <w:p>
            <w:pPr>
              <w:pStyle w:val="16"/>
            </w:pPr>
            <w:r>
              <w:t>2.提高执法办案效率和水平</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支持法院办结案数量</w:t>
            </w:r>
          </w:p>
        </w:tc>
        <w:tc>
          <w:tcPr>
            <w:tcW w:w="3430" w:type="dxa"/>
            <w:vAlign w:val="center"/>
          </w:tcPr>
          <w:p>
            <w:pPr>
              <w:pStyle w:val="16"/>
            </w:pPr>
            <w:r>
              <w:t>支持法院办结案数量</w:t>
            </w:r>
          </w:p>
        </w:tc>
        <w:tc>
          <w:tcPr>
            <w:tcW w:w="2551" w:type="dxa"/>
            <w:vAlign w:val="center"/>
          </w:tcPr>
          <w:p>
            <w:pPr>
              <w:pStyle w:val="16"/>
            </w:pPr>
            <w:r>
              <w:t>≥22000件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全年档案扫描页数</w:t>
            </w:r>
          </w:p>
        </w:tc>
        <w:tc>
          <w:tcPr>
            <w:tcW w:w="3430" w:type="dxa"/>
            <w:vAlign w:val="center"/>
          </w:tcPr>
          <w:p>
            <w:pPr>
              <w:pStyle w:val="16"/>
            </w:pPr>
            <w:r>
              <w:t>全年档案扫描页数</w:t>
            </w:r>
          </w:p>
        </w:tc>
        <w:tc>
          <w:tcPr>
            <w:tcW w:w="2551" w:type="dxa"/>
            <w:vAlign w:val="center"/>
          </w:tcPr>
          <w:p>
            <w:pPr>
              <w:pStyle w:val="16"/>
            </w:pPr>
            <w:r>
              <w:t>≥250万页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法律文书送达及时率</w:t>
            </w:r>
          </w:p>
        </w:tc>
        <w:tc>
          <w:tcPr>
            <w:tcW w:w="3430" w:type="dxa"/>
            <w:vAlign w:val="center"/>
          </w:tcPr>
          <w:p>
            <w:pPr>
              <w:pStyle w:val="16"/>
            </w:pPr>
            <w:r>
              <w:t>法律文书送达及时率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一审案件审结率</w:t>
            </w:r>
          </w:p>
        </w:tc>
        <w:tc>
          <w:tcPr>
            <w:tcW w:w="3430" w:type="dxa"/>
            <w:vAlign w:val="center"/>
          </w:tcPr>
          <w:p>
            <w:pPr>
              <w:pStyle w:val="16"/>
            </w:pPr>
            <w:r>
              <w:t>一审案件审结率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拨款到位及时率</w:t>
            </w:r>
          </w:p>
        </w:tc>
        <w:tc>
          <w:tcPr>
            <w:tcW w:w="3430" w:type="dxa"/>
            <w:vAlign w:val="center"/>
          </w:tcPr>
          <w:p>
            <w:pPr>
              <w:pStyle w:val="16"/>
            </w:pPr>
            <w:r>
              <w:t>拨款到位及时率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用于审判辅助外包服务金额</w:t>
            </w:r>
          </w:p>
        </w:tc>
        <w:tc>
          <w:tcPr>
            <w:tcW w:w="3430" w:type="dxa"/>
            <w:vAlign w:val="center"/>
          </w:tcPr>
          <w:p>
            <w:pPr>
              <w:pStyle w:val="16"/>
            </w:pPr>
            <w:r>
              <w:t>用于审判辅助外包服务金额</w:t>
            </w:r>
          </w:p>
        </w:tc>
        <w:tc>
          <w:tcPr>
            <w:tcW w:w="2551" w:type="dxa"/>
            <w:vAlign w:val="center"/>
          </w:tcPr>
          <w:p>
            <w:pPr>
              <w:pStyle w:val="16"/>
            </w:pPr>
            <w:r>
              <w:t>≤173万元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加强对档案的管理，有效保护和利用档案</w:t>
            </w:r>
          </w:p>
        </w:tc>
        <w:tc>
          <w:tcPr>
            <w:tcW w:w="3430" w:type="dxa"/>
            <w:vAlign w:val="center"/>
          </w:tcPr>
          <w:p>
            <w:pPr>
              <w:pStyle w:val="16"/>
            </w:pPr>
            <w:r>
              <w:t>加强对档案的管理，有效保护和利用档案</w:t>
            </w:r>
          </w:p>
        </w:tc>
        <w:tc>
          <w:tcPr>
            <w:tcW w:w="2551" w:type="dxa"/>
            <w:vAlign w:val="center"/>
          </w:tcPr>
          <w:p>
            <w:pPr>
              <w:pStyle w:val="16"/>
            </w:pPr>
            <w:r>
              <w:t>保障了档案管理汇总工作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为审判工作持续提供辅助服务，提高审判效率，维护社会稳定</w:t>
            </w:r>
          </w:p>
        </w:tc>
        <w:tc>
          <w:tcPr>
            <w:tcW w:w="3430" w:type="dxa"/>
            <w:vAlign w:val="center"/>
          </w:tcPr>
          <w:p>
            <w:pPr>
              <w:pStyle w:val="16"/>
            </w:pPr>
            <w:r>
              <w:t>为审判工作持续提供辅助服务，提高审判效率，维护社会稳定</w:t>
            </w:r>
          </w:p>
        </w:tc>
        <w:tc>
          <w:tcPr>
            <w:tcW w:w="2551" w:type="dxa"/>
            <w:vAlign w:val="center"/>
          </w:tcPr>
          <w:p>
            <w:pPr>
              <w:pStyle w:val="16"/>
            </w:pPr>
            <w:r>
              <w:t>保障审判工作持续提供辅助服务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审判部门对业务保障需求满意度</w:t>
            </w:r>
          </w:p>
        </w:tc>
        <w:tc>
          <w:tcPr>
            <w:tcW w:w="3430" w:type="dxa"/>
            <w:vAlign w:val="center"/>
          </w:tcPr>
          <w:p>
            <w:pPr>
              <w:pStyle w:val="16"/>
            </w:pPr>
            <w:r>
              <w:t>审判部门对业务保障需求满意度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675401"/>
      <w:r>
        <w:rPr>
          <w:rFonts w:ascii="方正仿宋_GBK" w:hAnsi="方正仿宋_GBK" w:eastAsia="方正仿宋_GBK" w:cs="方正仿宋_GBK"/>
          <w:sz w:val="28"/>
        </w:rPr>
        <w:t>2.法院办案业务、业务装备及审判辅助事务外包服务等经费-2023中央绩效目标表</w:t>
      </w:r>
      <w:bookmarkEnd w:id="1"/>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217101天津市宝坻区人民法院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法院办案业务、业务装备及审判辅助事务外包服务等经费-2023中央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20.01</w:t>
            </w:r>
          </w:p>
        </w:tc>
        <w:tc>
          <w:tcPr>
            <w:tcW w:w="1587" w:type="dxa"/>
            <w:vAlign w:val="center"/>
          </w:tcPr>
          <w:p>
            <w:pPr>
              <w:pStyle w:val="17"/>
            </w:pPr>
            <w:r>
              <w:t>其中：财政    资金</w:t>
            </w:r>
          </w:p>
        </w:tc>
        <w:tc>
          <w:tcPr>
            <w:tcW w:w="1843" w:type="dxa"/>
            <w:vAlign w:val="center"/>
          </w:tcPr>
          <w:p>
            <w:pPr>
              <w:pStyle w:val="16"/>
            </w:pPr>
            <w:r>
              <w:t>20.01</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主要用于办案差旅费及办案专用设备购置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1.保障办案业务相关办案差旅费等办案业务经费及办案专用设备等办案业务装备经费，提高执法办案和业务装备经费保障水平</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支持法院办结案数量</w:t>
            </w:r>
          </w:p>
        </w:tc>
        <w:tc>
          <w:tcPr>
            <w:tcW w:w="3430" w:type="dxa"/>
            <w:vAlign w:val="center"/>
          </w:tcPr>
          <w:p>
            <w:pPr>
              <w:pStyle w:val="16"/>
            </w:pPr>
            <w:r>
              <w:t>支持法院办结案数量</w:t>
            </w:r>
          </w:p>
        </w:tc>
        <w:tc>
          <w:tcPr>
            <w:tcW w:w="2551" w:type="dxa"/>
            <w:vAlign w:val="center"/>
          </w:tcPr>
          <w:p>
            <w:pPr>
              <w:pStyle w:val="16"/>
            </w:pPr>
            <w:r>
              <w:t>≥22000件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专用设备购买数量</w:t>
            </w:r>
          </w:p>
        </w:tc>
        <w:tc>
          <w:tcPr>
            <w:tcW w:w="3430" w:type="dxa"/>
            <w:vAlign w:val="center"/>
          </w:tcPr>
          <w:p>
            <w:pPr>
              <w:pStyle w:val="16"/>
            </w:pPr>
            <w:r>
              <w:t>专用设备购买数量</w:t>
            </w:r>
          </w:p>
        </w:tc>
        <w:tc>
          <w:tcPr>
            <w:tcW w:w="2551" w:type="dxa"/>
            <w:vAlign w:val="center"/>
          </w:tcPr>
          <w:p>
            <w:pPr>
              <w:pStyle w:val="16"/>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专用设备验收合格率</w:t>
            </w:r>
          </w:p>
        </w:tc>
        <w:tc>
          <w:tcPr>
            <w:tcW w:w="3430" w:type="dxa"/>
            <w:vAlign w:val="center"/>
          </w:tcPr>
          <w:p>
            <w:pPr>
              <w:pStyle w:val="16"/>
            </w:pPr>
            <w:r>
              <w:t>专用设备验收合格率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专用设备更新及时率</w:t>
            </w:r>
          </w:p>
        </w:tc>
        <w:tc>
          <w:tcPr>
            <w:tcW w:w="3430" w:type="dxa"/>
            <w:vAlign w:val="center"/>
          </w:tcPr>
          <w:p>
            <w:pPr>
              <w:pStyle w:val="16"/>
            </w:pPr>
            <w:r>
              <w:t>专用设备更新及时率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专用设备购置总成本</w:t>
            </w:r>
          </w:p>
        </w:tc>
        <w:tc>
          <w:tcPr>
            <w:tcW w:w="3430" w:type="dxa"/>
            <w:vAlign w:val="center"/>
          </w:tcPr>
          <w:p>
            <w:pPr>
              <w:pStyle w:val="16"/>
            </w:pPr>
            <w:r>
              <w:t>专用设备购置总成本</w:t>
            </w:r>
          </w:p>
        </w:tc>
        <w:tc>
          <w:tcPr>
            <w:tcW w:w="2551" w:type="dxa"/>
            <w:vAlign w:val="center"/>
          </w:tcPr>
          <w:p>
            <w:pPr>
              <w:pStyle w:val="16"/>
            </w:pPr>
            <w:r>
              <w:t>≤19.87万元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保障法院办案和业务装备经费保障水平</w:t>
            </w:r>
          </w:p>
        </w:tc>
        <w:tc>
          <w:tcPr>
            <w:tcW w:w="3430" w:type="dxa"/>
            <w:vAlign w:val="center"/>
          </w:tcPr>
          <w:p>
            <w:pPr>
              <w:pStyle w:val="16"/>
            </w:pPr>
            <w:r>
              <w:t>保障法院办案和业务装备保障水平</w:t>
            </w:r>
          </w:p>
        </w:tc>
        <w:tc>
          <w:tcPr>
            <w:tcW w:w="2551" w:type="dxa"/>
            <w:vAlign w:val="center"/>
          </w:tcPr>
          <w:p>
            <w:pPr>
              <w:pStyle w:val="16"/>
            </w:pPr>
            <w:r>
              <w:t>保障办案经费及业务装备经费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为审判工作提供辅助服务，提高审判效率，维护社会稳定</w:t>
            </w:r>
          </w:p>
        </w:tc>
        <w:tc>
          <w:tcPr>
            <w:tcW w:w="3430" w:type="dxa"/>
            <w:vAlign w:val="center"/>
          </w:tcPr>
          <w:p>
            <w:pPr>
              <w:pStyle w:val="16"/>
            </w:pPr>
            <w:r>
              <w:t>为审判工作持续提供辅助服务，提高审判效率，维护社会稳定</w:t>
            </w:r>
          </w:p>
        </w:tc>
        <w:tc>
          <w:tcPr>
            <w:tcW w:w="2551" w:type="dxa"/>
            <w:vAlign w:val="center"/>
          </w:tcPr>
          <w:p>
            <w:pPr>
              <w:pStyle w:val="16"/>
            </w:pPr>
            <w:r>
              <w:t>保障审判工作高效进行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审判部门对业务保障需求满意度</w:t>
            </w:r>
          </w:p>
        </w:tc>
        <w:tc>
          <w:tcPr>
            <w:tcW w:w="3430" w:type="dxa"/>
            <w:vAlign w:val="center"/>
          </w:tcPr>
          <w:p>
            <w:pPr>
              <w:pStyle w:val="16"/>
            </w:pPr>
            <w:r>
              <w:t>审判部门对业务保障需求满意度</w:t>
            </w:r>
          </w:p>
        </w:tc>
        <w:tc>
          <w:tcPr>
            <w:tcW w:w="2551" w:type="dxa"/>
            <w:vAlign w:val="center"/>
          </w:tcPr>
          <w:p>
            <w:pPr>
              <w:pStyle w:val="16"/>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675402"/>
      <w:r>
        <w:rPr>
          <w:rFonts w:ascii="方正仿宋_GBK" w:hAnsi="方正仿宋_GBK" w:eastAsia="方正仿宋_GBK" w:cs="方正仿宋_GBK"/>
          <w:sz w:val="28"/>
        </w:rPr>
        <w:t>3.法院办案业务、业务装备及审判辅助事务外包服务等经费-2024中央绩效目标表</w:t>
      </w:r>
      <w:bookmarkEnd w:id="2"/>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217101天津市宝坻区人民法院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法院办案业务、业务装备及审判辅助事务外包服务等经费-2024中央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240.00</w:t>
            </w:r>
          </w:p>
        </w:tc>
        <w:tc>
          <w:tcPr>
            <w:tcW w:w="1587" w:type="dxa"/>
            <w:vAlign w:val="center"/>
          </w:tcPr>
          <w:p>
            <w:pPr>
              <w:pStyle w:val="17"/>
            </w:pPr>
            <w:r>
              <w:t>其中：财政    资金</w:t>
            </w:r>
          </w:p>
        </w:tc>
        <w:tc>
          <w:tcPr>
            <w:tcW w:w="1843" w:type="dxa"/>
            <w:vAlign w:val="center"/>
          </w:tcPr>
          <w:p>
            <w:pPr>
              <w:pStyle w:val="16"/>
            </w:pPr>
            <w:r>
              <w:t>240.00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主要用于法院专递外包服务、司法公开相关信息的收集汇总、发布、技术服务费等外包辅助工作以及办案业务相关陪审员劳务费、差旅费、印刷费、租车费等办案业务经费以及办案业务装备的购置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1.重点保障法院专递外包服务、司法公开相关信息的收集汇总、发布等外包辅助工作</w:t>
            </w:r>
          </w:p>
          <w:p>
            <w:pPr>
              <w:pStyle w:val="16"/>
            </w:pPr>
            <w:r>
              <w:t>2.保障司法信息化各项系统技术服务费，为执法办案信息化工作提供技术支撑</w:t>
            </w:r>
          </w:p>
          <w:p>
            <w:pPr>
              <w:pStyle w:val="16"/>
            </w:pPr>
            <w:r>
              <w:t>3.保障办案业务相关陪审员劳务费、差旅费、印刷费、租车费等办案业务经费，提高执法办案和业务装备经费保障水平</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支持法院办结案数量</w:t>
            </w:r>
          </w:p>
        </w:tc>
        <w:tc>
          <w:tcPr>
            <w:tcW w:w="3430" w:type="dxa"/>
            <w:vAlign w:val="center"/>
          </w:tcPr>
          <w:p>
            <w:pPr>
              <w:pStyle w:val="16"/>
            </w:pPr>
            <w:r>
              <w:t>支持法院办结案数量</w:t>
            </w:r>
          </w:p>
        </w:tc>
        <w:tc>
          <w:tcPr>
            <w:tcW w:w="2551" w:type="dxa"/>
            <w:vAlign w:val="center"/>
          </w:tcPr>
          <w:p>
            <w:pPr>
              <w:pStyle w:val="16"/>
            </w:pPr>
            <w:r>
              <w:t>≥22000件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支持审判用科技法庭数量</w:t>
            </w:r>
          </w:p>
        </w:tc>
        <w:tc>
          <w:tcPr>
            <w:tcW w:w="3430" w:type="dxa"/>
            <w:vAlign w:val="center"/>
          </w:tcPr>
          <w:p>
            <w:pPr>
              <w:pStyle w:val="16"/>
            </w:pPr>
            <w:r>
              <w:t>支持审判用科技法庭数量</w:t>
            </w:r>
          </w:p>
        </w:tc>
        <w:tc>
          <w:tcPr>
            <w:tcW w:w="2551" w:type="dxa"/>
            <w:vAlign w:val="center"/>
          </w:tcPr>
          <w:p>
            <w:pPr>
              <w:pStyle w:val="16"/>
            </w:pPr>
            <w:r>
              <w:t>≥25个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法律文书送达及时率</w:t>
            </w:r>
          </w:p>
        </w:tc>
        <w:tc>
          <w:tcPr>
            <w:tcW w:w="3430" w:type="dxa"/>
            <w:vAlign w:val="center"/>
          </w:tcPr>
          <w:p>
            <w:pPr>
              <w:pStyle w:val="16"/>
            </w:pPr>
            <w:r>
              <w:t>法律文书送达及时率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一审案件审结率</w:t>
            </w:r>
          </w:p>
        </w:tc>
        <w:tc>
          <w:tcPr>
            <w:tcW w:w="3430" w:type="dxa"/>
            <w:vAlign w:val="center"/>
          </w:tcPr>
          <w:p>
            <w:pPr>
              <w:pStyle w:val="16"/>
            </w:pPr>
            <w:r>
              <w:t>一审案件审结率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拨款到位及时率</w:t>
            </w:r>
          </w:p>
        </w:tc>
        <w:tc>
          <w:tcPr>
            <w:tcW w:w="3430" w:type="dxa"/>
            <w:vAlign w:val="center"/>
          </w:tcPr>
          <w:p>
            <w:pPr>
              <w:pStyle w:val="16"/>
            </w:pPr>
            <w:r>
              <w:t>拨款到位及时率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外包服务、业务费及业务装备购置成本</w:t>
            </w:r>
          </w:p>
        </w:tc>
        <w:tc>
          <w:tcPr>
            <w:tcW w:w="3430" w:type="dxa"/>
            <w:vAlign w:val="center"/>
          </w:tcPr>
          <w:p>
            <w:pPr>
              <w:pStyle w:val="16"/>
            </w:pPr>
            <w:r>
              <w:t>外包服务、业务费及业务装备购置成本</w:t>
            </w:r>
          </w:p>
        </w:tc>
        <w:tc>
          <w:tcPr>
            <w:tcW w:w="2551" w:type="dxa"/>
            <w:vAlign w:val="center"/>
          </w:tcPr>
          <w:p>
            <w:pPr>
              <w:pStyle w:val="16"/>
            </w:pPr>
            <w:r>
              <w:t>≤240万元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保障法院办案和业务装备保障水平</w:t>
            </w:r>
          </w:p>
        </w:tc>
        <w:tc>
          <w:tcPr>
            <w:tcW w:w="3430" w:type="dxa"/>
            <w:vAlign w:val="center"/>
          </w:tcPr>
          <w:p>
            <w:pPr>
              <w:pStyle w:val="16"/>
            </w:pPr>
            <w:r>
              <w:t>保障法院办案和业务装备保障水平</w:t>
            </w:r>
          </w:p>
        </w:tc>
        <w:tc>
          <w:tcPr>
            <w:tcW w:w="2551" w:type="dxa"/>
            <w:vAlign w:val="center"/>
          </w:tcPr>
          <w:p>
            <w:pPr>
              <w:pStyle w:val="16"/>
            </w:pPr>
            <w:r>
              <w:t>保障审判工作持续提供辅助服务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为审判工作持续提供辅助服务，提高审判效率，维护社会稳定</w:t>
            </w:r>
          </w:p>
        </w:tc>
        <w:tc>
          <w:tcPr>
            <w:tcW w:w="3430" w:type="dxa"/>
            <w:vAlign w:val="center"/>
          </w:tcPr>
          <w:p>
            <w:pPr>
              <w:pStyle w:val="16"/>
            </w:pPr>
            <w:r>
              <w:t>为审判工作持续提供辅助服务，提高审判效率，维护社会稳定</w:t>
            </w:r>
          </w:p>
        </w:tc>
        <w:tc>
          <w:tcPr>
            <w:tcW w:w="2551" w:type="dxa"/>
            <w:vAlign w:val="center"/>
          </w:tcPr>
          <w:p>
            <w:pPr>
              <w:pStyle w:val="16"/>
            </w:pPr>
            <w:r>
              <w:t>保障法院办案水平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社会公众满意度</w:t>
            </w:r>
          </w:p>
        </w:tc>
        <w:tc>
          <w:tcPr>
            <w:tcW w:w="3430" w:type="dxa"/>
            <w:vAlign w:val="center"/>
          </w:tcPr>
          <w:p>
            <w:pPr>
              <w:pStyle w:val="16"/>
            </w:pPr>
            <w:r>
              <w:t>社会公众满意度</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审判部门对业务保障需求满意度</w:t>
            </w:r>
          </w:p>
        </w:tc>
        <w:tc>
          <w:tcPr>
            <w:tcW w:w="3430" w:type="dxa"/>
            <w:vAlign w:val="center"/>
          </w:tcPr>
          <w:p>
            <w:pPr>
              <w:pStyle w:val="16"/>
            </w:pPr>
            <w:r>
              <w:t>审判部门对业务保障需求满意度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675403"/>
      <w:r>
        <w:rPr>
          <w:rFonts w:ascii="方正仿宋_GBK" w:hAnsi="方正仿宋_GBK" w:eastAsia="方正仿宋_GBK" w:cs="方正仿宋_GBK"/>
          <w:sz w:val="28"/>
        </w:rPr>
        <w:t>4.市高院拨项目款-2024非财拨绩效目标表</w:t>
      </w:r>
      <w:bookmarkEnd w:id="3"/>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217101天津市宝坻区人民法院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市高院拨项目款-2024非财拨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1.50</w:t>
            </w:r>
          </w:p>
        </w:tc>
        <w:tc>
          <w:tcPr>
            <w:tcW w:w="1587" w:type="dxa"/>
            <w:vAlign w:val="center"/>
          </w:tcPr>
          <w:p>
            <w:pPr>
              <w:pStyle w:val="17"/>
            </w:pPr>
            <w:r>
              <w:t>其中：财政    资金</w:t>
            </w:r>
          </w:p>
        </w:tc>
        <w:tc>
          <w:tcPr>
            <w:tcW w:w="1843" w:type="dxa"/>
            <w:vAlign w:val="center"/>
          </w:tcPr>
          <w:p>
            <w:pPr>
              <w:pStyle w:val="16"/>
            </w:pPr>
            <w:r>
              <w:t xml:space="preserve"> </w:t>
            </w:r>
          </w:p>
        </w:tc>
        <w:tc>
          <w:tcPr>
            <w:tcW w:w="1276" w:type="dxa"/>
            <w:vAlign w:val="center"/>
          </w:tcPr>
          <w:p>
            <w:pPr>
              <w:pStyle w:val="17"/>
            </w:pPr>
            <w:r>
              <w:t>其他资金</w:t>
            </w:r>
          </w:p>
        </w:tc>
        <w:tc>
          <w:tcPr>
            <w:tcW w:w="1276" w:type="dxa"/>
            <w:vAlign w:val="center"/>
          </w:tcPr>
          <w:p>
            <w:pPr>
              <w:pStyle w:val="16"/>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主要用于高院拨课题费及优秀人员奖励金。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1.保障法院课题经费，确保研究课题顺利开展</w:t>
            </w:r>
          </w:p>
          <w:p>
            <w:pPr>
              <w:pStyle w:val="16"/>
            </w:pPr>
            <w:r>
              <w:t>2.保障年度优秀人员奖励金的发放</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课题研究数量</w:t>
            </w:r>
          </w:p>
        </w:tc>
        <w:tc>
          <w:tcPr>
            <w:tcW w:w="3430" w:type="dxa"/>
            <w:vAlign w:val="center"/>
          </w:tcPr>
          <w:p>
            <w:pPr>
              <w:pStyle w:val="16"/>
            </w:pPr>
            <w:r>
              <w:t>课题研究数量</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发放优秀人员数量</w:t>
            </w:r>
          </w:p>
        </w:tc>
        <w:tc>
          <w:tcPr>
            <w:tcW w:w="3430" w:type="dxa"/>
            <w:vAlign w:val="center"/>
          </w:tcPr>
          <w:p>
            <w:pPr>
              <w:pStyle w:val="16"/>
            </w:pPr>
            <w:r>
              <w:t>发放优秀人员数量</w:t>
            </w:r>
          </w:p>
        </w:tc>
        <w:tc>
          <w:tcPr>
            <w:tcW w:w="2551" w:type="dxa"/>
            <w:vAlign w:val="center"/>
          </w:tcPr>
          <w:p>
            <w:pPr>
              <w:pStyle w:val="16"/>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 xml:space="preserve">课题研究完成率 </w:t>
            </w:r>
          </w:p>
        </w:tc>
        <w:tc>
          <w:tcPr>
            <w:tcW w:w="3430" w:type="dxa"/>
            <w:vAlign w:val="center"/>
          </w:tcPr>
          <w:p>
            <w:pPr>
              <w:pStyle w:val="16"/>
            </w:pPr>
            <w:r>
              <w:t>课题研究完成率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优秀人员奖励金发放及时率</w:t>
            </w:r>
          </w:p>
        </w:tc>
        <w:tc>
          <w:tcPr>
            <w:tcW w:w="3430" w:type="dxa"/>
            <w:vAlign w:val="center"/>
          </w:tcPr>
          <w:p>
            <w:pPr>
              <w:pStyle w:val="16"/>
            </w:pPr>
            <w:r>
              <w:t>优秀人员奖励金发放及时率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课题研究成本</w:t>
            </w:r>
          </w:p>
        </w:tc>
        <w:tc>
          <w:tcPr>
            <w:tcW w:w="3430" w:type="dxa"/>
            <w:vAlign w:val="center"/>
          </w:tcPr>
          <w:p>
            <w:pPr>
              <w:pStyle w:val="16"/>
            </w:pPr>
            <w:r>
              <w:t>课题研究成本</w:t>
            </w:r>
          </w:p>
        </w:tc>
        <w:tc>
          <w:tcPr>
            <w:tcW w:w="2551" w:type="dxa"/>
            <w:vAlign w:val="center"/>
          </w:tcPr>
          <w:p>
            <w:pPr>
              <w:pStyle w:val="16"/>
            </w:pPr>
            <w: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保障课题研究顺利开展</w:t>
            </w:r>
          </w:p>
        </w:tc>
        <w:tc>
          <w:tcPr>
            <w:tcW w:w="3430" w:type="dxa"/>
            <w:vAlign w:val="center"/>
          </w:tcPr>
          <w:p>
            <w:pPr>
              <w:pStyle w:val="16"/>
            </w:pPr>
            <w:r>
              <w:t>保障课题研究顺利开展</w:t>
            </w:r>
          </w:p>
        </w:tc>
        <w:tc>
          <w:tcPr>
            <w:tcW w:w="2551" w:type="dxa"/>
            <w:vAlign w:val="center"/>
          </w:tcPr>
          <w:p>
            <w:pPr>
              <w:pStyle w:val="16"/>
            </w:pPr>
            <w:r>
              <w:t>保障法院课题研究顺利完成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开展课题研究人员满意度</w:t>
            </w:r>
          </w:p>
        </w:tc>
        <w:tc>
          <w:tcPr>
            <w:tcW w:w="3430" w:type="dxa"/>
            <w:vAlign w:val="center"/>
          </w:tcPr>
          <w:p>
            <w:pPr>
              <w:pStyle w:val="16"/>
            </w:pPr>
            <w:r>
              <w:t>开展课题研究人员满意度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675404"/>
      <w:r>
        <w:rPr>
          <w:rFonts w:ascii="方正仿宋_GBK" w:hAnsi="方正仿宋_GBK" w:eastAsia="方正仿宋_GBK" w:cs="方正仿宋_GBK"/>
          <w:sz w:val="28"/>
        </w:rPr>
        <w:t>5.司法救助-2024中央绩效目标表</w:t>
      </w:r>
      <w:bookmarkEnd w:id="4"/>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217101天津市宝坻区人民法院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司法救助-2024中央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27.00</w:t>
            </w:r>
          </w:p>
        </w:tc>
        <w:tc>
          <w:tcPr>
            <w:tcW w:w="1587" w:type="dxa"/>
            <w:vAlign w:val="center"/>
          </w:tcPr>
          <w:p>
            <w:pPr>
              <w:pStyle w:val="17"/>
            </w:pPr>
            <w:r>
              <w:t>其中：财政    资金</w:t>
            </w:r>
          </w:p>
        </w:tc>
        <w:tc>
          <w:tcPr>
            <w:tcW w:w="1843" w:type="dxa"/>
            <w:vAlign w:val="center"/>
          </w:tcPr>
          <w:p>
            <w:pPr>
              <w:pStyle w:val="16"/>
            </w:pPr>
            <w:r>
              <w:t>27.00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用于救助在审判执行过程中急需救助的当事人，帮助当事人解决生活困难，减轻信访压力，维护社会稳定。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1.保障司法救助案件经费支出，救助在审判执行过程中急需救助的当事人，帮助当事人解决生活困难，减轻信访压力，维护社会稳定。</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司法救助人数</w:t>
            </w:r>
          </w:p>
        </w:tc>
        <w:tc>
          <w:tcPr>
            <w:tcW w:w="3430" w:type="dxa"/>
            <w:vAlign w:val="center"/>
          </w:tcPr>
          <w:p>
            <w:pPr>
              <w:pStyle w:val="16"/>
            </w:pPr>
            <w:r>
              <w:t>司法救助人数</w:t>
            </w:r>
          </w:p>
        </w:tc>
        <w:tc>
          <w:tcPr>
            <w:tcW w:w="2551" w:type="dxa"/>
            <w:vAlign w:val="center"/>
          </w:tcPr>
          <w:p>
            <w:pPr>
              <w:pStyle w:val="16"/>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救助金额合规率</w:t>
            </w:r>
          </w:p>
        </w:tc>
        <w:tc>
          <w:tcPr>
            <w:tcW w:w="3430" w:type="dxa"/>
            <w:vAlign w:val="center"/>
          </w:tcPr>
          <w:p>
            <w:pPr>
              <w:pStyle w:val="16"/>
            </w:pPr>
            <w:r>
              <w:t>救助金额合规率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救助经费支出合规率</w:t>
            </w:r>
          </w:p>
        </w:tc>
        <w:tc>
          <w:tcPr>
            <w:tcW w:w="3430" w:type="dxa"/>
            <w:vAlign w:val="center"/>
          </w:tcPr>
          <w:p>
            <w:pPr>
              <w:pStyle w:val="16"/>
            </w:pPr>
            <w:r>
              <w:t>救助经费支出合规率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救助金发放及时率</w:t>
            </w:r>
          </w:p>
        </w:tc>
        <w:tc>
          <w:tcPr>
            <w:tcW w:w="3430" w:type="dxa"/>
            <w:vAlign w:val="center"/>
          </w:tcPr>
          <w:p>
            <w:pPr>
              <w:pStyle w:val="16"/>
            </w:pPr>
            <w:r>
              <w:t>救助金发放及时率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发放救助金金额</w:t>
            </w:r>
          </w:p>
        </w:tc>
        <w:tc>
          <w:tcPr>
            <w:tcW w:w="3430" w:type="dxa"/>
            <w:vAlign w:val="center"/>
          </w:tcPr>
          <w:p>
            <w:pPr>
              <w:pStyle w:val="16"/>
            </w:pPr>
            <w:r>
              <w:t>发放救助金金额</w:t>
            </w:r>
          </w:p>
        </w:tc>
        <w:tc>
          <w:tcPr>
            <w:tcW w:w="2551" w:type="dxa"/>
            <w:vAlign w:val="center"/>
          </w:tcPr>
          <w:p>
            <w:pPr>
              <w:pStyle w:val="16"/>
            </w:pPr>
            <w:r>
              <w:t>≤27万元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改善救助对象生活</w:t>
            </w:r>
          </w:p>
        </w:tc>
        <w:tc>
          <w:tcPr>
            <w:tcW w:w="3430" w:type="dxa"/>
            <w:vAlign w:val="center"/>
          </w:tcPr>
          <w:p>
            <w:pPr>
              <w:pStyle w:val="16"/>
            </w:pPr>
            <w:r>
              <w:t>改善救助对象生活</w:t>
            </w:r>
          </w:p>
        </w:tc>
        <w:tc>
          <w:tcPr>
            <w:tcW w:w="2551" w:type="dxa"/>
            <w:vAlign w:val="center"/>
          </w:tcPr>
          <w:p>
            <w:pPr>
              <w:pStyle w:val="16"/>
            </w:pPr>
            <w:r>
              <w:t>缓解生活困难，保障日常生活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救助对象满意度</w:t>
            </w:r>
          </w:p>
        </w:tc>
        <w:tc>
          <w:tcPr>
            <w:tcW w:w="3430" w:type="dxa"/>
            <w:vAlign w:val="center"/>
          </w:tcPr>
          <w:p>
            <w:pPr>
              <w:pStyle w:val="16"/>
            </w:pPr>
            <w:r>
              <w:t>救助对象满意度</w:t>
            </w:r>
          </w:p>
        </w:tc>
        <w:tc>
          <w:tcPr>
            <w:tcW w:w="2551" w:type="dxa"/>
            <w:vAlign w:val="center"/>
          </w:tcPr>
          <w:p>
            <w:pPr>
              <w:pStyle w:val="16"/>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仿宋_GBK">
    <w:panose1 w:val="03000509000000000000"/>
    <w:charset w:val="86"/>
    <w:family w:val="roman"/>
    <w:pitch w:val="default"/>
    <w:sig w:usb0="00000001" w:usb1="080E0000" w:usb2="00000000" w:usb3="00000000" w:csb0="00040000" w:csb1="00000000"/>
  </w:font>
  <w:font w:name="方正书宋_GBK">
    <w:altName w:val="Arial Unicode MS"/>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B9"/>
    <w:rsid w:val="007358B9"/>
    <w:rsid w:val="00906BD8"/>
    <w:rsid w:val="00BB4DD4"/>
    <w:rsid w:val="0E58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20"/>
    <w:unhideWhenUsed/>
    <w:uiPriority w:val="99"/>
    <w:pPr>
      <w:tabs>
        <w:tab w:val="center" w:pos="4153"/>
        <w:tab w:val="right" w:pos="8306"/>
      </w:tabs>
      <w:snapToGrid w:val="0"/>
    </w:pPr>
    <w:rPr>
      <w:sz w:val="18"/>
      <w:szCs w:val="18"/>
    </w:rPr>
  </w:style>
  <w:style w:type="paragraph" w:styleId="3">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39"/>
    <w:pPr>
      <w:ind w:left="720"/>
    </w:pPr>
  </w:style>
  <w:style w:type="paragraph" w:styleId="6">
    <w:name w:val="toc 2"/>
    <w:basedOn w:val="1"/>
    <w:next w:val="1"/>
    <w:qFormat/>
    <w:uiPriority w:val="0"/>
    <w:pPr>
      <w:ind w:left="240"/>
    </w:pPr>
  </w:style>
  <w:style w:type="character" w:styleId="8">
    <w:name w:val="Hyperlink"/>
    <w:basedOn w:val="7"/>
    <w:unhideWhenUsed/>
    <w:uiPriority w:val="99"/>
    <w:rPr>
      <w:color w:val="0563C1" w:themeColor="hyperlink"/>
      <w:u w:val="single"/>
      <w14:textFill>
        <w14:solidFill>
          <w14:schemeClr w14:val="hlink"/>
        </w14:solidFill>
      </w14:textFill>
    </w:rPr>
  </w:style>
  <w:style w:type="table" w:styleId="10">
    <w:name w:val="Table Grid"/>
    <w:basedOn w:val="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插入文本样式-插入总体目标文件"/>
    <w:basedOn w:val="1"/>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character" w:customStyle="1" w:styleId="19">
    <w:name w:val="页眉 Char"/>
    <w:basedOn w:val="7"/>
    <w:link w:val="3"/>
    <w:uiPriority w:val="99"/>
    <w:rPr>
      <w:rFonts w:eastAsia="Times New Roman"/>
      <w:sz w:val="18"/>
      <w:szCs w:val="18"/>
      <w:lang w:eastAsia="uk-UA"/>
    </w:rPr>
  </w:style>
  <w:style w:type="character" w:customStyle="1" w:styleId="20">
    <w:name w:val="页脚 Char"/>
    <w:basedOn w:val="7"/>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2024-01-31T18:04:40Z</dcterms:created>
  <dcterms:modified xsi:type="dcterms:W3CDTF">2024-01-31T10:04:40Z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2024-01-31T18:04:40Z</dcterms:created>
  <dcterms:modified xsi:type="dcterms:W3CDTF">2024-01-31T10:04:40Z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2024-01-31T18:04:39Z</dcterms:created>
  <dcterms:modified xsi:type="dcterms:W3CDTF">2024-01-31T10:04:39Z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2024-01-31T18:04:40Z</dcterms:created>
  <dcterms:modified xsi:type="dcterms:W3CDTF">2024-01-31T10:04:40Z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2024-01-31T18:04:39Z</dcterms:created>
  <dcterms:modified xsi:type="dcterms:W3CDTF">2024-01-31T10:04:39Z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2024-01-31T18:04:39Z</dcterms:created>
  <dcterms:modified xsi:type="dcterms:W3CDTF">2024-01-31T10:04:39Z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2024-01-31T18:04:39Z</dcterms:created>
  <dcterms:modified xsi:type="dcterms:W3CDTF">2024-01-31T10:04:39Z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1518E77-2AD6-481C-8247-378D0297B848}">
  <ds:schemaRefs/>
</ds:datastoreItem>
</file>

<file path=customXml/itemProps11.xml><?xml version="1.0" encoding="utf-8"?>
<ds:datastoreItem xmlns:ds="http://schemas.openxmlformats.org/officeDocument/2006/customXml" ds:itemID="{ABDCE80D-DB77-48EE-996A-A9430A2FE90A}">
  <ds:schemaRefs/>
</ds:datastoreItem>
</file>

<file path=customXml/itemProps12.xml><?xml version="1.0" encoding="utf-8"?>
<ds:datastoreItem xmlns:ds="http://schemas.openxmlformats.org/officeDocument/2006/customXml" ds:itemID="{369BB59B-1522-4F93-A8A8-DFC383F4B792}">
  <ds:schemaRefs/>
</ds:datastoreItem>
</file>

<file path=customXml/itemProps13.xml><?xml version="1.0" encoding="utf-8"?>
<ds:datastoreItem xmlns:ds="http://schemas.openxmlformats.org/officeDocument/2006/customXml" ds:itemID="{327CD415-DE5D-4363-A0D4-3AC3331B8725}">
  <ds:schemaRefs/>
</ds:datastoreItem>
</file>

<file path=customXml/itemProps14.xml><?xml version="1.0" encoding="utf-8"?>
<ds:datastoreItem xmlns:ds="http://schemas.openxmlformats.org/officeDocument/2006/customXml" ds:itemID="{2EEBF37F-A171-4552-A6E1-0FB4010AB43F}">
  <ds:schemaRefs/>
</ds:datastoreItem>
</file>

<file path=customXml/itemProps15.xml><?xml version="1.0" encoding="utf-8"?>
<ds:datastoreItem xmlns:ds="http://schemas.openxmlformats.org/officeDocument/2006/customXml" ds:itemID="{C1653248-0A7A-4D37-88E6-B6B73BDEB8C4}">
  <ds:schemaRefs/>
</ds:datastoreItem>
</file>

<file path=customXml/itemProps16.xml><?xml version="1.0" encoding="utf-8"?>
<ds:datastoreItem xmlns:ds="http://schemas.openxmlformats.org/officeDocument/2006/customXml" ds:itemID="{7A8E1AD1-8A84-41F5-9D9C-5DA831A02D5F}">
  <ds:schemaRefs/>
</ds:datastoreItem>
</file>

<file path=customXml/itemProps2.xml><?xml version="1.0" encoding="utf-8"?>
<ds:datastoreItem xmlns:ds="http://schemas.openxmlformats.org/officeDocument/2006/customXml" ds:itemID="{3F924AFA-9AAD-4CAD-A22B-F091416EFE5F}">
  <ds:schemaRefs/>
</ds:datastoreItem>
</file>

<file path=customXml/itemProps3.xml><?xml version="1.0" encoding="utf-8"?>
<ds:datastoreItem xmlns:ds="http://schemas.openxmlformats.org/officeDocument/2006/customXml" ds:itemID="{AC75B69B-35E0-4D65-8A89-85A7C228747C}">
  <ds:schemaRefs/>
</ds:datastoreItem>
</file>

<file path=customXml/itemProps4.xml><?xml version="1.0" encoding="utf-8"?>
<ds:datastoreItem xmlns:ds="http://schemas.openxmlformats.org/officeDocument/2006/customXml" ds:itemID="{D56E38AC-E940-4CCB-841F-E490F2597BF1}">
  <ds:schemaRefs/>
</ds:datastoreItem>
</file>

<file path=customXml/itemProps5.xml><?xml version="1.0" encoding="utf-8"?>
<ds:datastoreItem xmlns:ds="http://schemas.openxmlformats.org/officeDocument/2006/customXml" ds:itemID="{F946A4FE-9319-440B-9FF3-37E92F89DC9E}">
  <ds:schemaRefs/>
</ds:datastoreItem>
</file>

<file path=customXml/itemProps6.xml><?xml version="1.0" encoding="utf-8"?>
<ds:datastoreItem xmlns:ds="http://schemas.openxmlformats.org/officeDocument/2006/customXml" ds:itemID="{42A3CA4B-ED4D-4618-B74D-23D4E996B652}">
  <ds:schemaRefs/>
</ds:datastoreItem>
</file>

<file path=customXml/itemProps7.xml><?xml version="1.0" encoding="utf-8"?>
<ds:datastoreItem xmlns:ds="http://schemas.openxmlformats.org/officeDocument/2006/customXml" ds:itemID="{EF1F4F47-8F53-4866-A656-75F62E323D28}">
  <ds:schemaRefs/>
</ds:datastoreItem>
</file>

<file path=customXml/itemProps8.xml><?xml version="1.0" encoding="utf-8"?>
<ds:datastoreItem xmlns:ds="http://schemas.openxmlformats.org/officeDocument/2006/customXml" ds:itemID="{FB74085B-2BA1-4471-BAEB-25B34BC5F086}">
  <ds:schemaRefs/>
</ds:datastoreItem>
</file>

<file path=customXml/itemProps9.xml><?xml version="1.0" encoding="utf-8"?>
<ds:datastoreItem xmlns:ds="http://schemas.openxmlformats.org/officeDocument/2006/customXml" ds:itemID="{0949CFFA-2B2E-4184-93D3-889578A144C1}">
  <ds:schemaRefs/>
</ds:datastoreItem>
</file>

<file path=docProps/app.xml><?xml version="1.0" encoding="utf-8"?>
<Properties xmlns="http://schemas.openxmlformats.org/officeDocument/2006/extended-properties" xmlns:vt="http://schemas.openxmlformats.org/officeDocument/2006/docPropsVTypes">
  <Template>Normal</Template>
  <Pages>1</Pages>
  <Words>511</Words>
  <Characters>2915</Characters>
  <Lines>24</Lines>
  <Paragraphs>6</Paragraphs>
  <TotalTime>0</TotalTime>
  <ScaleCrop>false</ScaleCrop>
  <LinksUpToDate>false</LinksUpToDate>
  <CharactersWithSpaces>3420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2024-01-31T18:04:00Z</dcterms:created>
  <dc:creator>FY</dc:creator>
  <cp:lastModifiedBy>FY</cp:lastModifiedBy>
  <dcterms:modified xsi:type="dcterms:W3CDTF">2024-02-18T07:54:43Z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