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邓阳平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邓阳平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1976年11月20日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中专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湖南省长沙市岳麓区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湖南省湘潭市岳塘区人民法院于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日作出(2019)湘0304刑初430号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邓阳平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虚开增值税专用发票，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隐匿会计凭证、会计账薄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并处罚金人民币三十二万元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，追缴975.8万</w:t>
      </w:r>
      <w:r>
        <w:rPr>
          <w:rFonts w:hint="eastAsia" w:ascii="仿宋_GB2312" w:hAnsi="仿宋_GB2312" w:eastAsia="仿宋_GB2312" w:cs="仿宋_GB2312"/>
          <w:sz w:val="28"/>
          <w:szCs w:val="28"/>
        </w:rPr>
        <w:t>。刑期自2018年12月7日起至2031年6月6日止。判决发生法律效力后，于2020年12月29日交付执行。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邓阳平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年度改造积极分子加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2021年2月10该犯行为养成差扣分教育改造扣20分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上述事实，有罪犯考核奖惩统计台账、罪犯奖惩审批表、罪犯减刑建议书等材料证实。罚金人民币三十二万元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，追缴975.8万元，本次缴纳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0.8万元，累计缴纳0.8万元。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邓阳平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邓阳平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A6C2C60"/>
    <w:rsid w:val="2F4A47D0"/>
    <w:rsid w:val="30064838"/>
    <w:rsid w:val="40CD13CE"/>
    <w:rsid w:val="520F3926"/>
    <w:rsid w:val="56243B1B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1020</Words>
  <Characters>1115</Characters>
  <Lines>8</Lines>
  <Paragraphs>2</Paragraphs>
  <TotalTime>4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2024-02-04T01:40:14Z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