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关于罪犯刘晨龙减刑一案的审理报告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罪犯刘晨龙，男，1982年8月24日出生，汉族，小学文化，湖南省常宁市人。现在湖南省湘南监狱服刑。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湖南</w:t>
      </w:r>
      <w:r>
        <w:rPr>
          <w:rFonts w:hint="eastAsia" w:ascii="仿宋" w:hAnsi="仿宋" w:eastAsia="仿宋"/>
          <w:sz w:val="28"/>
          <w:szCs w:val="28"/>
        </w:rPr>
        <w:t>省常宁市人民法院人民法院于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日作出（2018）湘0482刑初392号</w:t>
      </w:r>
      <w:r>
        <w:rPr>
          <w:rFonts w:hint="eastAsia" w:ascii="仿宋" w:hAnsi="仿宋" w:eastAsia="仿宋"/>
          <w:sz w:val="28"/>
          <w:szCs w:val="28"/>
          <w:lang w:eastAsia="zh-CN"/>
        </w:rPr>
        <w:t>刑事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判决，认定罪犯刘晨龙犯故意杀人罪，判处</w:t>
      </w:r>
      <w:r>
        <w:rPr>
          <w:rFonts w:hint="eastAsia" w:ascii="仿宋" w:hAnsi="仿宋" w:eastAsia="仿宋"/>
          <w:sz w:val="28"/>
          <w:szCs w:val="28"/>
          <w:lang w:eastAsia="zh-CN"/>
        </w:rPr>
        <w:t>有期徒刑十年</w:t>
      </w:r>
      <w:r>
        <w:rPr>
          <w:rFonts w:hint="eastAsia" w:ascii="仿宋" w:hAnsi="仿宋" w:eastAsia="仿宋"/>
          <w:sz w:val="28"/>
          <w:szCs w:val="28"/>
        </w:rPr>
        <w:t>。法定期限内无上诉、抗诉。刑期自2018年6月17日起至2028年6月16日止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判决发生法律效力后，于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/>
          <w:sz w:val="28"/>
          <w:szCs w:val="28"/>
        </w:rPr>
        <w:t>日交付执行。服刑期间未减刑。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监狱第</w:t>
      </w:r>
      <w:r>
        <w:rPr>
          <w:rFonts w:hint="eastAsia" w:ascii="仿宋" w:hAnsi="仿宋" w:eastAsia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/>
          <w:sz w:val="28"/>
          <w:szCs w:val="28"/>
        </w:rPr>
        <w:t>监区于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个月。湖南省</w:t>
      </w:r>
      <w:r>
        <w:rPr>
          <w:rFonts w:hint="eastAsia" w:ascii="仿宋" w:hAnsi="仿宋" w:eastAsia="仿宋"/>
          <w:sz w:val="28"/>
          <w:szCs w:val="28"/>
          <w:lang w:eastAsia="zh-CN"/>
        </w:rPr>
        <w:t>湘南</w:t>
      </w:r>
      <w:r>
        <w:rPr>
          <w:rFonts w:hint="eastAsia" w:ascii="仿宋" w:hAnsi="仿宋" w:eastAsia="仿宋"/>
          <w:sz w:val="28"/>
          <w:szCs w:val="28"/>
        </w:rPr>
        <w:t>监狱于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日提出减刑建议书，建议对该犯减去有期徒刑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个月，并于XX年XX月XX日报本院立案。湖南省华新地区人民检察院出具检察意见同意对该犯提请减刑。本院对本案予以公示后，依法组成合议庭对本案进行了审理。现已审理终结。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罪犯XX在服刑期间，能认罪悔罪，基本遵守法律法规及监规，接受教育改造，虽然有违规行为，但是悔过态度较好，并积极改正；积极参加思想、文化、职业技术教育；能服从安排，遵守劳动纪律，坚守劳动岗位。考核周期内违规扣分共计4次。2019年5月未完成劳动定额扣10分；2019年6月未完成劳动定额扣10分；2019年12月未完成劳动定额扣10分；2020年3月未完成劳动定额扣10分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</w:rPr>
        <w:t>计分考核中折计表扬7个余27分。上述事实，有罪犯考核奖惩统计台账、罪犯奖惩审批表、罪犯减刑建议书等材料证实。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主审人认为，罪犯刘晨龙在服刑期间确有悔改表现，符合法定减刑条件。根据《最高人民法院关于办理减刑、假释案件具体应用法律的规定》第XX条之规定（减刑起始时间的规定），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刘晨龙</w:t>
      </w:r>
      <w:r>
        <w:rPr>
          <w:rFonts w:hint="eastAsia" w:ascii="仿宋" w:hAnsi="仿宋" w:eastAsia="仿宋"/>
          <w:sz w:val="28"/>
          <w:szCs w:val="28"/>
        </w:rPr>
        <w:t>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/>
          <w:sz w:val="28"/>
          <w:szCs w:val="28"/>
          <w:lang w:eastAsia="zh-CN"/>
        </w:rPr>
        <w:t>入监</w:t>
      </w:r>
      <w:r>
        <w:rPr>
          <w:rFonts w:hint="eastAsia" w:ascii="仿宋" w:hAnsi="仿宋" w:eastAsia="仿宋"/>
          <w:sz w:val="28"/>
          <w:szCs w:val="28"/>
        </w:rPr>
        <w:t>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月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个月，剥夺政治权利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对罪犯XX减去有期徒刑XX个月，剥夺政治权利X年不变（减刑后，刑期执行至XX年XX月XX日止）。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2435253F"/>
    <w:rsid w:val="5AD32655"/>
    <w:rsid w:val="60B12DD0"/>
    <w:rsid w:val="67B1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1055</Words>
  <Characters>1143</Characters>
  <Lines>8</Lines>
  <Paragraphs>2</Paragraphs>
  <TotalTime>3</TotalTime>
  <ScaleCrop>false</ScaleCrop>
  <LinksUpToDate>false</LinksUpToDate>
  <CharactersWithSpaces>1155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2024-01-31T01:06:50Z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93E081645C8E4BABAA290EBE91E6C358</vt:lpwstr>
  </property>
</Properties>
</file>