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雷杨铭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罪犯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曾用名雷斌，化名王凯，</w:t>
      </w:r>
      <w:r>
        <w:rPr>
          <w:rFonts w:hint="eastAsia" w:ascii="仿宋" w:hAnsi="仿宋" w:eastAsia="仿宋"/>
          <w:sz w:val="28"/>
          <w:szCs w:val="28"/>
        </w:rPr>
        <w:t>男，19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89</w:t>
      </w:r>
      <w:r>
        <w:rPr>
          <w:rFonts w:hint="eastAsia" w:ascii="仿宋" w:hAnsi="仿宋" w:eastAsia="仿宋"/>
          <w:sz w:val="28"/>
          <w:szCs w:val="28"/>
        </w:rPr>
        <w:t>年9月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0日出生，</w:t>
      </w:r>
      <w:r>
        <w:rPr>
          <w:rFonts w:hint="eastAsia" w:ascii="仿宋" w:hAnsi="仿宋" w:eastAsia="仿宋"/>
          <w:sz w:val="28"/>
          <w:szCs w:val="28"/>
          <w:lang w:eastAsia="zh-CN"/>
        </w:rPr>
        <w:t>苗</w:t>
      </w:r>
      <w:r>
        <w:rPr>
          <w:rFonts w:hint="eastAsia" w:ascii="仿宋" w:hAnsi="仿宋" w:eastAsia="仿宋"/>
          <w:sz w:val="28"/>
          <w:szCs w:val="28"/>
        </w:rPr>
        <w:t>族，</w:t>
      </w:r>
      <w:r>
        <w:rPr>
          <w:rFonts w:hint="eastAsia" w:ascii="仿宋" w:hAnsi="仿宋" w:eastAsia="仿宋"/>
          <w:sz w:val="28"/>
          <w:szCs w:val="28"/>
          <w:lang w:eastAsia="zh-CN"/>
        </w:rPr>
        <w:t>中专</w:t>
      </w:r>
      <w:r>
        <w:rPr>
          <w:rFonts w:hint="eastAsia" w:ascii="仿宋" w:hAnsi="仿宋" w:eastAsia="仿宋"/>
          <w:sz w:val="28"/>
          <w:szCs w:val="28"/>
        </w:rPr>
        <w:t>文化，湖南省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城步苗族自治县</w:t>
      </w:r>
      <w:r>
        <w:rPr>
          <w:rFonts w:hint="eastAsia" w:ascii="仿宋" w:hAnsi="仿宋" w:eastAsia="仿宋"/>
          <w:sz w:val="28"/>
          <w:szCs w:val="28"/>
        </w:rPr>
        <w:t>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湖南省武冈市人民法院于202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月2日作出（2021）湘0581刑初434号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犯开设赌场罪，判处有期徒刑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年，并处罚金1万元。法定期限内无上诉、抗诉。刑期自2021年11月12日起至2024年11月11日止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sz w:val="28"/>
          <w:szCs w:val="28"/>
        </w:rPr>
        <w:t>日交付执行。服刑期间未减刑。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执行机关湖南省湘南监狱第十三监区于2023年10月16日建议对该犯减去有期徒刑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在服刑期间，能认罪悔罪，基本遵守法律法规及监规，接受教育改造，虽然有违规行为，但是悔过态度较好，并积极改正；积极参加思想、文化、职业技术教育；能服从安排，遵守劳动纪律，坚守劳动岗位，努力完成劳动任务。考核周期内违规扣分共计2次。2022年11月13日查处自制鞋垫扣1分；2023年6月出现生产质量事故扣2分。计分考核中折计表扬3个余279分。财产刑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万元，已全部履行完毕。上述事实，有罪犯考核奖惩统计台账、罪犯奖惩审批表、罪犯减刑建议书、财产刑履行情况等材料证实。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方可减刑。根据《湖南省高级人民法院减刑、假释案件实质化审理实施意见（试行）》第XX之规定（减刑间隔时间的规定），该犯入监时间为202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sz w:val="28"/>
          <w:szCs w:val="28"/>
        </w:rPr>
        <w:t>日，本次监区报请时间为2023年10月16日，间隔时间已超过了1年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个月。依据《中华人民共和国刑事诉讼法》第二百七十三条第二款和《中华人民共和国刑法》第七十八条之规定，裁定如下：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" w:hAnsi="仿宋" w:eastAsia="仿宋"/>
          <w:sz w:val="28"/>
          <w:szCs w:val="28"/>
          <w:lang w:eastAsia="zh-CN"/>
        </w:rPr>
        <w:t>雷杨铭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个月，减刑后，刑期执行至XX年XX月XX日止。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2555B7"/>
    <w:rsid w:val="00397665"/>
    <w:rsid w:val="0047726E"/>
    <w:rsid w:val="006E74D8"/>
    <w:rsid w:val="007E4FB6"/>
    <w:rsid w:val="009758A5"/>
    <w:rsid w:val="009F1FD8"/>
    <w:rsid w:val="00AD3835"/>
    <w:rsid w:val="00AF08EC"/>
    <w:rsid w:val="00E47AEA"/>
    <w:rsid w:val="00FF53BC"/>
    <w:rsid w:val="0645273C"/>
    <w:rsid w:val="108A19EE"/>
    <w:rsid w:val="47C1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1063</Words>
  <Characters>1145</Characters>
  <Lines>7</Lines>
  <Paragraphs>2</Paragraphs>
  <TotalTime>4</TotalTime>
  <ScaleCrop>false</ScaleCrop>
  <LinksUpToDate>false</LinksUpToDate>
  <CharactersWithSpaces>1157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2024-01-31T01:07:12Z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C0F44AC3E7A94F2F8614E00CB8E1D354</vt:lpwstr>
  </property>
</Properties>
</file>