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B6" w:rsidRDefault="00F234B6" w:rsidP="00F234B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罪犯李稳兵，男，</w:t>
      </w:r>
      <w:r>
        <w:rPr>
          <w:rFonts w:hint="eastAsia"/>
        </w:rPr>
        <w:t>2000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日出生，汉族，小学文化，湖南省新邵县人，住湖南省新邵县龙溪铺镇卓笔村</w:t>
      </w:r>
      <w:r>
        <w:rPr>
          <w:rFonts w:hint="eastAsia"/>
        </w:rPr>
        <w:t>13</w:t>
      </w:r>
      <w:r>
        <w:rPr>
          <w:rFonts w:hint="eastAsia"/>
        </w:rPr>
        <w:t>组</w:t>
      </w:r>
      <w:r>
        <w:rPr>
          <w:rFonts w:hint="eastAsia"/>
        </w:rPr>
        <w:t>19</w:t>
      </w:r>
      <w:r>
        <w:rPr>
          <w:rFonts w:hint="eastAsia"/>
        </w:rPr>
        <w:t>号。现押湖南省雁南监狱服刑。</w:t>
      </w:r>
    </w:p>
    <w:p w:rsidR="00F234B6" w:rsidRDefault="00F234B6" w:rsidP="00F234B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湖南省新化县人民法院于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1322</w:t>
      </w:r>
      <w:r>
        <w:rPr>
          <w:rFonts w:hint="eastAsia"/>
        </w:rPr>
        <w:t>刑初</w:t>
      </w:r>
      <w:r>
        <w:rPr>
          <w:rFonts w:hint="eastAsia"/>
        </w:rPr>
        <w:t>70</w:t>
      </w:r>
      <w:r>
        <w:rPr>
          <w:rFonts w:hint="eastAsia"/>
        </w:rPr>
        <w:t>号刑事判决，认定被告人李稳兵犯贩卖毒品罪，判处有期徒刑三年六个月，并处罚金人民币一万元；犯容留他人吸毒罪，判处有期徒刑一年三个月，并处罚金人民币四千元。赎罪并罚，决定执行有期徒刑四年三个月，并处罚金人民币一万四千元，追缴被告人李稳兵违法所得人民币七百五十元，上缴国库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F234B6" w:rsidRDefault="00F234B6" w:rsidP="00F234B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234B6" w:rsidRDefault="00F234B6" w:rsidP="00F234B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234B6" w:rsidRDefault="00F234B6" w:rsidP="00F234B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罪犯李稳兵有吸毒史，罪犯李稳兵自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月入监以来，能认罪悔罪，认罪遵守法律法规及监规，接受教育改造，积极参加思想、文化、职业技术教育，积极参加劳动，能服从安排、遵守劳动纪律，坚守劳动岗位，努力完成劳动任务，评为</w:t>
      </w:r>
      <w:r>
        <w:rPr>
          <w:rFonts w:hint="eastAsia"/>
        </w:rPr>
        <w:t>2022</w:t>
      </w:r>
      <w:r>
        <w:rPr>
          <w:rFonts w:hint="eastAsia"/>
        </w:rPr>
        <w:t>年监狱改造积极分子。截止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490</w:t>
      </w:r>
      <w:r>
        <w:rPr>
          <w:rFonts w:hint="eastAsia"/>
        </w:rPr>
        <w:t>分。原判财产刑判项罚金：</w:t>
      </w:r>
      <w:r>
        <w:rPr>
          <w:rFonts w:hint="eastAsia"/>
        </w:rPr>
        <w:t>14000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750</w:t>
      </w:r>
      <w:r>
        <w:rPr>
          <w:rFonts w:hint="eastAsia"/>
        </w:rPr>
        <w:t>元，已履行完毕。根据该犯情形，减刑起始间隔期已从严一年，减刑幅度已从严二个月。上述事实，有罪犯认罪悔罪书、罪犯评审鉴定表、罪犯考核奖惩统计台账、罪犯奖惩审核表、罪犯减刑评议书等材料证实。</w:t>
      </w:r>
    </w:p>
    <w:p w:rsidR="004358AB" w:rsidRDefault="00F234B6" w:rsidP="00F234B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综上所述，该犯在刑罚执行期间，确有悔改表现，依照《中华人民共和国刑事诉讼法》第二百七十三条第二款和《中华人民共和国刑法》第七十八条之规定，建议对罪犯李稳兵予以减刑七个月。特提请审核裁定。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95C84"/>
    <w:rsid w:val="008B7726"/>
    <w:rsid w:val="00D31D50"/>
    <w:rsid w:val="00F2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2024-02-22T04:47:00Z</dcterms:modified>
</cp:coreProperties>
</file>