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4B5" w:rsidRDefault="002904B5" w:rsidP="002904B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罪犯胡四一，男，</w:t>
      </w:r>
      <w:r>
        <w:rPr>
          <w:rFonts w:hint="eastAsia"/>
        </w:rPr>
        <w:t>1956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日出生，汉族，高中文化，湖北省仙桃市人，住湖北省仙桃市沙嘴办事处沙嘴</w:t>
      </w:r>
      <w:r>
        <w:rPr>
          <w:rFonts w:hint="eastAsia"/>
        </w:rPr>
        <w:t>1</w:t>
      </w:r>
      <w:r>
        <w:rPr>
          <w:rFonts w:hint="eastAsia"/>
        </w:rPr>
        <w:t>组。现押湖南省雁南监狱服刑。无</w:t>
      </w:r>
    </w:p>
    <w:p w:rsidR="002904B5" w:rsidRDefault="002904B5" w:rsidP="002904B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湖南省衡阳市中级人民法院于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日作出（</w:t>
      </w:r>
      <w:r>
        <w:rPr>
          <w:rFonts w:hint="eastAsia"/>
        </w:rPr>
        <w:t>2016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刑初</w:t>
      </w:r>
      <w:r>
        <w:rPr>
          <w:rFonts w:hint="eastAsia"/>
        </w:rPr>
        <w:t>20</w:t>
      </w:r>
      <w:r>
        <w:rPr>
          <w:rFonts w:hint="eastAsia"/>
        </w:rPr>
        <w:t>号刑事判决，认定被告人胡四一犯非法买卖、运输、储存危险物质罪，判处无期徒刑，剥夺政治权利终身。被告人胡四一不服，提出上诉，湖南省高级人民法院于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日作出（</w:t>
      </w:r>
      <w:r>
        <w:rPr>
          <w:rFonts w:hint="eastAsia"/>
        </w:rPr>
        <w:t>2017</w:t>
      </w:r>
      <w:r>
        <w:rPr>
          <w:rFonts w:hint="eastAsia"/>
        </w:rPr>
        <w:t>）湘刑终</w:t>
      </w:r>
      <w:r>
        <w:rPr>
          <w:rFonts w:hint="eastAsia"/>
        </w:rPr>
        <w:t>401</w:t>
      </w:r>
      <w:r>
        <w:rPr>
          <w:rFonts w:hint="eastAsia"/>
        </w:rPr>
        <w:t>号刑事裁定，全案驳回上诉，维持原判。刑期自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日起，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2904B5" w:rsidRDefault="002904B5" w:rsidP="002904B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日经湖南省高级人民法院</w:t>
      </w:r>
      <w:r>
        <w:rPr>
          <w:rFonts w:hint="eastAsia"/>
        </w:rPr>
        <w:t>(2021)</w:t>
      </w:r>
      <w:r>
        <w:rPr>
          <w:rFonts w:hint="eastAsia"/>
        </w:rPr>
        <w:t>湘刑更</w:t>
      </w:r>
      <w:r>
        <w:rPr>
          <w:rFonts w:hint="eastAsia"/>
        </w:rPr>
        <w:t>223</w:t>
      </w:r>
      <w:r>
        <w:rPr>
          <w:rFonts w:hint="eastAsia"/>
        </w:rPr>
        <w:t>号刑事裁定减为有期徒刑二十二年，剥夺政治权利改为十年。服刑期至</w:t>
      </w:r>
      <w:r>
        <w:rPr>
          <w:rFonts w:hint="eastAsia"/>
        </w:rPr>
        <w:t>2043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日止。</w:t>
      </w:r>
    </w:p>
    <w:p w:rsidR="002904B5" w:rsidRDefault="002904B5" w:rsidP="002904B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904B5" w:rsidRDefault="002904B5" w:rsidP="002904B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罪犯胡四一系老犯。自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月减刑以来，能认罪悔罪，接受教育改造。能较好的遵守监规监纪，积极参加思想、文化、职业技术教育，积极参加劳动，能服从安排，遵守劳动纪律，坚守劳动岗位，努力完成劳动任务。截止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4043</w:t>
      </w:r>
      <w:r>
        <w:rPr>
          <w:rFonts w:hint="eastAsia"/>
        </w:rPr>
        <w:t>分。折表扬六次，并余</w:t>
      </w:r>
      <w:r>
        <w:rPr>
          <w:rFonts w:hint="eastAsia"/>
        </w:rPr>
        <w:t>443</w:t>
      </w:r>
      <w:r>
        <w:rPr>
          <w:rFonts w:hint="eastAsia"/>
        </w:rPr>
        <w:t>分。根据该犯情形，减刑间隔期已从严二个月，减刑幅度已从严二个月。上述事实，有罪犯认罪悔罪书、罪犯评审鉴定表、罪犯考核奖惩统计台账、罪犯奖惩审核表、罪犯减刑评议书等材料证实。</w:t>
      </w:r>
    </w:p>
    <w:p w:rsidR="004358AB" w:rsidRDefault="002904B5" w:rsidP="002904B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胡四一予以减刑七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904B5"/>
    <w:rsid w:val="00323B43"/>
    <w:rsid w:val="003D37D8"/>
    <w:rsid w:val="00426133"/>
    <w:rsid w:val="004358AB"/>
    <w:rsid w:val="008B7726"/>
    <w:rsid w:val="00C22E4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2024-02-22T04:47:00Z</dcterms:modified>
</cp:coreProperties>
</file>