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F5" w:rsidRDefault="00B158F5" w:rsidP="00B158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罪犯严健，男，</w:t>
      </w:r>
      <w:r>
        <w:rPr>
          <w:rFonts w:hint="eastAsia"/>
        </w:rPr>
        <w:t>1985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日出生，汉族，初中文化，湖南省华容县人，住湖南省华容县章华镇石付村</w:t>
      </w:r>
      <w:r>
        <w:rPr>
          <w:rFonts w:hint="eastAsia"/>
        </w:rPr>
        <w:t>2</w:t>
      </w:r>
      <w:r>
        <w:rPr>
          <w:rFonts w:hint="eastAsia"/>
        </w:rPr>
        <w:t>组</w:t>
      </w:r>
      <w:r>
        <w:rPr>
          <w:rFonts w:hint="eastAsia"/>
        </w:rPr>
        <w:t>060</w:t>
      </w:r>
      <w:r>
        <w:rPr>
          <w:rFonts w:hint="eastAsia"/>
        </w:rPr>
        <w:t>号。现押湖南省雁南监狱服刑。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日因吸毒被行政拘留</w:t>
      </w:r>
    </w:p>
    <w:p w:rsidR="00B158F5" w:rsidRDefault="00B158F5" w:rsidP="00B158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湖南省临湘市人民法院于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0682</w:t>
      </w:r>
      <w:r>
        <w:rPr>
          <w:rFonts w:hint="eastAsia"/>
        </w:rPr>
        <w:t>刑初</w:t>
      </w:r>
      <w:r>
        <w:rPr>
          <w:rFonts w:hint="eastAsia"/>
        </w:rPr>
        <w:t>326</w:t>
      </w:r>
      <w:r>
        <w:rPr>
          <w:rFonts w:hint="eastAsia"/>
        </w:rPr>
        <w:t>号刑事判决，认定被告人严健犯贩卖毒品罪，判处有期徒刑三年，并处罚金人民币一万元，被告人严健退缴的违法所得</w:t>
      </w:r>
      <w:r>
        <w:rPr>
          <w:rFonts w:hint="eastAsia"/>
        </w:rPr>
        <w:t>700</w:t>
      </w:r>
      <w:r>
        <w:rPr>
          <w:rFonts w:hint="eastAsia"/>
        </w:rPr>
        <w:t>元，上缴国库。在法定期限内无上诉、抗诉。刑期自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日交付执行。</w:t>
      </w:r>
    </w:p>
    <w:p w:rsidR="00B158F5" w:rsidRDefault="00B158F5" w:rsidP="00B158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B158F5" w:rsidRDefault="00B158F5" w:rsidP="00B158F5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B158F5" w:rsidRDefault="00B158F5" w:rsidP="00B158F5">
      <w:pPr>
        <w:spacing w:line="220" w:lineRule="atLeast"/>
        <w:rPr>
          <w:rFonts w:hint="eastAsia"/>
        </w:rPr>
      </w:pPr>
      <w:r>
        <w:rPr>
          <w:rFonts w:hint="eastAsia"/>
        </w:rPr>
        <w:t>罪犯严健有吸毒史，自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2094.4</w:t>
      </w:r>
      <w:r>
        <w:rPr>
          <w:rFonts w:hint="eastAsia"/>
        </w:rPr>
        <w:t>分。折表扬三次，并余</w:t>
      </w:r>
      <w:r>
        <w:rPr>
          <w:rFonts w:hint="eastAsia"/>
        </w:rPr>
        <w:t>294.4</w:t>
      </w:r>
      <w:r>
        <w:rPr>
          <w:rFonts w:hint="eastAsia"/>
        </w:rPr>
        <w:t>分。原判财产性判项履行情况：罚金人民币一万元，退缴违法所得</w:t>
      </w:r>
      <w:r>
        <w:rPr>
          <w:rFonts w:hint="eastAsia"/>
        </w:rPr>
        <w:t>700</w:t>
      </w:r>
      <w:r>
        <w:rPr>
          <w:rFonts w:hint="eastAsia"/>
        </w:rPr>
        <w:t>元，均已履行完毕。根据该犯情形，减刑起始日期已从严七个月，减刑幅度已从严四个月。上述事实，有罪犯认罪悔罪书、罪犯评审鉴定表、罪犯考核奖惩统计台账、罪犯奖惩审核表、罪犯减刑评议书等材料证实。</w:t>
      </w:r>
    </w:p>
    <w:p w:rsidR="004358AB" w:rsidRDefault="00B158F5" w:rsidP="00B158F5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综上所述，该犯在刑罚执行期间，确有悔改表现，依照《中华人民共和国刑事诉讼法》第二百七十三条第二款和《中华人民共和国刑法》第七十八条之规定，建议对罪犯严健予以减刑五个月。特提请审核裁定。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17B28"/>
    <w:rsid w:val="008B7726"/>
    <w:rsid w:val="00B158F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2024-02-22T04:54:00Z</dcterms:modified>
</cp:coreProperties>
</file>