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01" w:rsidRDefault="00A41D01" w:rsidP="00A41D01">
      <w:pPr>
        <w:spacing w:after="120" w:line="580" w:lineRule="exact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附件：</w:t>
      </w:r>
      <w:bookmarkStart w:id="0" w:name="_GoBack"/>
      <w:bookmarkEnd w:id="0"/>
    </w:p>
    <w:p w:rsidR="00A41D01" w:rsidRDefault="00A41D01" w:rsidP="00A41D01">
      <w:pPr>
        <w:spacing w:line="580" w:lineRule="exact"/>
        <w:jc w:val="center"/>
        <w:rPr>
          <w:rFonts w:ascii="仿宋_GB2312" w:eastAsia="仿宋_GB2312" w:hAnsi="仿宋_GB2312" w:cs="仿宋_GB2312" w:hint="eastAsia"/>
          <w:b/>
          <w:sz w:val="44"/>
          <w:szCs w:val="36"/>
          <w:lang w:val="zh-CN"/>
        </w:rPr>
      </w:pPr>
      <w:r>
        <w:rPr>
          <w:rFonts w:ascii="仿宋_GB2312" w:eastAsia="仿宋_GB2312" w:hAnsi="仿宋_GB2312" w:cs="仿宋_GB2312" w:hint="eastAsia"/>
          <w:b/>
          <w:color w:val="E72215"/>
          <w:sz w:val="44"/>
          <w:szCs w:val="36"/>
          <w:lang w:val="zh-CN"/>
        </w:rPr>
        <w:t>选任破产管理人评分标准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对参与竞争的管理人机构业绩的评定实行固定破产团队业绩评分制，最高分不超过100分，按得分高低进行排名。具体评分标准如下：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一、管理人机构固定破产团队业绩基础分（该项得分累计不超过70分）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（一）办结案件数量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对于已结的普通破产案件，单独担任管理人，每件计4分；以清算组成员方式担任管理人，每件计3分；与其他机构联合担任破产企业管理人的，每件计2分；上述破产案件为简易破产案件，每件计1分；为重大破产案件，每件多计1分。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（二）办结案件效果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取得较好法律效果和社会效果的案件（实现资源优化配置、维持企业持续经营能力、充分保障债权人知情权、异议权、监督权及在重大财产处分中的决策权、积极维护职工和购房人等弱势群体基本生存权益、平等保护各类市场主体合法权益、有效降低办理破产成本等因素），每件多计1分，该项得分累计不超过5分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（三）办结案件质量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1.办理普通破产清算、和解案件，从受理到终止破产程序短于6个月，每件加3分；短于9个月的，每件加2分；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2.办理普通破产清算案件，从受理到终结破产程序短于9个月，</w:t>
      </w:r>
      <w:r>
        <w:rPr>
          <w:rFonts w:ascii="仿宋_GB2312" w:eastAsia="仿宋_GB2312" w:hAnsi="仿宋_GB2312" w:cs="仿宋_GB2312" w:hint="eastAsia"/>
          <w:sz w:val="32"/>
          <w:lang w:val="zh-CN"/>
        </w:rPr>
        <w:lastRenderedPageBreak/>
        <w:t>每件加2分；短于12个月的，每件加1分；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3.办理简易破产案件，从受理到终结或终止破产程序短于6个月，每件加1分；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4.上述破产案件为重大破产案件，每件多计3分。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5.近三年内管理人个案工作情况评价表获评95分以上的案件，每件加2分，90分以上的，每件加1分，90分以下但管理人个案工作情况评价表中财产追收指标得分为满分的，每件加0.5分。该项得分累计不超过10分；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二、管理人机构固定破产团队业绩附加分（该项得分累计不超过20分）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（一）总结经验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1.破产团队负责人办理的破产案件入选最高人民法院、自治区高级法院发布或者管理人协会发布的典型（经典）案例的，每件分别加5、4、3分；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2.总结出其他可供复制的好经验好做法加3分。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t>（二）理论研究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1.近三年内破产团队成员在核心期刊（C刊）发表企业破产领域专业论文，每篇加1分；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2.论文刊登自治区级期刊或入选全国性破产论坛论文选集，每篇加0.3分，三等奖每篇加0.4分，二等奖每篇加0.5分，一等奖每篇加1分；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3.发表破产领域专著的，每本加2分。</w:t>
      </w:r>
    </w:p>
    <w:p w:rsidR="00A41D01" w:rsidRDefault="00A41D01" w:rsidP="00A41D01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b/>
          <w:color w:val="555555"/>
          <w:sz w:val="32"/>
          <w:lang w:val="zh-CN"/>
        </w:rPr>
        <w:lastRenderedPageBreak/>
        <w:t>三、管理人机构固定破产团队针对竞选案件的个性化评分（该项得分累计不超过10分）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1.管理人破产团队对破产企业的债权债务状况、经营事项、行业情况、涉及法律关系的了解程度，对重整投资人招募、重整项目的融资、职工安置等关键性问题的解决是否已经具有较为充足的前期准备。分值为0-4分。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2.破产团队履职能力情况，提供的工作方案，可以从专业性、针对性、可行性进行考量，提出的投资人招募方式、资产处置方案、企业经营方案、资产盘活方案及其他关键问题的解决方案等方面情况进行综合评分。分值为0-5分。</w:t>
      </w:r>
    </w:p>
    <w:p w:rsidR="00A41D01" w:rsidRDefault="00A41D01" w:rsidP="00A41D0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t>3.综合申报材料规范性和现场陈述专业性，分值为0-1分。</w:t>
      </w:r>
    </w:p>
    <w:p w:rsidR="00A41D01" w:rsidRDefault="00A41D01" w:rsidP="00A41D01">
      <w:pPr>
        <w:spacing w:line="600" w:lineRule="exact"/>
        <w:rPr>
          <w:rFonts w:ascii="仿宋_GB2312" w:eastAsia="仿宋_GB2312" w:hAnsi="仿宋_GB2312" w:cs="仿宋_GB2312" w:hint="eastAsia"/>
          <w:sz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lang w:val="zh-CN"/>
        </w:rPr>
        <w:br w:type="page"/>
      </w:r>
    </w:p>
    <w:tbl>
      <w:tblPr>
        <w:tblW w:w="0" w:type="auto"/>
        <w:tblInd w:w="150" w:type="dxa"/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200"/>
        <w:gridCol w:w="691"/>
        <w:gridCol w:w="610"/>
        <w:gridCol w:w="1952"/>
        <w:gridCol w:w="4142"/>
        <w:gridCol w:w="722"/>
        <w:gridCol w:w="583"/>
      </w:tblGrid>
      <w:tr w:rsidR="00A41D01" w:rsidTr="008C23FF">
        <w:trPr>
          <w:trHeight w:val="90"/>
        </w:trPr>
        <w:tc>
          <w:tcPr>
            <w:tcW w:w="189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lastRenderedPageBreak/>
              <w:t>管理人机构名称</w:t>
            </w:r>
          </w:p>
        </w:tc>
        <w:tc>
          <w:tcPr>
            <w:tcW w:w="8009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一级指标</w:t>
            </w: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二级指标</w:t>
            </w:r>
          </w:p>
        </w:tc>
        <w:tc>
          <w:tcPr>
            <w:tcW w:w="19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三级指标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四级指标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数量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lang w:val="zh-CN"/>
              </w:rPr>
              <w:t>得分</w:t>
            </w:r>
          </w:p>
        </w:tc>
      </w:tr>
      <w:tr w:rsidR="00A41D01" w:rsidTr="008C23FF">
        <w:trPr>
          <w:trHeight w:val="614"/>
        </w:trPr>
        <w:tc>
          <w:tcPr>
            <w:tcW w:w="12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业绩基础分（≤70分）</w:t>
            </w:r>
          </w:p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案件数量 （≤45分）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简易案件（1分）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普通案件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独任管理人（4分）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清算组成员（3分）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联合管理人（2分）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重大案件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独任管理人（5分）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清算组成员（4分）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联合管理人（3分）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案件效果 （≤5分）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有效降低破产成本（1分）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实现资源优化配置（1分）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其他因素（1分）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案件质量 （≤20分）</w:t>
            </w:r>
          </w:p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普通破产清算、和解案件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受理到终止破产程序短于6个月（3分）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受理到终止破产程序短于9个月（2分）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普通破产清算案件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受理到终结破产程序短于9个月（2分）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lastRenderedPageBreak/>
              <w:t>12个月（1分）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简易破产案件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受理到终结或终止破产程序短于6个月（1分）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重大破产清算、和解案件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受理到终止破产程序短于9个月（6分）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受理到终止破产程序短于12个月（5分）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重大破产清算案件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受理到终结破产程序短于9个月（5分）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受理到终结破产程序短于12个月（4分）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个案工作情况评价表 （≤10分）</w:t>
            </w: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获评95分以上（2分）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获评90分以上（1分）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823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41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获评90分以下但个案工作情况评价表中财产追收指标得分为满分（0.5分）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业绩附加分（≤20分）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总结经验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入选最高法典型案例（5分）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入选自治区高院典型案例（4分）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入选广西破产管理人协会典型案例（3分）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其他可供复制的好经验好做法（3分）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理论研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lastRenderedPageBreak/>
              <w:t>究</w:t>
            </w: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lastRenderedPageBreak/>
              <w:t>核心期刊（C刊）（1分）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自治区级期刊（0.3）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全国性破产论坛论文（0.3-1分）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14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破产领域专著（2分）</w:t>
            </w:r>
          </w:p>
        </w:tc>
        <w:tc>
          <w:tcPr>
            <w:tcW w:w="7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3032"/>
        </w:trPr>
        <w:tc>
          <w:tcPr>
            <w:tcW w:w="120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个性化评分（≤10分）</w:t>
            </w: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前期尽调</w:t>
            </w:r>
          </w:p>
        </w:tc>
        <w:tc>
          <w:tcPr>
            <w:tcW w:w="681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管理人破产团队对破产企业的债权债务状况、经营事项、行业情况、涉及法律关系的了解程度，对重整投资人招募、重整项目的融资、职工安置等关键性问题的解决是否已经具有较为充足的前期准备（0-4分）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2950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个案工作方案</w:t>
            </w:r>
          </w:p>
        </w:tc>
        <w:tc>
          <w:tcPr>
            <w:tcW w:w="681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从专业性、针对性、可行性进行考量，提出的投资人招募方式、资产处置方案、企业经营方案、资产盘活方案及其他关键问题的解决方案等方面情况进行综合评分（0-5分）</w:t>
            </w:r>
          </w:p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1219"/>
        </w:trPr>
        <w:tc>
          <w:tcPr>
            <w:tcW w:w="120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after="200" w:line="58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综合素质</w:t>
            </w:r>
          </w:p>
        </w:tc>
        <w:tc>
          <w:tcPr>
            <w:tcW w:w="681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综合申报材料规范性和现场陈述专业性（0-1分）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  <w:tr w:rsidR="00A41D01" w:rsidTr="008C23FF">
        <w:trPr>
          <w:trHeight w:val="624"/>
        </w:trPr>
        <w:tc>
          <w:tcPr>
            <w:tcW w:w="9317" w:type="dxa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总得分</w:t>
            </w:r>
          </w:p>
        </w:tc>
        <w:tc>
          <w:tcPr>
            <w:tcW w:w="5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  <w:tl2br w:val="nil"/>
              <w:tr2bl w:val="nil"/>
            </w:tcBorders>
            <w:shd w:val="clear" w:color="000000" w:fill="FFFFFF"/>
            <w:vAlign w:val="center"/>
          </w:tcPr>
          <w:p w:rsidR="00A41D01" w:rsidRDefault="00A41D01" w:rsidP="008C23FF">
            <w:pPr>
              <w:spacing w:line="580" w:lineRule="exact"/>
              <w:rPr>
                <w:rFonts w:ascii="仿宋_GB2312" w:eastAsia="仿宋_GB2312" w:hAnsi="仿宋_GB2312" w:cs="仿宋_GB2312" w:hint="eastAsia"/>
                <w:sz w:val="22"/>
                <w:lang w:val="zh-CN"/>
              </w:rPr>
            </w:pPr>
          </w:p>
        </w:tc>
      </w:tr>
    </w:tbl>
    <w:p w:rsidR="00A41D01" w:rsidRDefault="00A41D01" w:rsidP="00A41D01">
      <w:pPr>
        <w:spacing w:line="580" w:lineRule="exact"/>
        <w:rPr>
          <w:rFonts w:ascii="仿宋" w:eastAsia="仿宋" w:hAnsi="仿宋" w:hint="eastAsia"/>
          <w:sz w:val="32"/>
          <w:lang w:val="zh-CN"/>
        </w:rPr>
      </w:pPr>
    </w:p>
    <w:p w:rsidR="00A41D01" w:rsidRDefault="00A41D01" w:rsidP="00A41D01">
      <w:pPr>
        <w:spacing w:after="120" w:line="580" w:lineRule="exact"/>
        <w:rPr>
          <w:rFonts w:ascii="仿宋" w:eastAsia="仿宋" w:hAnsi="仿宋" w:hint="eastAsia"/>
          <w:sz w:val="32"/>
          <w:lang w:val="zh-CN"/>
        </w:rPr>
      </w:pPr>
    </w:p>
    <w:p w:rsidR="00A41D01" w:rsidRDefault="00A41D01" w:rsidP="00A41D01">
      <w:pPr>
        <w:spacing w:line="580" w:lineRule="exact"/>
        <w:rPr>
          <w:rFonts w:hint="eastAsia"/>
        </w:rPr>
      </w:pPr>
    </w:p>
    <w:p w:rsidR="00654686" w:rsidRDefault="001A6682"/>
    <w:sectPr w:rsidR="00654686">
      <w:footerReference w:type="default" r:id="rId6"/>
      <w:pgSz w:w="11906" w:h="16838"/>
      <w:pgMar w:top="1984" w:right="1361" w:bottom="567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82" w:rsidRDefault="001A6682" w:rsidP="00A41D01">
      <w:r>
        <w:separator/>
      </w:r>
    </w:p>
  </w:endnote>
  <w:endnote w:type="continuationSeparator" w:id="0">
    <w:p w:rsidR="001A6682" w:rsidRDefault="001A6682" w:rsidP="00A4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065460"/>
      <w:docPartObj>
        <w:docPartGallery w:val="Page Numbers (Bottom of Page)"/>
        <w:docPartUnique/>
      </w:docPartObj>
    </w:sdtPr>
    <w:sdtContent>
      <w:p w:rsidR="00A41D01" w:rsidRDefault="00A41D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1D01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A41D01" w:rsidRDefault="00A41D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82" w:rsidRDefault="001A6682" w:rsidP="00A41D01">
      <w:r>
        <w:separator/>
      </w:r>
    </w:p>
  </w:footnote>
  <w:footnote w:type="continuationSeparator" w:id="0">
    <w:p w:rsidR="001A6682" w:rsidRDefault="001A6682" w:rsidP="00A4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1"/>
    <w:rsid w:val="001A6682"/>
    <w:rsid w:val="0079550F"/>
    <w:rsid w:val="00920741"/>
    <w:rsid w:val="00A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71BAA-B70F-450D-B238-7803FEFD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41D0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1D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A41D01"/>
    <w:rPr>
      <w:rFonts w:ascii="Calibri" w:eastAsia="宋体" w:hAnsi="Calibri" w:cs="宋体"/>
      <w:sz w:val="1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1D01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A41D01"/>
    <w:rPr>
      <w:rFonts w:ascii="Calibri" w:eastAsia="宋体" w:hAnsi="Calibri" w:cs="宋体"/>
      <w:szCs w:val="24"/>
    </w:rPr>
  </w:style>
  <w:style w:type="paragraph" w:styleId="a5">
    <w:name w:val="header"/>
    <w:basedOn w:val="a"/>
    <w:link w:val="a6"/>
    <w:uiPriority w:val="99"/>
    <w:unhideWhenUsed/>
    <w:rsid w:val="00A4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1D0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2024-03-22T01:10:00Z</dcterms:created>
  <dcterms:modified xsi:type="dcterms:W3CDTF">2024-03-22T01:13:00Z</dcterms:modified>
</cp:coreProperties>
</file>