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80" w:lineRule="exact"/>
        <w:rPr>
          <w:rFonts w:ascii="仿宋" w:hAnsi="仿宋" w:eastAsia="仿宋" w:cs="宋体"/>
          <w:sz w:val="32"/>
          <w:szCs w:val="32"/>
        </w:rPr>
      </w:pPr>
    </w:p>
    <w:p>
      <w:pPr>
        <w:spacing w:line="480" w:lineRule="exact"/>
        <w:rPr>
          <w:rFonts w:ascii="仿宋" w:hAnsi="仿宋" w:eastAsia="仿宋" w:cs="宋体"/>
          <w:sz w:val="32"/>
          <w:szCs w:val="32"/>
        </w:rPr>
      </w:pPr>
    </w:p>
    <w:p>
      <w:pPr>
        <w:pStyle w:val="3"/>
        <w:spacing w:line="48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w:t>
      </w:r>
      <w:r>
        <w:rPr>
          <w:rFonts w:hint="eastAsia" w:ascii="宋体" w:hAnsi="宋体" w:eastAsia="宋体" w:cs="仿宋"/>
          <w:b/>
          <w:sz w:val="32"/>
          <w:szCs w:val="32"/>
          <w:lang w:val="en-US" w:eastAsia="zh-CN"/>
        </w:rPr>
        <w:t>原告</w:t>
      </w:r>
      <w:r>
        <w:rPr>
          <w:rFonts w:hint="eastAsia" w:ascii="黑体" w:hAnsi="黑体" w:eastAsia="黑体" w:cs="黑体"/>
          <w:sz w:val="32"/>
          <w:szCs w:val="32"/>
          <w:lang w:val="en-US" w:eastAsia="zh-CN"/>
        </w:rPr>
        <w:t>泉州某公司诉</w:t>
      </w:r>
      <w:r>
        <w:rPr>
          <w:rFonts w:hint="eastAsia" w:ascii="宋体" w:hAnsi="宋体" w:eastAsia="宋体" w:cs="仿宋"/>
          <w:b/>
          <w:sz w:val="32"/>
          <w:szCs w:val="32"/>
          <w:lang w:val="en-US" w:eastAsia="zh-CN"/>
        </w:rPr>
        <w:t>被告</w:t>
      </w:r>
      <w:r>
        <w:rPr>
          <w:rFonts w:hint="eastAsia" w:ascii="黑体" w:hAnsi="黑体" w:eastAsia="黑体" w:cs="黑体"/>
          <w:sz w:val="32"/>
          <w:szCs w:val="32"/>
          <w:lang w:val="en-US" w:eastAsia="zh-CN"/>
        </w:rPr>
        <w:t>霸州某公司侵害外观设计专利权纠纷一案〔（2022）冀10知民初347号〕</w:t>
      </w:r>
    </w:p>
    <w:p>
      <w:pPr>
        <w:spacing w:line="490" w:lineRule="exact"/>
        <w:ind w:firstLine="640" w:firstLineChars="200"/>
        <w:rPr>
          <w:rFonts w:hint="eastAsia" w:ascii="黑体" w:hAnsi="黑体" w:eastAsia="黑体" w:cs="黑体"/>
          <w:sz w:val="32"/>
          <w:szCs w:val="32"/>
          <w:lang w:val="en-US" w:eastAsia="zh-CN"/>
        </w:rPr>
      </w:pPr>
    </w:p>
    <w:p>
      <w:pPr>
        <w:spacing w:line="480" w:lineRule="exact"/>
        <w:rPr>
          <w:rFonts w:ascii="仿宋" w:hAnsi="仿宋" w:eastAsia="仿宋" w:cs="宋体"/>
          <w:sz w:val="32"/>
          <w:szCs w:val="32"/>
        </w:rPr>
      </w:pPr>
    </w:p>
    <w:p>
      <w:pPr>
        <w:spacing w:line="490" w:lineRule="exact"/>
        <w:ind w:firstLine="640" w:firstLineChars="200"/>
        <w:rPr>
          <w:rFonts w:ascii="仿宋" w:hAnsi="仿宋" w:eastAsia="仿宋" w:cs="宋体"/>
          <w:sz w:val="32"/>
          <w:szCs w:val="32"/>
        </w:rPr>
      </w:pPr>
      <w:r>
        <w:rPr>
          <w:rFonts w:hint="eastAsia" w:ascii="仿宋" w:hAnsi="仿宋" w:eastAsia="仿宋" w:cs="宋体"/>
          <w:sz w:val="32"/>
          <w:szCs w:val="32"/>
        </w:rPr>
        <w:t>【裁判要旨】</w:t>
      </w:r>
    </w:p>
    <w:p>
      <w:pPr>
        <w:spacing w:line="490" w:lineRule="exact"/>
        <w:ind w:firstLine="640" w:firstLineChars="200"/>
        <w:rPr>
          <w:rFonts w:ascii="仿宋" w:hAnsi="仿宋" w:eastAsia="仿宋" w:cs="宋体"/>
          <w:sz w:val="32"/>
          <w:szCs w:val="32"/>
        </w:rPr>
      </w:pPr>
      <w:r>
        <w:rPr>
          <w:rFonts w:hint="eastAsia" w:ascii="仿宋" w:hAnsi="仿宋" w:eastAsia="仿宋" w:cs="仿宋"/>
          <w:sz w:val="32"/>
          <w:szCs w:val="32"/>
        </w:rPr>
        <w:t>根据外观设计相同或近似的认定应以一般消费者的角度，整体观察、综合判断的原则，被诉侵权产品与涉案专利的设计方案无实质性差异，侵权产品设计与涉案专利设计构成近似，落入涉案专利权的保护范围。被告有证据证实其经营的网络店铺显示的侵权产品的销量中包含刷单数据的，在确定赔偿数额时应予考虑。</w:t>
      </w:r>
    </w:p>
    <w:p>
      <w:pPr>
        <w:spacing w:line="490" w:lineRule="exact"/>
        <w:ind w:firstLine="640" w:firstLineChars="200"/>
        <w:rPr>
          <w:rFonts w:ascii="仿宋" w:hAnsi="仿宋" w:eastAsia="仿宋" w:cs="宋体"/>
          <w:sz w:val="32"/>
          <w:szCs w:val="32"/>
        </w:rPr>
      </w:pPr>
      <w:r>
        <w:rPr>
          <w:rFonts w:hint="eastAsia" w:ascii="仿宋" w:hAnsi="仿宋" w:eastAsia="仿宋" w:cs="宋体"/>
          <w:sz w:val="32"/>
          <w:szCs w:val="32"/>
        </w:rPr>
        <w:t>【案情介绍】</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 xml:space="preserve"> 案外人金华某公司于2021年8月20日向国家知识产权局申请外观设计专利，并于2021年11月30日获得外观设计专利证书。涉案外观设计名称为：健身器手柄（飞力仕振动训练棒），专利权人为金华某公司。涉案专利处于稳定状态。根据涉案专利证书记载，该外观设计产品的用途为飞力仕振动训练棒的手柄，设计要点在于形状，最能表明设计要点的图片或照片为立体图1。金华某公司于2022年5月25日将第ZL202130543060.9号外观设计专利转让给本案原告。2022年3月10日，国家知识产权局应原告请求出具《外观设计专利权评价报告》，（以下简称评价报告），未发现本专利存在其他不符合专利法有关外观设计授权条件的缺陷。”</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福建省厦门市云尚公证处（2022）闽厦云证民字第22638号公证书显示：被告在拼多多平台上经营的店铺销售的被诉侵权产品名称为多功能飞力士棒，拼单价为10.8元，单独购买单价为18.8元，并显示已拼10万+件。另有一款产品双杆共振负重飞力士棒，售价为10.8元-20.8元，款式分为：中国红【专业款76.8hz】2代加强、中国红【练肌款62.8hz】双杆2代、中国红【健身款26.8hz】强烈震颤、中国红【燃脂款13.8hz】轻微震颤。原告委托代理人以陈先生的名义在该店铺购买了飞力士双棒健身弹力棒1件，为中国红【专业款76.8hz】2代加强款，用支付宝软件付款28.8元。</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原告当庭提交了被控侵权产品实物。经当庭比对，外观设计专利为分健身器手柄，该手柄上下对称、左右对称，手柄上、下边界线为对称向内弯曲的曲线，手柄左右两侧分为上下两层，其中上层（即表面层）左右两侧为对称的扇形，以手柄表面中间连接处为分界线，左右两侧为对称的凹凸相间的线条，其中凸起的线条有9 根，下凹的线条有8根。手柄表面正中间连接处为下凹线；下层为拼接在一起的两个小圆柱，通过左视图的方向观察，圆柱中间有两个孔洞贯穿手柄，以方便健身棒穿入其中。被诉侵权产品的手柄上下对称、左右对称，手柄上、下边界线为对称向内弯曲的曲线，手柄左右两侧边界线近似扇形，以手柄表面中间连接处为分界线，左右两侧为对称的凹凸相间的线条，其中凸起的线条有7 根，下凹的线条有6根。手柄表面正中间连接处为凸起线，通过左视图的方向观察，手柄中间有两个孔洞贯穿手柄，以方便健身棒穿入其中。</w:t>
      </w:r>
    </w:p>
    <w:p>
      <w:pPr>
        <w:spacing w:line="490" w:lineRule="exact"/>
        <w:ind w:firstLine="640" w:firstLineChars="200"/>
        <w:rPr>
          <w:rFonts w:ascii="仿宋" w:hAnsi="仿宋" w:eastAsia="仿宋" w:cs="仿宋"/>
          <w:sz w:val="32"/>
          <w:szCs w:val="32"/>
        </w:rPr>
      </w:pPr>
      <w:r>
        <w:rPr>
          <w:rFonts w:hint="eastAsia" w:ascii="仿宋" w:hAnsi="仿宋" w:eastAsia="仿宋" w:cs="仿宋"/>
          <w:sz w:val="32"/>
          <w:szCs w:val="32"/>
        </w:rPr>
        <w:t>【裁判内容】</w:t>
      </w:r>
    </w:p>
    <w:p>
      <w:pPr>
        <w:spacing w:line="480" w:lineRule="exact"/>
        <w:ind w:firstLine="640" w:firstLineChars="200"/>
        <w:rPr>
          <w:rFonts w:ascii="仿宋" w:hAnsi="仿宋" w:eastAsia="仿宋"/>
          <w:sz w:val="32"/>
          <w:szCs w:val="32"/>
        </w:rPr>
      </w:pPr>
      <w:r>
        <w:rPr>
          <w:rFonts w:hint="eastAsia" w:ascii="仿宋" w:hAnsi="仿宋" w:eastAsia="仿宋" w:cs="仿宋"/>
          <w:sz w:val="32"/>
          <w:szCs w:val="32"/>
        </w:rPr>
        <w:t>廊坊市中级人民法院认为，</w:t>
      </w:r>
      <w:r>
        <w:rPr>
          <w:rFonts w:hint="eastAsia" w:ascii="仿宋" w:hAnsi="仿宋" w:eastAsia="仿宋"/>
          <w:sz w:val="32"/>
          <w:szCs w:val="32"/>
        </w:rPr>
        <w:t>原告是涉案外观设计专利“健身器手柄（飞力仕振动训练棒）”的专利权人，该专利现处于有效法律状态，原告的专利权应受法律保护。</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本案重点审查问题</w:t>
      </w:r>
      <w:r>
        <w:rPr>
          <w:rFonts w:hint="eastAsia" w:ascii="仿宋" w:hAnsi="仿宋" w:eastAsia="仿宋" w:cs="仿宋"/>
          <w:sz w:val="32"/>
          <w:szCs w:val="32"/>
          <w:lang w:val="en-US" w:eastAsia="zh-CN"/>
        </w:rPr>
        <w:t>为</w:t>
      </w:r>
      <w:r>
        <w:rPr>
          <w:rFonts w:hint="eastAsia" w:ascii="仿宋" w:hAnsi="仿宋" w:eastAsia="仿宋" w:cs="仿宋"/>
          <w:sz w:val="32"/>
          <w:szCs w:val="32"/>
        </w:rPr>
        <w:t>：</w:t>
      </w:r>
      <w:r>
        <w:rPr>
          <w:rFonts w:hint="eastAsia" w:ascii="仿宋" w:hAnsi="仿宋" w:eastAsia="仿宋"/>
          <w:sz w:val="32"/>
          <w:szCs w:val="32"/>
        </w:rPr>
        <w:t>1、被诉侵权产品是否落入涉案专利权保护范围；2、被告是否构成专利权侵权；</w:t>
      </w:r>
      <w:r>
        <w:rPr>
          <w:rFonts w:hint="eastAsia" w:ascii="仿宋" w:hAnsi="仿宋" w:eastAsia="仿宋" w:cs="仿宋"/>
          <w:sz w:val="32"/>
          <w:szCs w:val="32"/>
        </w:rPr>
        <w:t>3、被告如何承担责任。</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关于第一个问题，被诉侵权产品是否落入涉案专利权保护范围。被诉侵权产品与涉案专利产品系同类产品。经比对，被诉侵权产品与涉案专利产品，虽然在线条数量、下层有无小圆柱以及中间连接处为下凹线还是凸起线的差别上存在差异，但两者区别点识别性不够显著，一般消费者通过整体观察、综合判断，两者在整体视觉效果上无实质性差异，应认定两者构成相近似，被诉侵权产品落入涉案专利权保护范围。</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关于第二个问题，被告是否构成专利权侵权。根据《中华人民共和国专利法》第六十五条规定，未经专利权人许可，实施其专利，即侵犯其专利权。本案中，被告在其经营的拼多多网店中，公开宣传展示了被诉侵权产品的图片信息，该行为构成许诺销售被诉侵权产品。被告通过拼多多网店对外销售该被诉侵权商品，该行为构成销售被诉侵权产品。</w:t>
      </w:r>
    </w:p>
    <w:p>
      <w:pPr>
        <w:spacing w:line="480" w:lineRule="exact"/>
        <w:ind w:firstLine="640" w:firstLineChars="200"/>
        <w:rPr>
          <w:rFonts w:hint="eastAsia" w:ascii="仿宋" w:hAnsi="仿宋" w:eastAsia="仿宋"/>
          <w:sz w:val="32"/>
          <w:szCs w:val="32"/>
        </w:rPr>
      </w:pPr>
      <w:r>
        <w:rPr>
          <w:rFonts w:hint="eastAsia" w:ascii="仿宋" w:hAnsi="仿宋" w:eastAsia="仿宋"/>
          <w:sz w:val="32"/>
          <w:szCs w:val="32"/>
        </w:rPr>
        <w:t>关于第三个问题，被告主张产品有合法来源，但其提交的微信聊天记录的内容仅能证实被诉侵权产品并非原告自身生产制造，不能证明来源合法。原告作为健身器材经销商，在进货时对采购商品是否构成侵权负有高度的注意义务。被告拼多多网店中商品名称为“飞力士”健身弹力棒，与原告的“飞力仕”振动训练棒名称相似，健身棒的手柄外观相似，据此可知被告销售被诉侵权产品有侵权的故意。原告在取证时，被告拼多多店铺中显示销售数量为10万+件，被告主张其实际销量远不足10万件，而是存在大量的刷单行为。被告提供的拼多多的后台数据，证实其在拼多多店铺中显示的10万件被诉侵权产品实际销售金额为1元，故廊坊市中级人民法院确认被告在销售被诉侵权产品时确实存在刷单行为。根据被告提交的微信聊天记录，其对被诉侵权产品的进货数量至少为6，000根，但鉴于被告实际销售被诉侵权产品的数量无法确定、被告因侵权所获得的利益及原告的损失均难以确定，廊坊市中级人民法院综合考虑专利权的类型、侵权行为的性质、情节、时间，以及原告已针对健身棒整体外观设计专利另案提起诉讼的情形，酌定被告</w:t>
      </w:r>
      <w:r>
        <w:rPr>
          <w:rFonts w:hint="eastAsia" w:ascii="仿宋" w:hAnsi="仿宋" w:eastAsia="仿宋" w:cs="仿宋"/>
          <w:sz w:val="32"/>
          <w:szCs w:val="32"/>
        </w:rPr>
        <w:t>赔偿原告10，000元。原告未提交关于维权合理开支的相关证据，但廊坊市中级人民法院考虑到原告确实支出了律师费、公证费等开支，酌定本案中支持合理开支1，000元。鉴于本案庭审前，被告已将被诉侵权产品下架，故对原告下架被诉侵权产品的诉讼请求已无需做出裁判。</w:t>
      </w:r>
    </w:p>
    <w:p>
      <w:pPr>
        <w:spacing w:line="480" w:lineRule="exact"/>
        <w:ind w:firstLine="640" w:firstLineChars="200"/>
        <w:rPr>
          <w:rFonts w:ascii="仿宋" w:hAnsi="仿宋" w:eastAsia="仿宋" w:cs="仿宋"/>
          <w:sz w:val="32"/>
          <w:szCs w:val="32"/>
        </w:rPr>
      </w:pPr>
      <w:r>
        <w:rPr>
          <w:rFonts w:hint="eastAsia" w:ascii="仿宋" w:hAnsi="仿宋" w:eastAsia="仿宋"/>
          <w:sz w:val="32"/>
          <w:szCs w:val="32"/>
        </w:rPr>
        <w:t>综上</w:t>
      </w:r>
      <w:bookmarkStart w:id="0" w:name="_GoBack"/>
      <w:bookmarkEnd w:id="0"/>
      <w:r>
        <w:rPr>
          <w:rFonts w:hint="eastAsia" w:ascii="仿宋" w:hAnsi="仿宋" w:eastAsia="仿宋"/>
          <w:sz w:val="32"/>
          <w:szCs w:val="32"/>
        </w:rPr>
        <w:t>，</w:t>
      </w:r>
      <w:r>
        <w:rPr>
          <w:rFonts w:hint="eastAsia" w:ascii="仿宋" w:hAnsi="仿宋" w:eastAsia="仿宋" w:cs="仿宋"/>
          <w:sz w:val="32"/>
          <w:szCs w:val="32"/>
        </w:rPr>
        <w:t>廊坊市中级人民法院</w:t>
      </w:r>
      <w:r>
        <w:rPr>
          <w:rFonts w:hint="eastAsia" w:ascii="仿宋" w:hAnsi="仿宋" w:eastAsia="仿宋"/>
          <w:sz w:val="32"/>
          <w:szCs w:val="32"/>
        </w:rPr>
        <w:t>依照《中华人民共和国专利法》第六十五条，第七十一条，《最高人民法院关于审理侵犯专利权纠纷案件应用法律若干问题的解释》第十六条之规定，判决被告</w:t>
      </w:r>
      <w:r>
        <w:rPr>
          <w:rFonts w:ascii="仿宋" w:hAnsi="仿宋" w:eastAsia="仿宋" w:cs="仿宋"/>
          <w:sz w:val="32"/>
          <w:szCs w:val="32"/>
        </w:rPr>
        <w:t>霸州</w:t>
      </w:r>
      <w:r>
        <w:rPr>
          <w:rFonts w:hint="eastAsia" w:ascii="仿宋" w:hAnsi="仿宋" w:eastAsia="仿宋" w:cs="仿宋"/>
          <w:sz w:val="32"/>
          <w:szCs w:val="32"/>
        </w:rPr>
        <w:t>某</w:t>
      </w:r>
      <w:r>
        <w:rPr>
          <w:rFonts w:ascii="仿宋" w:hAnsi="仿宋" w:eastAsia="仿宋" w:cs="仿宋"/>
          <w:sz w:val="32"/>
          <w:szCs w:val="32"/>
        </w:rPr>
        <w:t>公司</w:t>
      </w:r>
      <w:r>
        <w:rPr>
          <w:rFonts w:hint="eastAsia" w:ascii="仿宋" w:hAnsi="仿宋" w:eastAsia="仿宋" w:cs="仿宋"/>
          <w:sz w:val="32"/>
          <w:szCs w:val="32"/>
        </w:rPr>
        <w:t>于本判决生效之日起10日内赔偿原告</w:t>
      </w:r>
      <w:r>
        <w:rPr>
          <w:rFonts w:hint="eastAsia" w:ascii="仿宋" w:hAnsi="仿宋" w:eastAsia="仿宋"/>
          <w:sz w:val="32"/>
          <w:szCs w:val="32"/>
        </w:rPr>
        <w:t>泉州某公司经济损失10，000元及维护合理开支1，000元</w:t>
      </w:r>
      <w:r>
        <w:rPr>
          <w:rFonts w:hint="eastAsia" w:ascii="仿宋" w:hAnsi="仿宋" w:eastAsia="仿宋" w:cs="仿宋"/>
          <w:sz w:val="32"/>
          <w:szCs w:val="32"/>
        </w:rPr>
        <w:t>。</w:t>
      </w:r>
    </w:p>
    <w:p>
      <w:pPr>
        <w:wordWrap w:val="0"/>
        <w:adjustRightInd w:val="0"/>
        <w:spacing w:line="480" w:lineRule="exact"/>
        <w:ind w:right="-6" w:firstLine="640" w:firstLineChars="200"/>
        <w:jc w:val="right"/>
        <w:rPr>
          <w:rFonts w:ascii="仿宋" w:hAnsi="仿宋" w:eastAsia="仿宋" w:cs="仿宋"/>
          <w:sz w:val="32"/>
        </w:rPr>
      </w:pPr>
    </w:p>
    <w:sectPr>
      <w:footerReference r:id="rId4" w:type="default"/>
      <w:headerReference r:id="rId3" w:type="even"/>
      <w:footerReference r:id="rId5" w:type="even"/>
      <w:pgSz w:w="11907" w:h="16840"/>
      <w:pgMar w:top="884" w:right="1020" w:bottom="884" w:left="1276" w:header="851" w:footer="153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spacing w:line="560" w:lineRule="exact"/>
      <w:jc w:val="right"/>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rPr>
      <w:t>3</w:t>
    </w:r>
    <w:r>
      <w:rPr>
        <w:rFonts w:ascii="宋体" w:hAnsi="宋体"/>
        <w:sz w:val="28"/>
        <w:szCs w:val="28"/>
      </w:rPr>
      <w:fldChar w:fldCharType="end"/>
    </w:r>
    <w:r>
      <w:rPr>
        <w:rFonts w:hint="eastAsia" w:ascii="宋体" w:hAnsi="宋体"/>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560" w:lineRule="exact"/>
      <w:ind w:firstLine="280" w:firstLineChars="10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rPr>
      <w:t>4</w:t>
    </w:r>
    <w:r>
      <w:rPr>
        <w:rFonts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evenAndOddHeaders w:val="1"/>
  <w:drawingGridHorizontalSpacing w:val="105"/>
  <w:drawingGridVerticalSpacing w:val="156"/>
  <w:displayHorizontalDrawingGridEvery w:val="0"/>
  <w:displayVerticalDrawingGridEvery w:val="2"/>
  <w:characterSpacingControl w:val="doNotCompress"/>
  <w:doNotValidateAgainstSchema/>
  <w:doNotDemarcateInvalidXml/>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Y0NDM2NDYytjQ2M7GwMLNU0lEKTi0uzszPAykwqQUAG+x1cSwAAAA="/>
    <w:docVar w:name="64DEB7090000BF31" w:val=" "/>
    <w:docVar w:name="commondata" w:val="eyJoZGlkIjoiZDA2YTEwNTk4OTkxYzM2OWE0N2NkNGViYzVkMGFiZGIifQ=="/>
  </w:docVars>
  <w:rsids>
    <w:rsidRoot w:val="001A010C"/>
    <w:rsid w:val="0003781C"/>
    <w:rsid w:val="00042D48"/>
    <w:rsid w:val="000508F6"/>
    <w:rsid w:val="000515E7"/>
    <w:rsid w:val="000567E1"/>
    <w:rsid w:val="00074862"/>
    <w:rsid w:val="00080078"/>
    <w:rsid w:val="00085EB1"/>
    <w:rsid w:val="00086A07"/>
    <w:rsid w:val="00093C66"/>
    <w:rsid w:val="000A0007"/>
    <w:rsid w:val="000B4913"/>
    <w:rsid w:val="000C38F3"/>
    <w:rsid w:val="000F4E04"/>
    <w:rsid w:val="000F77CE"/>
    <w:rsid w:val="00101366"/>
    <w:rsid w:val="00123616"/>
    <w:rsid w:val="00124738"/>
    <w:rsid w:val="00126AD1"/>
    <w:rsid w:val="00143618"/>
    <w:rsid w:val="00144DFD"/>
    <w:rsid w:val="001556E5"/>
    <w:rsid w:val="00176887"/>
    <w:rsid w:val="001771E6"/>
    <w:rsid w:val="00185FAE"/>
    <w:rsid w:val="00190D85"/>
    <w:rsid w:val="001A010C"/>
    <w:rsid w:val="001A3B53"/>
    <w:rsid w:val="001B32D8"/>
    <w:rsid w:val="001B6EBE"/>
    <w:rsid w:val="001C4346"/>
    <w:rsid w:val="001D00C2"/>
    <w:rsid w:val="001D5C55"/>
    <w:rsid w:val="001D5ED0"/>
    <w:rsid w:val="001F2213"/>
    <w:rsid w:val="00215AC6"/>
    <w:rsid w:val="00234D5E"/>
    <w:rsid w:val="0024405B"/>
    <w:rsid w:val="0025498A"/>
    <w:rsid w:val="00260A26"/>
    <w:rsid w:val="002648D0"/>
    <w:rsid w:val="002761BF"/>
    <w:rsid w:val="00287C5F"/>
    <w:rsid w:val="00291287"/>
    <w:rsid w:val="00295CF5"/>
    <w:rsid w:val="00296E79"/>
    <w:rsid w:val="002A7027"/>
    <w:rsid w:val="002B4784"/>
    <w:rsid w:val="002C2B86"/>
    <w:rsid w:val="002C388E"/>
    <w:rsid w:val="002E2C43"/>
    <w:rsid w:val="002F47D2"/>
    <w:rsid w:val="00325B03"/>
    <w:rsid w:val="0032630C"/>
    <w:rsid w:val="00377FEB"/>
    <w:rsid w:val="003969FE"/>
    <w:rsid w:val="003A3AB3"/>
    <w:rsid w:val="003A47B8"/>
    <w:rsid w:val="003B07ED"/>
    <w:rsid w:val="003C07BB"/>
    <w:rsid w:val="003D1C98"/>
    <w:rsid w:val="00431F64"/>
    <w:rsid w:val="004325E1"/>
    <w:rsid w:val="00432D48"/>
    <w:rsid w:val="00446120"/>
    <w:rsid w:val="00456524"/>
    <w:rsid w:val="00464811"/>
    <w:rsid w:val="0046734D"/>
    <w:rsid w:val="00483DE3"/>
    <w:rsid w:val="004912F4"/>
    <w:rsid w:val="004B7569"/>
    <w:rsid w:val="004C7585"/>
    <w:rsid w:val="004D264D"/>
    <w:rsid w:val="004E2A37"/>
    <w:rsid w:val="004F4421"/>
    <w:rsid w:val="004F5D41"/>
    <w:rsid w:val="0051660A"/>
    <w:rsid w:val="00526A03"/>
    <w:rsid w:val="005313F6"/>
    <w:rsid w:val="0055443E"/>
    <w:rsid w:val="0058079F"/>
    <w:rsid w:val="005A6979"/>
    <w:rsid w:val="005B517A"/>
    <w:rsid w:val="005C2D3E"/>
    <w:rsid w:val="005D488B"/>
    <w:rsid w:val="005E402F"/>
    <w:rsid w:val="005E5562"/>
    <w:rsid w:val="005F13E7"/>
    <w:rsid w:val="00601540"/>
    <w:rsid w:val="006118F9"/>
    <w:rsid w:val="00612C7F"/>
    <w:rsid w:val="00620E3A"/>
    <w:rsid w:val="00646358"/>
    <w:rsid w:val="0064770A"/>
    <w:rsid w:val="00661195"/>
    <w:rsid w:val="00674A77"/>
    <w:rsid w:val="0069238B"/>
    <w:rsid w:val="00697574"/>
    <w:rsid w:val="006A65E0"/>
    <w:rsid w:val="006B5042"/>
    <w:rsid w:val="006C3A26"/>
    <w:rsid w:val="006F001A"/>
    <w:rsid w:val="006F0978"/>
    <w:rsid w:val="006F116E"/>
    <w:rsid w:val="006F5D6A"/>
    <w:rsid w:val="006F5FEA"/>
    <w:rsid w:val="006F7E45"/>
    <w:rsid w:val="00706646"/>
    <w:rsid w:val="00714775"/>
    <w:rsid w:val="00714F47"/>
    <w:rsid w:val="00761955"/>
    <w:rsid w:val="0077150D"/>
    <w:rsid w:val="00787DFB"/>
    <w:rsid w:val="00791DB5"/>
    <w:rsid w:val="00792C2E"/>
    <w:rsid w:val="007E4A2A"/>
    <w:rsid w:val="0080344B"/>
    <w:rsid w:val="0080462C"/>
    <w:rsid w:val="00805B10"/>
    <w:rsid w:val="008154D3"/>
    <w:rsid w:val="00822899"/>
    <w:rsid w:val="00830D55"/>
    <w:rsid w:val="008334A9"/>
    <w:rsid w:val="00836F59"/>
    <w:rsid w:val="00837058"/>
    <w:rsid w:val="00852BB8"/>
    <w:rsid w:val="008616F3"/>
    <w:rsid w:val="0086320E"/>
    <w:rsid w:val="00865A70"/>
    <w:rsid w:val="008662E4"/>
    <w:rsid w:val="0088501B"/>
    <w:rsid w:val="008931EB"/>
    <w:rsid w:val="008C2297"/>
    <w:rsid w:val="008C5F23"/>
    <w:rsid w:val="008D2AC8"/>
    <w:rsid w:val="008E6FA3"/>
    <w:rsid w:val="008F2219"/>
    <w:rsid w:val="00907F4C"/>
    <w:rsid w:val="00910547"/>
    <w:rsid w:val="0094069B"/>
    <w:rsid w:val="009521E2"/>
    <w:rsid w:val="00961320"/>
    <w:rsid w:val="0097219B"/>
    <w:rsid w:val="00974EBD"/>
    <w:rsid w:val="009751ED"/>
    <w:rsid w:val="00975719"/>
    <w:rsid w:val="009933D9"/>
    <w:rsid w:val="00995F1C"/>
    <w:rsid w:val="009B1E7C"/>
    <w:rsid w:val="009B5660"/>
    <w:rsid w:val="00A0696B"/>
    <w:rsid w:val="00A22125"/>
    <w:rsid w:val="00A26D7B"/>
    <w:rsid w:val="00A438C0"/>
    <w:rsid w:val="00A61D0F"/>
    <w:rsid w:val="00A659E3"/>
    <w:rsid w:val="00A770B8"/>
    <w:rsid w:val="00A8140B"/>
    <w:rsid w:val="00A82FC0"/>
    <w:rsid w:val="00AC392D"/>
    <w:rsid w:val="00AF0E2C"/>
    <w:rsid w:val="00AF2CA8"/>
    <w:rsid w:val="00AF4029"/>
    <w:rsid w:val="00AF6FAB"/>
    <w:rsid w:val="00B366C1"/>
    <w:rsid w:val="00B462C6"/>
    <w:rsid w:val="00B511EE"/>
    <w:rsid w:val="00B54ACD"/>
    <w:rsid w:val="00B61ED4"/>
    <w:rsid w:val="00B65446"/>
    <w:rsid w:val="00B67057"/>
    <w:rsid w:val="00B676AD"/>
    <w:rsid w:val="00B803A2"/>
    <w:rsid w:val="00BC112F"/>
    <w:rsid w:val="00BD0B0D"/>
    <w:rsid w:val="00BD6460"/>
    <w:rsid w:val="00BF62A0"/>
    <w:rsid w:val="00BF6822"/>
    <w:rsid w:val="00C45B51"/>
    <w:rsid w:val="00C63496"/>
    <w:rsid w:val="00C723BD"/>
    <w:rsid w:val="00C86D49"/>
    <w:rsid w:val="00C86D73"/>
    <w:rsid w:val="00C93231"/>
    <w:rsid w:val="00C93C7F"/>
    <w:rsid w:val="00C97AB4"/>
    <w:rsid w:val="00CA79CA"/>
    <w:rsid w:val="00CC1413"/>
    <w:rsid w:val="00CC363B"/>
    <w:rsid w:val="00CD2A0B"/>
    <w:rsid w:val="00CE5EBD"/>
    <w:rsid w:val="00CF1567"/>
    <w:rsid w:val="00D06C34"/>
    <w:rsid w:val="00D06C69"/>
    <w:rsid w:val="00D1167C"/>
    <w:rsid w:val="00D21981"/>
    <w:rsid w:val="00D22E28"/>
    <w:rsid w:val="00D32587"/>
    <w:rsid w:val="00D4472E"/>
    <w:rsid w:val="00D50086"/>
    <w:rsid w:val="00D533E6"/>
    <w:rsid w:val="00D57ED2"/>
    <w:rsid w:val="00D67D2D"/>
    <w:rsid w:val="00D74946"/>
    <w:rsid w:val="00DB3A30"/>
    <w:rsid w:val="00DC1E6E"/>
    <w:rsid w:val="00DE0587"/>
    <w:rsid w:val="00DF16E3"/>
    <w:rsid w:val="00DF5B48"/>
    <w:rsid w:val="00E04FDC"/>
    <w:rsid w:val="00E106AE"/>
    <w:rsid w:val="00E1626C"/>
    <w:rsid w:val="00E256DF"/>
    <w:rsid w:val="00E31015"/>
    <w:rsid w:val="00E4149B"/>
    <w:rsid w:val="00E50E98"/>
    <w:rsid w:val="00E51A66"/>
    <w:rsid w:val="00E90CC0"/>
    <w:rsid w:val="00ED43CA"/>
    <w:rsid w:val="00EF26A9"/>
    <w:rsid w:val="00F01CCE"/>
    <w:rsid w:val="00F1037D"/>
    <w:rsid w:val="00F11951"/>
    <w:rsid w:val="00F24AA7"/>
    <w:rsid w:val="00F62EFF"/>
    <w:rsid w:val="00F90374"/>
    <w:rsid w:val="00F94866"/>
    <w:rsid w:val="00FA1387"/>
    <w:rsid w:val="00FA354D"/>
    <w:rsid w:val="00FA6201"/>
    <w:rsid w:val="00FA7740"/>
    <w:rsid w:val="00FB3859"/>
    <w:rsid w:val="00FC773B"/>
    <w:rsid w:val="00FF6B8E"/>
    <w:rsid w:val="03697E94"/>
    <w:rsid w:val="050F2101"/>
    <w:rsid w:val="0D196520"/>
    <w:rsid w:val="0E9C286B"/>
    <w:rsid w:val="0F411414"/>
    <w:rsid w:val="0F4B3C50"/>
    <w:rsid w:val="0FB30F94"/>
    <w:rsid w:val="12F6545F"/>
    <w:rsid w:val="18942D08"/>
    <w:rsid w:val="1EDE2D24"/>
    <w:rsid w:val="241D144D"/>
    <w:rsid w:val="2E7119F9"/>
    <w:rsid w:val="300B6BE0"/>
    <w:rsid w:val="35236CE8"/>
    <w:rsid w:val="3AF37CE7"/>
    <w:rsid w:val="3DC869AD"/>
    <w:rsid w:val="3DF83B7D"/>
    <w:rsid w:val="40B4390C"/>
    <w:rsid w:val="426A2723"/>
    <w:rsid w:val="459C2E32"/>
    <w:rsid w:val="48496326"/>
    <w:rsid w:val="484B79C3"/>
    <w:rsid w:val="4D310D32"/>
    <w:rsid w:val="4F5E138C"/>
    <w:rsid w:val="504428BE"/>
    <w:rsid w:val="510D2307"/>
    <w:rsid w:val="51ED66B6"/>
    <w:rsid w:val="558811BD"/>
    <w:rsid w:val="56FB28AA"/>
    <w:rsid w:val="59070E1D"/>
    <w:rsid w:val="59657639"/>
    <w:rsid w:val="596B0B42"/>
    <w:rsid w:val="61331C9E"/>
    <w:rsid w:val="617E13BC"/>
    <w:rsid w:val="6251055B"/>
    <w:rsid w:val="6741091B"/>
    <w:rsid w:val="6A0976B0"/>
    <w:rsid w:val="6DC463A3"/>
    <w:rsid w:val="73075FE7"/>
    <w:rsid w:val="73462848"/>
    <w:rsid w:val="76A828B9"/>
    <w:rsid w:val="79BB4445"/>
    <w:rsid w:val="7B1469E4"/>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qFormat="1"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autoRedefine/>
    <w:unhideWhenUsed/>
    <w:qFormat/>
    <w:uiPriority w:val="0"/>
    <w:rPr>
      <w:rFonts w:ascii="宋体"/>
      <w:sz w:val="24"/>
      <w:szCs w:val="24"/>
    </w:rPr>
  </w:style>
  <w:style w:type="paragraph" w:styleId="3">
    <w:name w:val="Body Text"/>
    <w:basedOn w:val="1"/>
    <w:link w:val="11"/>
    <w:unhideWhenUsed/>
    <w:uiPriority w:val="0"/>
    <w:rPr>
      <w:sz w:val="24"/>
      <w:szCs w:val="24"/>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semiHidden/>
    <w:qFormat/>
    <w:uiPriority w:val="0"/>
    <w:pPr>
      <w:pBdr>
        <w:bottom w:val="single" w:color="auto" w:sz="6" w:space="1"/>
      </w:pBdr>
      <w:tabs>
        <w:tab w:val="center" w:pos="4153"/>
        <w:tab w:val="right" w:pos="8306"/>
      </w:tabs>
      <w:snapToGrid w:val="0"/>
      <w:jc w:val="center"/>
    </w:pPr>
    <w:rPr>
      <w:sz w:val="18"/>
      <w:szCs w:val="18"/>
    </w:rPr>
  </w:style>
  <w:style w:type="character" w:styleId="8">
    <w:name w:val="Strong"/>
    <w:autoRedefine/>
    <w:qFormat/>
    <w:uiPriority w:val="0"/>
    <w:rPr>
      <w:b/>
      <w:bCs/>
    </w:rPr>
  </w:style>
  <w:style w:type="character" w:customStyle="1" w:styleId="9">
    <w:name w:val="Header Char"/>
    <w:semiHidden/>
    <w:locked/>
    <w:uiPriority w:val="0"/>
    <w:rPr>
      <w:rFonts w:cs="Times New Roman"/>
      <w:sz w:val="18"/>
      <w:szCs w:val="18"/>
    </w:rPr>
  </w:style>
  <w:style w:type="character" w:customStyle="1" w:styleId="10">
    <w:name w:val="Footer Char"/>
    <w:locked/>
    <w:uiPriority w:val="0"/>
    <w:rPr>
      <w:rFonts w:cs="Times New Roman"/>
      <w:sz w:val="18"/>
      <w:szCs w:val="18"/>
    </w:rPr>
  </w:style>
  <w:style w:type="character" w:customStyle="1" w:styleId="11">
    <w:name w:val="正文文本 Char"/>
    <w:basedOn w:val="7"/>
    <w:link w:val="3"/>
    <w:semiHidden/>
    <w:uiPriority w:val="0"/>
    <w:rPr>
      <w:rFonts w:ascii="Times New Roman" w:hAnsi="Times New Roman"/>
      <w:kern w:val="2"/>
      <w:sz w:val="24"/>
      <w:szCs w:val="24"/>
    </w:rPr>
  </w:style>
  <w:style w:type="character" w:customStyle="1" w:styleId="12">
    <w:name w:val="Footer Char1"/>
    <w:autoRedefine/>
    <w:qFormat/>
    <w:uiPriority w:val="0"/>
    <w:rPr>
      <w:kern w:val="2"/>
      <w:sz w:val="18"/>
      <w:szCs w:val="18"/>
    </w:rPr>
  </w:style>
  <w:style w:type="character" w:customStyle="1" w:styleId="13">
    <w:name w:val="Document Map Char"/>
    <w:semiHidden/>
    <w:uiPriority w:val="0"/>
    <w:rPr>
      <w:rFonts w:ascii="宋体"/>
      <w:kern w:val="2"/>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348</Words>
  <Characters>1987</Characters>
  <Lines>16</Lines>
  <Paragraphs>4</Paragraphs>
  <TotalTime>0</TotalTime>
  <ScaleCrop>false</ScaleCrop>
  <LinksUpToDate>false</LinksUpToDate>
  <CharactersWithSpaces>2331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2023-08-18T00:14:00Z</dcterms:created>
  <dc:creator>Classiclaw</dc:creator>
  <cp:lastModifiedBy>郝军生</cp:lastModifiedBy>
  <cp:lastPrinted>2016-11-30T13:43:00Z</cp:lastPrinted>
  <dcterms:modified xsi:type="dcterms:W3CDTF">2024-04-25T10:59:06Z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83AEA2B08D804014AB59CA6173497CF9_12</vt:lpwstr>
  </property>
</Properties>
</file>