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ind w:firstLine="643" w:firstLineChars="200"/>
        <w:rPr>
          <w:rFonts w:hint="eastAsia" w:ascii="宋体" w:hAnsi="宋体" w:eastAsia="宋体" w:cs="仿宋"/>
          <w:b/>
          <w:sz w:val="32"/>
          <w:szCs w:val="32"/>
        </w:rPr>
      </w:pPr>
    </w:p>
    <w:p>
      <w:pPr>
        <w:spacing w:line="490" w:lineRule="exact"/>
        <w:ind w:firstLine="643" w:firstLineChars="200"/>
        <w:rPr>
          <w:rFonts w:hint="eastAsia" w:ascii="宋体" w:hAnsi="宋体" w:eastAsia="宋体" w:cs="仿宋"/>
          <w:b/>
          <w:sz w:val="32"/>
          <w:szCs w:val="32"/>
        </w:rPr>
      </w:pPr>
      <w:r>
        <w:rPr>
          <w:rFonts w:hint="eastAsia" w:ascii="宋体" w:hAnsi="宋体" w:eastAsia="宋体" w:cs="仿宋"/>
          <w:b/>
          <w:sz w:val="32"/>
          <w:szCs w:val="32"/>
          <w:lang w:val="en-US" w:eastAsia="zh-CN"/>
        </w:rPr>
        <w:t>三、原告</w:t>
      </w:r>
      <w:r>
        <w:rPr>
          <w:rFonts w:hint="eastAsia" w:ascii="宋体" w:hAnsi="宋体" w:eastAsia="宋体" w:cs="仿宋"/>
          <w:b/>
          <w:sz w:val="32"/>
          <w:szCs w:val="32"/>
        </w:rPr>
        <w:t>中某集团有限公司诉</w:t>
      </w:r>
      <w:r>
        <w:rPr>
          <w:rFonts w:hint="eastAsia" w:ascii="宋体" w:hAnsi="宋体" w:eastAsia="宋体" w:cs="仿宋"/>
          <w:b/>
          <w:sz w:val="32"/>
          <w:szCs w:val="32"/>
          <w:lang w:val="en-US" w:eastAsia="zh-CN"/>
        </w:rPr>
        <w:t>被告</w:t>
      </w:r>
      <w:r>
        <w:rPr>
          <w:rFonts w:hint="eastAsia" w:ascii="宋体" w:hAnsi="宋体" w:eastAsia="宋体" w:cs="仿宋"/>
          <w:b/>
          <w:sz w:val="32"/>
          <w:szCs w:val="32"/>
        </w:rPr>
        <w:t>固安某某华商贸有限</w:t>
      </w:r>
      <w:bookmarkStart w:id="0" w:name="hxa000044"/>
      <w:bookmarkEnd w:id="0"/>
      <w:r>
        <w:rPr>
          <w:rFonts w:hint="eastAsia" w:ascii="宋体" w:hAnsi="宋体" w:eastAsia="宋体" w:cs="仿宋"/>
          <w:b/>
          <w:sz w:val="32"/>
          <w:szCs w:val="32"/>
        </w:rPr>
        <w:t>公司侵害商标权纠纷案</w:t>
      </w:r>
      <w:r>
        <w:rPr>
          <w:rFonts w:hint="eastAsia" w:ascii="宋体" w:hAnsi="宋体" w:eastAsia="宋体" w:cs="仿宋"/>
          <w:b/>
          <w:sz w:val="32"/>
          <w:szCs w:val="32"/>
          <w:lang w:val="en-US" w:eastAsia="zh-CN"/>
        </w:rPr>
        <w:t>〔</w:t>
      </w:r>
      <w:r>
        <w:rPr>
          <w:rFonts w:hint="eastAsia" w:ascii="宋体" w:hAnsi="宋体" w:eastAsia="宋体" w:cs="仿宋"/>
          <w:b/>
          <w:sz w:val="32"/>
          <w:szCs w:val="32"/>
        </w:rPr>
        <w:t>（2023）冀1002知民初588号</w:t>
      </w:r>
      <w:r>
        <w:rPr>
          <w:rFonts w:hint="eastAsia" w:ascii="宋体" w:hAnsi="宋体" w:eastAsia="宋体" w:cs="仿宋"/>
          <w:b/>
          <w:sz w:val="32"/>
          <w:szCs w:val="32"/>
          <w:lang w:val="en-US" w:eastAsia="zh-CN"/>
        </w:rPr>
        <w:t>〕</w:t>
      </w:r>
    </w:p>
    <w:p>
      <w:pPr>
        <w:spacing w:line="480" w:lineRule="exact"/>
        <w:jc w:val="center"/>
        <w:rPr>
          <w:rFonts w:ascii="宋体" w:hAnsi="宋体" w:eastAsia="宋体" w:cs="仿宋"/>
          <w:b/>
          <w:sz w:val="32"/>
          <w:szCs w:val="32"/>
        </w:rPr>
      </w:pPr>
    </w:p>
    <w:p>
      <w:pPr>
        <w:spacing w:line="480" w:lineRule="exact"/>
        <w:jc w:val="center"/>
        <w:rPr>
          <w:rFonts w:ascii="宋体" w:hAnsi="宋体" w:eastAsia="宋体" w:cs="仿宋"/>
          <w:b/>
          <w:sz w:val="32"/>
          <w:szCs w:val="32"/>
        </w:rPr>
      </w:pP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【裁判要旨】</w:t>
      </w:r>
    </w:p>
    <w:p>
      <w:pPr>
        <w:spacing w:line="500" w:lineRule="exact"/>
        <w:ind w:left="-141" w:leftChars="-67" w:firstLine="723" w:firstLineChars="226"/>
        <w:jc w:val="left"/>
        <w:rPr>
          <w:rFonts w:ascii="仿宋" w:hAnsi="仿宋" w:eastAsia="仿宋"/>
          <w:color w:val="000000"/>
          <w:sz w:val="32"/>
          <w:szCs w:val="32"/>
        </w:rPr>
      </w:pPr>
      <w:r>
        <w:rPr>
          <w:rFonts w:hint="eastAsia" w:ascii="仿宋" w:hAnsi="仿宋" w:eastAsia="仿宋"/>
          <w:color w:val="000000"/>
          <w:sz w:val="32"/>
          <w:szCs w:val="32"/>
        </w:rPr>
        <w:t>被告在网店首页使用原告商标宣传，但被告店铺内并非仅销售原告产品，被告的行为容易使不特定公众误认被告的店铺为仅销售原告产品的店铺或产品均与原告有关。被告未经原告许可在原告注册商标核定使用范围内使用原告商标用于宣传，侵犯了原告的商标权，依法应承担相应的民事责任。</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【案情介绍】</w:t>
      </w:r>
    </w:p>
    <w:p>
      <w:pPr>
        <w:pStyle w:val="2"/>
        <w:autoSpaceDE w:val="0"/>
        <w:spacing w:line="500" w:lineRule="exact"/>
        <w:ind w:firstLine="640" w:firstLineChars="200"/>
        <w:rPr>
          <w:rFonts w:ascii="仿宋" w:hAnsi="仿宋" w:cstheme="minorBidi"/>
        </w:rPr>
      </w:pPr>
      <w:r>
        <w:rPr>
          <w:rFonts w:hint="eastAsia" w:ascii="仿宋" w:hAnsi="仿宋" w:cstheme="minorBidi"/>
        </w:rPr>
        <w:t>一、原告商标权权属的事实。涉案商标第1191997号“中粮”，由中国粮油食品进出口总公司申请注册，注册有效期自1998年7月14日至2008年7月13日，核定服务项目第35类：广告；广告代理，室外广告；张贴广告；广告传播；样品散发；直接邮寄广告；商品展示；无线电广告；无线电商业广告；电视广告；电视商业广告；商品橱窗布置；广告宣传栏的制备；广告宣传册的出版；广告材料更新；商业咨询；商业管理咨询；商业估价；商业调查；商业组织咨询；商业信息；贸易业务的专业咨询；市场分析；市场研究；进出口代理；人事管理咨询；人员招收；营业场所搬迁；文档的计算机管理；会计；审计；帐目报表。后又经几次核准注册人名义变更为中某集团有限公司。续展注册有效期至2028年7月13日。</w:t>
      </w:r>
    </w:p>
    <w:p>
      <w:pPr>
        <w:pStyle w:val="2"/>
        <w:autoSpaceDE w:val="0"/>
        <w:spacing w:line="500" w:lineRule="exact"/>
        <w:ind w:firstLine="640" w:firstLineChars="200"/>
        <w:rPr>
          <w:rFonts w:ascii="仿宋" w:hAnsi="仿宋" w:cstheme="minorBidi"/>
        </w:rPr>
      </w:pPr>
      <w:r>
        <w:rPr>
          <w:rFonts w:hint="eastAsia" w:ascii="仿宋" w:hAnsi="仿宋" w:cstheme="minorBidi"/>
        </w:rPr>
        <w:t>涉案商标第5623690号“</w:t>
      </w:r>
      <w:r>
        <w:rPr>
          <w:rFonts w:hint="eastAsia" w:ascii="仿宋" w:hAnsi="仿宋" w:cstheme="minorBidi"/>
        </w:rPr>
        <w:drawing>
          <wp:inline distT="0" distB="0" distL="0" distR="0">
            <wp:extent cx="257175" cy="273050"/>
            <wp:effectExtent l="19050" t="0" r="9525" b="0"/>
            <wp:docPr id="19" name="图片 5" descr="458df32d27e84b1cca9490c7ac06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458df32d27e84b1cca9490c7ac06e44.jpg"/>
                    <pic:cNvPicPr>
                      <a:picLocks noChangeAspect="1"/>
                    </pic:cNvPicPr>
                  </pic:nvPicPr>
                  <pic:blipFill>
                    <a:blip r:embed="rId4" cstate="print"/>
                    <a:stretch>
                      <a:fillRect/>
                    </a:stretch>
                  </pic:blipFill>
                  <pic:spPr>
                    <a:xfrm>
                      <a:off x="0" y="0"/>
                      <a:ext cx="257019" cy="273177"/>
                    </a:xfrm>
                    <a:prstGeom prst="rect">
                      <a:avLst/>
                    </a:prstGeom>
                  </pic:spPr>
                </pic:pic>
              </a:graphicData>
            </a:graphic>
          </wp:inline>
        </w:drawing>
      </w:r>
      <w:r>
        <w:rPr>
          <w:rFonts w:hint="eastAsia" w:ascii="仿宋" w:hAnsi="仿宋" w:cstheme="minorBidi"/>
        </w:rPr>
        <w:t>”，由中某集团有限公司申请注册，注册有效期自2009年10月21日至2019年10月20日，核定服务项目第35类：广告传播；饭店管理；进出口代理；推销（替他人）；商业研究；人事管理咨询；商业场所搬迁；计算机数据库信息输入；会计；自动售货机出租（截止）。续展注册有效期至2029年10月20日。</w:t>
      </w:r>
    </w:p>
    <w:p>
      <w:pPr>
        <w:pStyle w:val="2"/>
        <w:autoSpaceDE w:val="0"/>
        <w:spacing w:line="500" w:lineRule="exact"/>
        <w:ind w:firstLine="640" w:firstLineChars="200"/>
        <w:rPr>
          <w:rFonts w:ascii="仿宋" w:hAnsi="仿宋" w:cstheme="minorBidi"/>
        </w:rPr>
      </w:pPr>
      <w:r>
        <w:rPr>
          <w:rFonts w:hint="eastAsia" w:ascii="仿宋" w:hAnsi="仿宋" w:cstheme="minorBidi"/>
        </w:rPr>
        <w:t>涉案商标第5669039号“</w:t>
      </w:r>
      <w:r>
        <w:rPr>
          <w:rFonts w:hint="eastAsia" w:ascii="仿宋" w:hAnsi="仿宋" w:cstheme="minorBidi"/>
        </w:rPr>
        <w:drawing>
          <wp:inline distT="0" distB="0" distL="0" distR="0">
            <wp:extent cx="381000" cy="152400"/>
            <wp:effectExtent l="19050" t="0" r="0" b="0"/>
            <wp:docPr id="20" name="图片 7" descr="e9f76e08b7266fd6d0a58ac801064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e9f76e08b7266fd6d0a58ac801064f7.jpg"/>
                    <pic:cNvPicPr>
                      <a:picLocks noChangeAspect="1"/>
                    </pic:cNvPicPr>
                  </pic:nvPicPr>
                  <pic:blipFill>
                    <a:blip r:embed="rId5" cstate="print"/>
                    <a:stretch>
                      <a:fillRect/>
                    </a:stretch>
                  </pic:blipFill>
                  <pic:spPr>
                    <a:xfrm>
                      <a:off x="0" y="0"/>
                      <a:ext cx="381108" cy="152590"/>
                    </a:xfrm>
                    <a:prstGeom prst="rect">
                      <a:avLst/>
                    </a:prstGeom>
                  </pic:spPr>
                </pic:pic>
              </a:graphicData>
            </a:graphic>
          </wp:inline>
        </w:drawing>
      </w:r>
      <w:r>
        <w:rPr>
          <w:rFonts w:hint="eastAsia" w:ascii="仿宋" w:hAnsi="仿宋" w:cstheme="minorBidi"/>
        </w:rPr>
        <w:t>”，由中某集团有限公司申请注册，注册有效期自2012年4月14日至2022年4月13日，核定服务项目第35类：广告传播；饭店管理；进出口代理；推销（替他人）；商业研究；人事管理咨询；商业场所搬迁；计算机数据库信息输入；会计；自动售货机出租（截止）。续展注册有效期至2032年4月13日。</w:t>
      </w:r>
    </w:p>
    <w:p>
      <w:pPr>
        <w:pStyle w:val="9"/>
        <w:spacing w:line="500" w:lineRule="exact"/>
        <w:ind w:firstLine="640"/>
        <w:rPr>
          <w:rFonts w:cstheme="minorBidi"/>
          <w:szCs w:val="32"/>
        </w:rPr>
      </w:pPr>
      <w:r>
        <w:rPr>
          <w:rFonts w:hint="eastAsia" w:cstheme="minorBidi"/>
          <w:szCs w:val="32"/>
        </w:rPr>
        <w:t>二、原告获得的荣誉和市场影响力。</w:t>
      </w:r>
      <w:r>
        <w:rPr>
          <w:rFonts w:hint="eastAsia" w:cstheme="minorBidi"/>
          <w:color w:val="000000"/>
          <w:szCs w:val="32"/>
        </w:rPr>
        <w:t>国家工商行政管理总局商标局出具“商标驰字[2005]第60号”《关于认定“中粮”商标为驰名商标的批复》记载：认定中国粮油食品（集团）有限公司使用在商标注册用商品和服务国际分类第35类进出口代理服务上的“中粮”注册商标为驰名商标。中某集团有限公司曾获得“中国商标金奖”。</w:t>
      </w:r>
    </w:p>
    <w:p>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被诉侵权行为的情况。申请人中某集团有限公司的委托代理人于二〇二二年九月九日来到北京市海诚公证处，向该处申请对京东商城-优品良客官方旗舰店中的有关礼包、礼盒等网页内容办理保全证据公证。公证书显示，原告委托人在被告经营的京东商城 “优品良客官方旗舰店”，点击进入“中粮大礼包”，购买了被诉侵权商品。</w:t>
      </w:r>
    </w:p>
    <w:p>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被告主体情况。固安某某华商贸有限公司，2018年10月17日成立，营业期限自2018年10月17日至2038年10月16日，类型：有限责任公司（自然人投资或控股），登记状态：存续，住所：河北省廊坊市固安县东湾乡孙庄村248号。</w:t>
      </w:r>
    </w:p>
    <w:p>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被告抗辩的相关情况。中粮时怡健康食品有限公司授权被告销售中粮时怡、中粮粮小买、中粮安荟堂、中粮时怡乡村振兴所有品类产品；北京京储食品有限公司授权被告销售中粮时怡、中粮粮小买、中粮宁府御贡、中粮万威客、中粮山萃、名物、李锦记、伊利、中粮家佳康等品牌产品的销售和供货事宜；中国糖业酒类集团有限公司授权被告销售屯河、中糖品牌系列产品。</w:t>
      </w:r>
    </w:p>
    <w:p>
      <w:pPr>
        <w:pStyle w:val="2"/>
        <w:autoSpaceDE w:val="0"/>
        <w:spacing w:line="480" w:lineRule="exact"/>
        <w:ind w:firstLine="640" w:firstLineChars="200"/>
        <w:rPr>
          <w:rFonts w:ascii="仿宋" w:hAnsi="仿宋" w:cs="仿宋"/>
          <w:szCs w:val="32"/>
        </w:rPr>
      </w:pPr>
      <w:r>
        <w:rPr>
          <w:rFonts w:hint="eastAsia" w:ascii="仿宋" w:hAnsi="仿宋" w:cs="仿宋"/>
          <w:szCs w:val="32"/>
        </w:rPr>
        <w:t>【裁判内容】</w:t>
      </w:r>
    </w:p>
    <w:p>
      <w:pPr>
        <w:spacing w:line="500" w:lineRule="exact"/>
        <w:ind w:left="143" w:leftChars="68" w:firstLine="640" w:firstLineChars="200"/>
        <w:jc w:val="left"/>
        <w:rPr>
          <w:rFonts w:ascii="仿宋" w:hAnsi="仿宋" w:eastAsia="仿宋"/>
          <w:color w:val="000000"/>
          <w:sz w:val="32"/>
          <w:szCs w:val="32"/>
        </w:rPr>
      </w:pPr>
      <w:r>
        <w:rPr>
          <w:rFonts w:hint="eastAsia" w:ascii="仿宋" w:hAnsi="仿宋" w:eastAsia="仿宋"/>
          <w:color w:val="000000"/>
          <w:sz w:val="32"/>
          <w:szCs w:val="32"/>
        </w:rPr>
        <w:t>依据《中华人民共和国商标法》第三条第一款、《中华人民共和国民事诉讼法》第七十二条的规定，原告提交的公证书能够证明原告对涉案商标享有专用权，且被告庭审中认可原告的注册商标专用权，因此原告的商标专用权依法受法律保护。被告庭审中认可原告提交的（2022）京海诚内民证字第09881号公证书中的内容均为被告店铺的截图，因此，原告提交的公证书能够证明被告在京东商城经营的 “优品良客官方旗舰店” 店铺首页使用并标注了原告注册商标第1191997号“中粮”、第5623690号“</w:t>
      </w:r>
      <w:r>
        <w:rPr>
          <w:rFonts w:hint="eastAsia" w:ascii="仿宋" w:hAnsi="仿宋" w:eastAsia="仿宋"/>
          <w:color w:val="000000"/>
          <w:sz w:val="32"/>
          <w:szCs w:val="32"/>
        </w:rPr>
        <w:drawing>
          <wp:inline distT="0" distB="0" distL="0" distR="0">
            <wp:extent cx="257175" cy="273050"/>
            <wp:effectExtent l="19050" t="0" r="9525" b="0"/>
            <wp:docPr id="21" name="图片 5" descr="458df32d27e84b1cca9490c7ac06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458df32d27e84b1cca9490c7ac06e44.jpg"/>
                    <pic:cNvPicPr>
                      <a:picLocks noChangeAspect="1"/>
                    </pic:cNvPicPr>
                  </pic:nvPicPr>
                  <pic:blipFill>
                    <a:blip r:embed="rId4" cstate="print"/>
                    <a:stretch>
                      <a:fillRect/>
                    </a:stretch>
                  </pic:blipFill>
                  <pic:spPr>
                    <a:xfrm>
                      <a:off x="0" y="0"/>
                      <a:ext cx="257019" cy="273177"/>
                    </a:xfrm>
                    <a:prstGeom prst="rect">
                      <a:avLst/>
                    </a:prstGeom>
                  </pic:spPr>
                </pic:pic>
              </a:graphicData>
            </a:graphic>
          </wp:inline>
        </w:drawing>
      </w:r>
      <w:r>
        <w:rPr>
          <w:rFonts w:hint="eastAsia" w:ascii="仿宋" w:hAnsi="仿宋" w:eastAsia="仿宋"/>
          <w:color w:val="000000"/>
          <w:sz w:val="32"/>
          <w:szCs w:val="32"/>
        </w:rPr>
        <w:t>”、第5669039号“</w:t>
      </w:r>
      <w:r>
        <w:rPr>
          <w:rFonts w:hint="eastAsia" w:ascii="仿宋" w:hAnsi="仿宋" w:eastAsia="仿宋"/>
          <w:color w:val="000000"/>
          <w:sz w:val="32"/>
          <w:szCs w:val="32"/>
        </w:rPr>
        <w:drawing>
          <wp:inline distT="0" distB="0" distL="0" distR="0">
            <wp:extent cx="381000" cy="152400"/>
            <wp:effectExtent l="19050" t="0" r="0" b="0"/>
            <wp:docPr id="22" name="图片 7" descr="e9f76e08b7266fd6d0a58ac801064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e9f76e08b7266fd6d0a58ac801064f7.jpg"/>
                    <pic:cNvPicPr>
                      <a:picLocks noChangeAspect="1"/>
                    </pic:cNvPicPr>
                  </pic:nvPicPr>
                  <pic:blipFill>
                    <a:blip r:embed="rId5" cstate="print"/>
                    <a:stretch>
                      <a:fillRect/>
                    </a:stretch>
                  </pic:blipFill>
                  <pic:spPr>
                    <a:xfrm>
                      <a:off x="0" y="0"/>
                      <a:ext cx="381108" cy="152590"/>
                    </a:xfrm>
                    <a:prstGeom prst="rect">
                      <a:avLst/>
                    </a:prstGeom>
                  </pic:spPr>
                </pic:pic>
              </a:graphicData>
            </a:graphic>
          </wp:inline>
        </w:drawing>
      </w:r>
      <w:r>
        <w:rPr>
          <w:rFonts w:hint="eastAsia" w:ascii="仿宋" w:hAnsi="仿宋" w:eastAsia="仿宋"/>
          <w:color w:val="000000"/>
          <w:sz w:val="32"/>
          <w:szCs w:val="32"/>
        </w:rPr>
        <w:t>”，依据《中华人民共和国商标法》第四十八条的规定，被告在网店首页标注原告注册商标用于广告宣传，属于在商业活动中使用。被告抗辩其店铺内销售的产品均为原告授权，原告庭审中陈述是原告关联企业授权经销商销售中粮旗下品牌产品的授权，被告仅是获取的销售原告旗下某品牌产品的授权，并非被告获取的涉案三个商标的使用授权。被告在网店首页使用原告商标宣传，但被告店铺内并非仅销售原告产品，被告的行为容易使不特定公众误认被告的店铺为仅销售原告产品的店铺或产品均与原告有关。另，原告的注册商标为第35类，被告使用的范围落入原告注册商标的分类中，且依据《商标法》第五十六条的规定，原告的注册商标专用权，以核准注册的商标和核定使用的商品为限，被告未经原告许可在原告注册商标核定使用范围内使用原告商标用于宣传，侵犯了原告的商标权，依法应承担相应的民事责任。</w:t>
      </w:r>
    </w:p>
    <w:p>
      <w:pPr>
        <w:adjustRightInd w:val="0"/>
        <w:spacing w:line="5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原告要求被告立即停止在京东商城中使用原告“中粮”、“COFCO”、“</w:t>
      </w:r>
      <w:r>
        <w:rPr>
          <w:rFonts w:hint="eastAsia" w:ascii="仿宋" w:hAnsi="仿宋" w:eastAsia="仿宋"/>
          <w:color w:val="000000"/>
          <w:sz w:val="32"/>
          <w:szCs w:val="32"/>
        </w:rPr>
        <w:drawing>
          <wp:inline distT="0" distB="0" distL="0" distR="0">
            <wp:extent cx="257175" cy="273050"/>
            <wp:effectExtent l="19050" t="0" r="9525" b="0"/>
            <wp:docPr id="23" name="图片 5" descr="458df32d27e84b1cca9490c7ac06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458df32d27e84b1cca9490c7ac06e44.jpg"/>
                    <pic:cNvPicPr>
                      <a:picLocks noChangeAspect="1"/>
                    </pic:cNvPicPr>
                  </pic:nvPicPr>
                  <pic:blipFill>
                    <a:blip r:embed="rId4" cstate="print"/>
                    <a:stretch>
                      <a:fillRect/>
                    </a:stretch>
                  </pic:blipFill>
                  <pic:spPr>
                    <a:xfrm>
                      <a:off x="0" y="0"/>
                      <a:ext cx="257019" cy="273177"/>
                    </a:xfrm>
                    <a:prstGeom prst="rect">
                      <a:avLst/>
                    </a:prstGeom>
                  </pic:spPr>
                </pic:pic>
              </a:graphicData>
            </a:graphic>
          </wp:inline>
        </w:drawing>
      </w:r>
      <w:r>
        <w:rPr>
          <w:rFonts w:hint="eastAsia" w:ascii="仿宋" w:hAnsi="仿宋" w:eastAsia="仿宋"/>
          <w:color w:val="000000"/>
          <w:sz w:val="32"/>
          <w:szCs w:val="32"/>
        </w:rPr>
        <w:t>”</w:t>
      </w:r>
      <w:r>
        <w:rPr>
          <w:rFonts w:hint="eastAsia" w:ascii="仿宋" w:hAnsi="仿宋" w:eastAsia="仿宋"/>
          <w:sz w:val="32"/>
          <w:szCs w:val="32"/>
        </w:rPr>
        <w:t>商标和“中粮”字号，符合法律规定，予</w:t>
      </w:r>
      <w:r>
        <w:rPr>
          <w:rFonts w:hint="eastAsia" w:ascii="仿宋" w:hAnsi="仿宋" w:eastAsia="仿宋"/>
          <w:color w:val="000000"/>
          <w:sz w:val="32"/>
          <w:szCs w:val="32"/>
        </w:rPr>
        <w:t>以支持。</w:t>
      </w:r>
    </w:p>
    <w:p>
      <w:pPr>
        <w:adjustRightInd w:val="0"/>
        <w:spacing w:line="5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原告要求被告向原告承担经济损</w:t>
      </w:r>
      <w:bookmarkStart w:id="1" w:name="_GoBack"/>
      <w:bookmarkEnd w:id="1"/>
      <w:r>
        <w:rPr>
          <w:rFonts w:hint="eastAsia" w:ascii="仿宋" w:hAnsi="仿宋" w:eastAsia="仿宋"/>
          <w:sz w:val="32"/>
          <w:szCs w:val="32"/>
        </w:rPr>
        <w:t>失及合理支出人民币10万元，但原告未提交证据证明被告因使用原告商标所获得的实际收益情况，也未提交证据证明原告因被告的侵权行为所造成的实际损失。原告未提交律师费的相关证据，结合实际情况，原告确存在合理支出</w:t>
      </w:r>
      <w:r>
        <w:rPr>
          <w:rFonts w:hint="eastAsia" w:ascii="仿宋" w:hAnsi="仿宋" w:eastAsia="仿宋"/>
          <w:sz w:val="32"/>
          <w:szCs w:val="32"/>
          <w:lang w:eastAsia="zh-CN"/>
        </w:rPr>
        <w:t>。</w:t>
      </w:r>
    </w:p>
    <w:p>
      <w:pPr>
        <w:adjustRightInd w:val="0"/>
        <w:spacing w:line="5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综上</w:t>
      </w:r>
      <w:r>
        <w:rPr>
          <w:rFonts w:hint="eastAsia" w:ascii="仿宋" w:hAnsi="仿宋" w:eastAsia="仿宋"/>
          <w:sz w:val="32"/>
          <w:szCs w:val="32"/>
        </w:rPr>
        <w:t>，安次</w:t>
      </w:r>
      <w:r>
        <w:rPr>
          <w:rFonts w:hint="eastAsia" w:ascii="仿宋" w:hAnsi="仿宋" w:eastAsia="仿宋"/>
          <w:sz w:val="32"/>
          <w:szCs w:val="32"/>
          <w:lang w:val="en-US" w:eastAsia="zh-CN"/>
        </w:rPr>
        <w:t>区人民</w:t>
      </w:r>
      <w:r>
        <w:rPr>
          <w:rFonts w:hint="eastAsia" w:ascii="仿宋" w:hAnsi="仿宋" w:eastAsia="仿宋"/>
          <w:sz w:val="32"/>
          <w:szCs w:val="32"/>
        </w:rPr>
        <w:t>法院酌情支持经济损失及合理支出共计6000元</w:t>
      </w:r>
      <w:r>
        <w:rPr>
          <w:rFonts w:hint="eastAsia" w:ascii="仿宋" w:hAnsi="仿宋" w:eastAsia="仿宋"/>
          <w:sz w:val="32"/>
          <w:szCs w:val="32"/>
          <w:lang w:eastAsia="zh-CN"/>
        </w:rPr>
        <w:t>，</w:t>
      </w:r>
      <w:r>
        <w:rPr>
          <w:rFonts w:hint="eastAsia" w:ascii="仿宋" w:hAnsi="仿宋" w:eastAsia="仿宋"/>
          <w:sz w:val="32"/>
          <w:szCs w:val="32"/>
        </w:rPr>
        <w:t>判决被告固安某某华商贸有限公司立即停止在京东商城中使用原告中某集团有限公司“中粮”、“COFCO”、“</w:t>
      </w:r>
      <w:r>
        <w:rPr>
          <w:rFonts w:hint="eastAsia" w:ascii="仿宋" w:hAnsi="仿宋" w:eastAsia="仿宋"/>
          <w:sz w:val="32"/>
          <w:szCs w:val="32"/>
        </w:rPr>
        <w:drawing>
          <wp:inline distT="0" distB="0" distL="0" distR="0">
            <wp:extent cx="257175" cy="273050"/>
            <wp:effectExtent l="19050" t="0" r="9525" b="0"/>
            <wp:docPr id="24" name="图片 5" descr="458df32d27e84b1cca9490c7ac06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458df32d27e84b1cca9490c7ac06e44.jpg"/>
                    <pic:cNvPicPr>
                      <a:picLocks noChangeAspect="1"/>
                    </pic:cNvPicPr>
                  </pic:nvPicPr>
                  <pic:blipFill>
                    <a:blip r:embed="rId4" cstate="print"/>
                    <a:stretch>
                      <a:fillRect/>
                    </a:stretch>
                  </pic:blipFill>
                  <pic:spPr>
                    <a:xfrm>
                      <a:off x="0" y="0"/>
                      <a:ext cx="257019" cy="273177"/>
                    </a:xfrm>
                    <a:prstGeom prst="rect">
                      <a:avLst/>
                    </a:prstGeom>
                  </pic:spPr>
                </pic:pic>
              </a:graphicData>
            </a:graphic>
          </wp:inline>
        </w:drawing>
      </w:r>
      <w:r>
        <w:rPr>
          <w:rFonts w:hint="eastAsia" w:ascii="仿宋" w:hAnsi="仿宋" w:eastAsia="仿宋"/>
          <w:sz w:val="32"/>
          <w:szCs w:val="32"/>
        </w:rPr>
        <w:t>”商标和“中粮”字号</w:t>
      </w:r>
      <w:r>
        <w:rPr>
          <w:rFonts w:hint="eastAsia" w:ascii="仿宋" w:hAnsi="仿宋" w:eastAsia="仿宋"/>
          <w:sz w:val="32"/>
          <w:szCs w:val="32"/>
          <w:lang w:eastAsia="zh-CN"/>
        </w:rPr>
        <w:t>，</w:t>
      </w:r>
      <w:r>
        <w:rPr>
          <w:rFonts w:hint="eastAsia" w:ascii="仿宋" w:hAnsi="仿宋" w:eastAsia="仿宋"/>
          <w:sz w:val="32"/>
          <w:szCs w:val="32"/>
          <w:lang w:val="en-US" w:eastAsia="zh-CN"/>
        </w:rPr>
        <w:t>并</w:t>
      </w:r>
      <w:r>
        <w:rPr>
          <w:rFonts w:hint="eastAsia" w:ascii="仿宋" w:hAnsi="仿宋" w:eastAsia="仿宋"/>
          <w:sz w:val="32"/>
          <w:szCs w:val="32"/>
        </w:rPr>
        <w:t>赔偿原告中某集团有限公司经济损失及合理支出共计6000元。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2YTEwNTk4OTkxYzM2OWE0N2NkNGViYzVkMGFiZGIifQ=="/>
  </w:docVars>
  <w:rsids>
    <w:rsidRoot w:val="00723B9C"/>
    <w:rsid w:val="0015241F"/>
    <w:rsid w:val="004E45E9"/>
    <w:rsid w:val="0056320B"/>
    <w:rsid w:val="0063371C"/>
    <w:rsid w:val="00723B9C"/>
    <w:rsid w:val="00780CEA"/>
    <w:rsid w:val="008E77A9"/>
    <w:rsid w:val="00C02937"/>
    <w:rsid w:val="00F14193"/>
    <w:rsid w:val="09440A55"/>
    <w:rsid w:val="0AC25295"/>
    <w:rsid w:val="0DE34399"/>
    <w:rsid w:val="12107727"/>
    <w:rsid w:val="1CF3211F"/>
    <w:rsid w:val="28DF1907"/>
    <w:rsid w:val="34F74F9D"/>
    <w:rsid w:val="3B082DE1"/>
    <w:rsid w:val="411918A4"/>
    <w:rsid w:val="417437F1"/>
    <w:rsid w:val="45327E35"/>
    <w:rsid w:val="457C2402"/>
    <w:rsid w:val="47941C85"/>
    <w:rsid w:val="492E435B"/>
    <w:rsid w:val="520914C1"/>
    <w:rsid w:val="5AA4622B"/>
    <w:rsid w:val="5C514191"/>
    <w:rsid w:val="5D2B49E2"/>
    <w:rsid w:val="61FF01EB"/>
    <w:rsid w:val="64882719"/>
    <w:rsid w:val="6BFF7765"/>
    <w:rsid w:val="6F1B14DE"/>
    <w:rsid w:val="7E2117BD"/>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autoRedefine/>
    <w:unhideWhenUsed/>
    <w:qFormat/>
    <w:uiPriority w:val="99"/>
    <w:rPr>
      <w:rFonts w:ascii="宋体" w:hAnsi="Courier New" w:eastAsia="仿宋" w:cs="Times New Roman"/>
      <w:sz w:val="32"/>
      <w:szCs w:val="20"/>
    </w:rPr>
  </w:style>
  <w:style w:type="paragraph" w:styleId="3">
    <w:name w:val="Balloon Text"/>
    <w:basedOn w:val="1"/>
    <w:link w:val="13"/>
    <w:semiHidden/>
    <w:unhideWhenUsed/>
    <w:uiPriority w:val="99"/>
    <w:rPr>
      <w:sz w:val="18"/>
      <w:szCs w:val="18"/>
    </w:rPr>
  </w:style>
  <w:style w:type="paragraph" w:styleId="4">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u w:val="single"/>
    </w:rPr>
  </w:style>
  <w:style w:type="paragraph" w:customStyle="1" w:styleId="9">
    <w:name w:val="lawyeeWritContent0"/>
    <w:basedOn w:val="1"/>
    <w:link w:val="10"/>
    <w:qFormat/>
    <w:uiPriority w:val="0"/>
    <w:pPr>
      <w:ind w:firstLine="200" w:firstLineChars="200"/>
    </w:pPr>
    <w:rPr>
      <w:rFonts w:ascii="仿宋" w:hAnsi="仿宋" w:eastAsia="仿宋" w:cs="Times New Roman"/>
      <w:sz w:val="32"/>
      <w:szCs w:val="22"/>
    </w:rPr>
  </w:style>
  <w:style w:type="character" w:customStyle="1" w:styleId="10">
    <w:name w:val="lawyeeWritContent0 Char"/>
    <w:basedOn w:val="7"/>
    <w:link w:val="9"/>
    <w:autoRedefine/>
    <w:qFormat/>
    <w:uiPriority w:val="0"/>
    <w:rPr>
      <w:rFonts w:ascii="仿宋" w:hAnsi="仿宋" w:eastAsia="仿宋" w:cs="Times New Roman"/>
      <w:sz w:val="32"/>
    </w:rPr>
  </w:style>
  <w:style w:type="character" w:customStyle="1" w:styleId="11">
    <w:name w:val="纯文本 Char"/>
    <w:basedOn w:val="7"/>
    <w:link w:val="2"/>
    <w:autoRedefine/>
    <w:semiHidden/>
    <w:qFormat/>
    <w:uiPriority w:val="99"/>
    <w:rPr>
      <w:rFonts w:ascii="宋体" w:hAnsi="Courier New" w:eastAsia="宋体" w:cs="Courier New"/>
      <w:szCs w:val="21"/>
    </w:rPr>
  </w:style>
  <w:style w:type="character" w:customStyle="1" w:styleId="12">
    <w:name w:val="纯文本 Char1"/>
    <w:link w:val="2"/>
    <w:autoRedefine/>
    <w:qFormat/>
    <w:locked/>
    <w:uiPriority w:val="99"/>
    <w:rPr>
      <w:rFonts w:ascii="宋体" w:hAnsi="Courier New" w:eastAsia="仿宋" w:cs="Times New Roman"/>
      <w:sz w:val="32"/>
      <w:szCs w:val="20"/>
    </w:rPr>
  </w:style>
  <w:style w:type="character" w:customStyle="1" w:styleId="13">
    <w:name w:val="批注框文本 Char"/>
    <w:basedOn w:val="7"/>
    <w:link w:val="3"/>
    <w:autoRedefine/>
    <w:semiHidden/>
    <w:qFormat/>
    <w:uiPriority w:val="99"/>
    <w:rPr>
      <w:sz w:val="18"/>
      <w:szCs w:val="18"/>
    </w:rPr>
  </w:style>
  <w:style w:type="character" w:customStyle="1" w:styleId="14">
    <w:name w:val="页眉 Char"/>
    <w:basedOn w:val="7"/>
    <w:link w:val="5"/>
    <w:semiHidden/>
    <w:uiPriority w:val="99"/>
    <w:rPr>
      <w:sz w:val="18"/>
      <w:szCs w:val="18"/>
    </w:rPr>
  </w:style>
  <w:style w:type="character" w:customStyle="1" w:styleId="15">
    <w:name w:val="页脚 Char"/>
    <w:basedOn w:val="7"/>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364</Words>
  <Characters>2081</Characters>
  <Lines>17</Lines>
  <Paragraphs>4</Paragraphs>
  <TotalTime>1</TotalTime>
  <ScaleCrop>false</ScaleCrop>
  <LinksUpToDate>false</LinksUpToDate>
  <CharactersWithSpaces>2441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2024-04-23T01:50:00Z</dcterms:created>
  <dc:creator>梁志斌</dc:creator>
  <cp:lastModifiedBy>郝军生</cp:lastModifiedBy>
  <dcterms:modified xsi:type="dcterms:W3CDTF">2024-04-25T10:58:52Z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C7E720E78DDD43BA8C1C6A71C47F52E7_12</vt:lpwstr>
  </property>
</Properties>
</file>