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31" w:rsidRDefault="00072631" w:rsidP="00072631">
      <w:pPr>
        <w:spacing w:after="120" w:line="540" w:lineRule="exact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附件：</w:t>
      </w:r>
    </w:p>
    <w:p w:rsidR="00072631" w:rsidRDefault="00072631" w:rsidP="00072631">
      <w:pPr>
        <w:spacing w:line="540" w:lineRule="exact"/>
        <w:jc w:val="center"/>
        <w:rPr>
          <w:rFonts w:ascii="仿宋_GB2312" w:eastAsia="仿宋_GB2312" w:hAnsi="仿宋_GB2312" w:cs="仿宋_GB2312" w:hint="eastAsia"/>
          <w:b/>
          <w:sz w:val="44"/>
          <w:szCs w:val="36"/>
          <w:lang w:val="zh-CN"/>
        </w:rPr>
      </w:pPr>
      <w:r>
        <w:rPr>
          <w:rFonts w:ascii="仿宋_GB2312" w:eastAsia="仿宋_GB2312" w:hAnsi="仿宋_GB2312" w:cs="仿宋_GB2312" w:hint="eastAsia"/>
          <w:b/>
          <w:color w:val="E72215"/>
          <w:sz w:val="44"/>
          <w:szCs w:val="36"/>
          <w:lang w:val="zh-CN"/>
        </w:rPr>
        <w:t>选任破产管理人评分标准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对参与竞争的管理人机构业绩的评定实行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lang w:val="zh-CN"/>
        </w:rPr>
        <w:t>固定破产团队业绩评分制，最高分不超过100分，按得分高低进行排名。具体评分标准如下：</w:t>
      </w:r>
    </w:p>
    <w:p w:rsidR="00072631" w:rsidRDefault="00072631" w:rsidP="00072631">
      <w:pPr>
        <w:spacing w:line="54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一、管理人机构固定破产团队业绩基础分（该项得分累计不超过70分）</w:t>
      </w:r>
    </w:p>
    <w:p w:rsidR="00072631" w:rsidRDefault="00072631" w:rsidP="00072631">
      <w:pPr>
        <w:spacing w:line="54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（一）办结案件数量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对于已结的普通破产案件，单独担任管理人，每件计4分；以清算组成员方式担任管理人，每件计3分；与其他机构联合担任破产企业管理人的，每件计2分；上述破产案件为简易破产案件，每件计1分；为重大破产案件，每件多计1分。</w:t>
      </w:r>
    </w:p>
    <w:p w:rsidR="00072631" w:rsidRDefault="00072631" w:rsidP="00072631">
      <w:pPr>
        <w:spacing w:line="54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（二）办结案件效果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取得较好法律效果和社会效果的案件（实现资源优化配置、维持企业持续经营能力、充分保障债权人知情权、异议权、监督权及在重大财产处分中的决策权、积极维护职工和购房人等弱势群体基本生存权益、平等保护各类市场主体合法权益、有效降低办理破产成本等因素），每件多计1分，该项得分累计不超过5分</w:t>
      </w:r>
    </w:p>
    <w:p w:rsidR="00072631" w:rsidRDefault="00072631" w:rsidP="00072631">
      <w:pPr>
        <w:spacing w:line="54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（三）办结案件质量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1.办理普通破产清算、和解案件，从受理到终止破产程序短于6个月，每件加3分；短于9个月的，每件加2分；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2.办理普通破产清算案件，从受理到终结破产程序短于9个月，每件加2分；短于12个月的，每件加1分；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lastRenderedPageBreak/>
        <w:t>3.办理简易破产案件，从受理到终结或终止破产程序短于6个月，每件加1分；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4.上述破产案件为重大破产案件，每件多计3分。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5.近三年内管理人个案工作情况评价表获评95分以上的案件，每件加2分，90分以上的，每件加1分，90分以下但管理人个案工作情况评价表中财产追收指标得分为满分的，每件加0.5分。该项得分累计不超过10分；</w:t>
      </w:r>
    </w:p>
    <w:p w:rsidR="00072631" w:rsidRDefault="00072631" w:rsidP="00072631">
      <w:pPr>
        <w:spacing w:line="54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二、管理人机构固定破产团队业绩附加分（该项得分累计不超过20分）</w:t>
      </w:r>
    </w:p>
    <w:p w:rsidR="00072631" w:rsidRDefault="00072631" w:rsidP="00072631">
      <w:pPr>
        <w:spacing w:line="54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（一）总结经验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1.破产团队负责人办理的破产案件入选最高人民法院、自治区高级法院发布或者管理人协会发布的典型（经典）案例的，每件分别加5、4、3分；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2.总结出其他可供复制的好经验好做法加3分。</w:t>
      </w:r>
    </w:p>
    <w:p w:rsidR="00072631" w:rsidRDefault="00072631" w:rsidP="00072631">
      <w:pPr>
        <w:spacing w:line="54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（二）理论研究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1.近三年内破产团队成员在核心期刊（C刊）发表企业破产领域专业论文，每篇加1分；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2.论文刊登自治区级期刊或入选全国性破产论坛论文选集，每篇加0.3分，三等奖每篇加0.4分，二等奖每篇加0.5分，一等奖每篇加1分；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3.发表破产领域专著的，每本加2分。</w:t>
      </w:r>
    </w:p>
    <w:p w:rsidR="00072631" w:rsidRDefault="00072631" w:rsidP="00072631">
      <w:pPr>
        <w:spacing w:line="54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三、管理人机构固定破产团队针对竞选案件的个性化评分（该项得分累计不超过10分）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1.管理人破产团队对破产企业的债权债务状况、经营事项、行业情况、涉及法律关系的了解程度，对重整投资人招</w:t>
      </w:r>
      <w:r>
        <w:rPr>
          <w:rFonts w:ascii="仿宋_GB2312" w:eastAsia="仿宋_GB2312" w:hAnsi="仿宋_GB2312" w:cs="仿宋_GB2312" w:hint="eastAsia"/>
          <w:sz w:val="32"/>
          <w:lang w:val="zh-CN"/>
        </w:rPr>
        <w:lastRenderedPageBreak/>
        <w:t>募、重整项目的融资、职工安置等关键性问题的解决是否已经具有较为充足的前期准备。分值为0-4分。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2.破产团队履职能力情况，提供的工作方案，可以从专业性、针对性、可行性进行考量，提出的投资人招募方式、资产处置方案、企业经营方案、资产盘活方案及其他关键问题的解决方案等方面情况进行综合评分。分值为0-5分。</w:t>
      </w:r>
    </w:p>
    <w:p w:rsidR="00072631" w:rsidRDefault="00072631" w:rsidP="0007263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3.综合申报材料规范性和现场陈述专业性，分值为0-1分。</w:t>
      </w:r>
    </w:p>
    <w:p w:rsidR="00072631" w:rsidRDefault="00072631" w:rsidP="00072631">
      <w:pPr>
        <w:spacing w:line="540" w:lineRule="exact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br w:type="page"/>
      </w:r>
    </w:p>
    <w:tbl>
      <w:tblPr>
        <w:tblW w:w="0" w:type="auto"/>
        <w:tblInd w:w="150" w:type="dxa"/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200"/>
        <w:gridCol w:w="691"/>
        <w:gridCol w:w="610"/>
        <w:gridCol w:w="1952"/>
        <w:gridCol w:w="4142"/>
        <w:gridCol w:w="722"/>
        <w:gridCol w:w="583"/>
      </w:tblGrid>
      <w:tr w:rsidR="00072631" w:rsidTr="003735F8">
        <w:trPr>
          <w:trHeight w:val="90"/>
        </w:trPr>
        <w:tc>
          <w:tcPr>
            <w:tcW w:w="189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lastRenderedPageBreak/>
              <w:t>管理人机构名称</w:t>
            </w:r>
          </w:p>
        </w:tc>
        <w:tc>
          <w:tcPr>
            <w:tcW w:w="8009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</w:tr>
      <w:tr w:rsidR="00072631" w:rsidTr="003735F8">
        <w:trPr>
          <w:trHeight w:val="1219"/>
        </w:trPr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一级指标</w:t>
            </w:r>
          </w:p>
        </w:tc>
        <w:tc>
          <w:tcPr>
            <w:tcW w:w="130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二级指标</w:t>
            </w:r>
          </w:p>
        </w:tc>
        <w:tc>
          <w:tcPr>
            <w:tcW w:w="19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三级指标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四级指标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数量</w:t>
            </w: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val="zh-CN"/>
              </w:rPr>
              <w:t>得分</w:t>
            </w:r>
          </w:p>
        </w:tc>
      </w:tr>
      <w:tr w:rsidR="00072631" w:rsidTr="003735F8">
        <w:trPr>
          <w:trHeight w:val="614"/>
        </w:trPr>
        <w:tc>
          <w:tcPr>
            <w:tcW w:w="120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业绩基础分（≤70分）</w:t>
            </w:r>
          </w:p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案件数量 （≤45分）</w:t>
            </w: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简易案件（1分）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普通案件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独任管理人（4分）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清算组成员（3分）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联合管理人（2分）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重大案件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独任管理人（5分）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清算组成员（4分）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联合管理人（3分）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案件效果 （≤5分）</w:t>
            </w: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有效降低破产成本（1分）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实现资源优化配置（1分）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其他因素（1分）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案件质量 （≤20分）</w:t>
            </w:r>
          </w:p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普通破产清算、和解案件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受理到终止破产程序短于6个月（3分）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受理到终止破产程序短于9个月（2分）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普通破产清算案件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受理到终结破产程序短于9个月（2分）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受理到终结破产程序短于12个月（1分）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简易破产案件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受理到终结或终止破产程序短于6个月（1分）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重大破产清算、和解案件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受理到终止破产程序短于9个月（6分）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受理到终止破产程序短于12个月（5分）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重大破产清算案件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受理到终结破产程序短于9个月（5分）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受理到终结破产程序短于12个月（4分）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个案工作情况评价表 （≤10分）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获评95分以上（2分）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获评90分以上（1分）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1823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获评90分以下但个案工作情况评价表中财产追收指标得分为满分（0.5分）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业绩附加分（≤20分）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总结经验</w:t>
            </w: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入选最高法典型案例（5分）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入选自治区高院典型案例（4分）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入选广西破产管理人协会典型案例（3分）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其他可供复制的好经验好做法（3分）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理论研究</w:t>
            </w: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核心期刊（C刊）（1分）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自治区级期刊（0.3）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全国性破产论坛论文（0.3-1分）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破产领域专著（2分）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3032"/>
        </w:trPr>
        <w:tc>
          <w:tcPr>
            <w:tcW w:w="120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个性化评分（≤10分）</w:t>
            </w:r>
          </w:p>
        </w:tc>
        <w:tc>
          <w:tcPr>
            <w:tcW w:w="130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前期尽调</w:t>
            </w:r>
          </w:p>
        </w:tc>
        <w:tc>
          <w:tcPr>
            <w:tcW w:w="6816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管理人破产团队对破产企业的债权债务状况、经营事项、行业情况、涉及法律关系的了解程度，对重整投资人招募、重整项目的融资、职工安置等关键性问题的解决是否已经具有较为充足的前期准备（0-4分）</w:t>
            </w: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2950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个案工作方案</w:t>
            </w:r>
          </w:p>
        </w:tc>
        <w:tc>
          <w:tcPr>
            <w:tcW w:w="6816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从专业性、针对性、可行性进行考量，提出的投资人招募方式、资产处置方案、企业经营方案、资产盘活方案及其他关键问题的解决方案等方面情况进行综合评分（0-5分）</w:t>
            </w:r>
          </w:p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after="200" w:line="5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综合素质</w:t>
            </w:r>
          </w:p>
        </w:tc>
        <w:tc>
          <w:tcPr>
            <w:tcW w:w="6816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综合申报材料规范性和现场陈述专业性（0-1分）</w:t>
            </w: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072631" w:rsidTr="003735F8">
        <w:trPr>
          <w:trHeight w:val="624"/>
        </w:trPr>
        <w:tc>
          <w:tcPr>
            <w:tcW w:w="9317" w:type="dxa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总得分</w:t>
            </w: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072631" w:rsidRDefault="00072631" w:rsidP="003735F8">
            <w:pPr>
              <w:spacing w:line="54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</w:tbl>
    <w:p w:rsidR="00072631" w:rsidRDefault="00072631" w:rsidP="00072631">
      <w:pPr>
        <w:spacing w:line="540" w:lineRule="exact"/>
        <w:rPr>
          <w:rFonts w:ascii="仿宋" w:eastAsia="仿宋" w:hAnsi="仿宋" w:hint="eastAsia"/>
          <w:sz w:val="32"/>
          <w:lang w:val="zh-CN"/>
        </w:rPr>
      </w:pPr>
    </w:p>
    <w:p w:rsidR="00072631" w:rsidRDefault="00072631" w:rsidP="00072631">
      <w:pPr>
        <w:spacing w:after="120" w:line="540" w:lineRule="exact"/>
        <w:rPr>
          <w:rFonts w:ascii="仿宋" w:eastAsia="仿宋" w:hAnsi="仿宋" w:hint="eastAsia"/>
          <w:sz w:val="32"/>
          <w:lang w:val="zh-CN"/>
        </w:rPr>
      </w:pPr>
    </w:p>
    <w:p w:rsidR="00654686" w:rsidRDefault="00072631"/>
    <w:sectPr w:rsidR="0065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31"/>
    <w:rsid w:val="00072631"/>
    <w:rsid w:val="0079550F"/>
    <w:rsid w:val="0092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18D14-04FB-4E00-92ED-D057829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7263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72631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072631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2024-05-07T02:00:00Z</dcterms:created>
  <dcterms:modified xsi:type="dcterms:W3CDTF">2024-05-07T02:02:00Z</dcterms:modified>
</cp:coreProperties>
</file>