
<file path=[Content_Types].xml><?xml version="1.0" encoding="utf-8"?>
<Types xmlns="http://schemas.openxmlformats.org/package/2006/content-types">
  <Default Extension="xml" ContentType="application/xml"/>
  <Default Extension="wmf" ContentType="image/x-wmf"/>
  <Default Extension="xlsx" ContentType="application/vnd.openxmlformats-officedocument.spreadsheetml.sheet"/>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jc w:val="center"/>
        <w:rPr>
          <w:rFonts w:ascii="黑体" w:hAnsi="黑体" w:eastAsia="黑体" w:cs="华文楷体"/>
          <w:sz w:val="32"/>
          <w:szCs w:val="32"/>
        </w:rPr>
      </w:pPr>
      <w:bookmarkStart w:id="0" w:name="_GoBack"/>
      <w:bookmarkEnd w:id="0"/>
      <w:r>
        <w:rPr>
          <w:rFonts w:hint="eastAsia" w:ascii="黑体" w:hAnsi="黑体" w:eastAsia="黑体"/>
          <w:color w:val="000000"/>
          <w:sz w:val="32"/>
          <w:szCs w:val="32"/>
        </w:rPr>
        <w:t>未来养老模式法治路径的探究：以遗赠扶养协议制度进行维度构建</w:t>
      </w:r>
    </w:p>
    <w:p>
      <w:pPr>
        <w:shd w:val="clear" w:color="auto" w:fill="FFFFFF"/>
        <w:jc w:val="center"/>
        <w:rPr>
          <w:rFonts w:ascii="黑体" w:hAnsi="黑体" w:eastAsia="黑体" w:cs="华文楷体"/>
          <w:sz w:val="36"/>
          <w:szCs w:val="44"/>
        </w:rPr>
      </w:pPr>
    </w:p>
    <w:p>
      <w:pPr>
        <w:spacing w:line="400" w:lineRule="exact"/>
        <w:rPr>
          <w:rFonts w:ascii="黑体" w:hAnsi="黑体" w:eastAsia="黑体"/>
          <w:sz w:val="32"/>
          <w:szCs w:val="32"/>
        </w:rPr>
      </w:pPr>
    </w:p>
    <w:p>
      <w:pPr>
        <w:shd w:val="clear" w:color="auto" w:fill="FFFFFF"/>
        <w:ind w:firstLine="551" w:firstLineChars="196"/>
        <w:rPr>
          <w:rFonts w:ascii="仿宋_GB2312" w:hAnsi="Calibri" w:eastAsia="仿宋_GB2312"/>
          <w:b/>
          <w:sz w:val="28"/>
          <w:szCs w:val="32"/>
        </w:rPr>
      </w:pPr>
      <w:r>
        <w:rPr>
          <w:rFonts w:hint="eastAsia" w:ascii="仿宋_GB2312" w:hAnsi="Calibri" w:eastAsia="仿宋_GB2312"/>
          <w:b/>
          <w:sz w:val="28"/>
          <w:szCs w:val="32"/>
        </w:rPr>
        <w:t>论文提要：</w:t>
      </w:r>
    </w:p>
    <w:p>
      <w:pPr>
        <w:ind w:firstLine="560" w:firstLineChars="200"/>
        <w:rPr>
          <w:rFonts w:ascii="仿宋_GB2312" w:hAnsi="宋体" w:eastAsia="仿宋_GB2312" w:cs="宋体"/>
          <w:color w:val="000000"/>
          <w:kern w:val="0"/>
          <w:sz w:val="28"/>
          <w:szCs w:val="28"/>
          <w:shd w:val="clear" w:color="auto" w:fill="FFFFFF"/>
        </w:rPr>
      </w:pPr>
      <w:r>
        <w:rPr>
          <w:rFonts w:hint="eastAsia" w:ascii="仿宋_GB2312" w:hAnsi="宋体" w:eastAsia="仿宋_GB2312" w:cs="宋体"/>
          <w:color w:val="000000"/>
          <w:kern w:val="0"/>
          <w:sz w:val="28"/>
          <w:szCs w:val="28"/>
          <w:shd w:val="clear" w:color="auto" w:fill="FFFFFF"/>
        </w:rPr>
        <w:t>目前我国已经进入深度老龄化，加之年轻一代婚姻、生育观念的改变，未来养老问题也极具挑战性。笔者作为95后，以一代年轻人为视角切题，以社会现状出发，将养老问题从法治层面来首先破题，通过与之相关的遗赠扶养协议制度来剖析“法治养老”的必要性与前瞻性。通过综合社会因素多维度(横向、纵向、价值取向)对遗赠扶养协议体系进一步建立或完善；通过继承合同与遗产保留份提存等的多种处理方式来综合应对中国未来社会养老服务问题;以及面对关于遗赠扶养的司法舆论纠纷等问题如何予以妥善协调解决？引入社会主义核心价值观中的法理预测因素及社会后果,使法官在实际民事司法处理与法院审判决策过程中“有法有理”;同时社会及政府构建多层次养老模式应对未来养老问题。全文共10117字。</w:t>
      </w:r>
    </w:p>
    <w:p>
      <w:pPr>
        <w:ind w:firstLine="560" w:firstLineChars="200"/>
        <w:rPr>
          <w:rFonts w:ascii="仿宋_GB2312" w:hAnsi="宋体" w:eastAsia="仿宋_GB2312" w:cs="宋体"/>
          <w:color w:val="000000"/>
          <w:kern w:val="0"/>
          <w:sz w:val="28"/>
          <w:szCs w:val="28"/>
          <w:shd w:val="clear" w:color="auto" w:fill="FFFFFF"/>
        </w:rPr>
      </w:pPr>
      <w:r>
        <w:rPr>
          <w:rFonts w:hint="eastAsia" w:ascii="仿宋_GB2312" w:hAnsi="宋体" w:eastAsia="仿宋_GB2312" w:cs="宋体"/>
          <w:color w:val="000000"/>
          <w:kern w:val="0"/>
          <w:sz w:val="28"/>
          <w:szCs w:val="28"/>
          <w:shd w:val="clear" w:color="auto" w:fill="FFFFFF"/>
        </w:rPr>
        <w:t>本文跳出多种社会养老模式现状的宽泛视角，摘取法治角度来测量未来养老发展情况，以法律保障社会治理，以法治思维破局养老困境。</w:t>
      </w:r>
    </w:p>
    <w:p>
      <w:pPr>
        <w:ind w:firstLine="562" w:firstLineChars="200"/>
        <w:rPr>
          <w:rFonts w:ascii="仿宋_GB2312" w:hAnsi="宋体" w:eastAsia="仿宋_GB2312" w:cs="宋体"/>
          <w:color w:val="000000"/>
          <w:kern w:val="0"/>
          <w:sz w:val="28"/>
          <w:szCs w:val="28"/>
          <w:shd w:val="clear" w:color="auto" w:fill="FFFFFF"/>
        </w:rPr>
      </w:pPr>
      <w:r>
        <w:rPr>
          <w:rFonts w:hint="eastAsia" w:ascii="仿宋_GB2312" w:hAnsi="宋体" w:eastAsia="仿宋_GB2312" w:cs="宋体"/>
          <w:b/>
          <w:bCs/>
          <w:color w:val="000000"/>
          <w:kern w:val="0"/>
          <w:sz w:val="28"/>
          <w:szCs w:val="28"/>
          <w:shd w:val="clear" w:color="auto" w:fill="FFFFFF"/>
        </w:rPr>
        <w:t>关键词：</w:t>
      </w:r>
      <w:r>
        <w:rPr>
          <w:rFonts w:hint="eastAsia" w:ascii="仿宋_GB2312" w:hAnsi="宋体" w:eastAsia="仿宋_GB2312" w:cs="宋体"/>
          <w:color w:val="000000"/>
          <w:kern w:val="0"/>
          <w:sz w:val="28"/>
          <w:szCs w:val="28"/>
          <w:shd w:val="clear" w:color="auto" w:fill="FFFFFF"/>
        </w:rPr>
        <w:t>社会主义核心价值观、法治养老、遗赠扶养协议、保留份提存、继承合同</w:t>
      </w:r>
    </w:p>
    <w:p>
      <w:pPr>
        <w:shd w:val="clear" w:color="auto" w:fill="FFFFFF"/>
        <w:jc w:val="left"/>
        <w:rPr>
          <w:rFonts w:ascii="仿宋_GB2312" w:eastAsia="仿宋_GB2312"/>
          <w:b/>
          <w:sz w:val="28"/>
        </w:rPr>
      </w:pPr>
      <w:r>
        <w:rPr>
          <w:rFonts w:ascii="仿宋_GB2312" w:eastAsia="仿宋_GB2312"/>
          <w:b/>
          <w:sz w:val="28"/>
        </w:rPr>
        <w:t>主要创新观点：</w:t>
      </w:r>
    </w:p>
    <w:p>
      <w:pPr>
        <w:shd w:val="clear" w:color="auto" w:fill="FFFFFF"/>
        <w:ind w:firstLine="560" w:firstLineChars="200"/>
        <w:jc w:val="left"/>
        <w:rPr>
          <w:rFonts w:ascii="仿宋_GB2312" w:hAnsi="宋体" w:eastAsia="仿宋_GB2312" w:cs="宋体"/>
          <w:color w:val="000000"/>
          <w:kern w:val="0"/>
          <w:sz w:val="28"/>
          <w:szCs w:val="28"/>
          <w:shd w:val="clear" w:color="auto" w:fill="FFFFFF"/>
        </w:rPr>
      </w:pPr>
      <w:r>
        <w:rPr>
          <w:rFonts w:hint="eastAsia" w:ascii="仿宋_GB2312" w:hAnsi="宋体" w:eastAsia="仿宋_GB2312" w:cs="宋体"/>
          <w:color w:val="000000"/>
          <w:kern w:val="0"/>
          <w:sz w:val="28"/>
          <w:szCs w:val="28"/>
          <w:shd w:val="clear" w:color="auto" w:fill="FFFFFF"/>
        </w:rPr>
        <w:t>1.完善遗赠及遗赠扶养协议的形式内容及法律效果，参照继承、遗嘱形式细化进行完善，纳入有关司法解释使其更加具体化、合理化，以供司法审判实际运用；</w:t>
      </w:r>
    </w:p>
    <w:p>
      <w:pPr>
        <w:shd w:val="clear" w:color="auto" w:fill="FFFFFF"/>
        <w:ind w:firstLine="560" w:firstLineChars="200"/>
        <w:jc w:val="left"/>
        <w:rPr>
          <w:rFonts w:ascii="仿宋_GB2312" w:hAnsi="宋体" w:eastAsia="仿宋_GB2312" w:cs="宋体"/>
          <w:color w:val="000000"/>
          <w:kern w:val="0"/>
          <w:sz w:val="28"/>
          <w:szCs w:val="28"/>
          <w:shd w:val="clear" w:color="auto" w:fill="FFFFFF"/>
        </w:rPr>
      </w:pPr>
      <w:r>
        <w:rPr>
          <w:rFonts w:hint="eastAsia" w:ascii="仿宋_GB2312" w:hAnsi="宋体" w:eastAsia="仿宋_GB2312" w:cs="宋体"/>
          <w:color w:val="000000"/>
          <w:kern w:val="0"/>
          <w:sz w:val="28"/>
          <w:szCs w:val="28"/>
          <w:shd w:val="clear" w:color="auto" w:fill="FFFFFF"/>
        </w:rPr>
        <w:t>2.采用继承合同解决法定继承与遗赠之间的矛盾冲突，提前规避财产风险；</w:t>
      </w:r>
    </w:p>
    <w:p>
      <w:pPr>
        <w:shd w:val="clear" w:color="auto" w:fill="FFFFFF"/>
        <w:ind w:firstLine="560" w:firstLineChars="200"/>
        <w:jc w:val="left"/>
        <w:rPr>
          <w:rFonts w:ascii="仿宋_GB2312" w:hAnsi="宋体" w:eastAsia="仿宋_GB2312" w:cs="宋体"/>
          <w:color w:val="000000"/>
          <w:kern w:val="0"/>
          <w:sz w:val="28"/>
          <w:szCs w:val="28"/>
          <w:shd w:val="clear" w:color="auto" w:fill="FFFFFF"/>
        </w:rPr>
      </w:pPr>
      <w:r>
        <w:rPr>
          <w:rFonts w:hint="eastAsia" w:ascii="仿宋_GB2312" w:hAnsi="宋体" w:eastAsia="仿宋_GB2312" w:cs="宋体"/>
          <w:color w:val="000000"/>
          <w:kern w:val="0"/>
          <w:sz w:val="28"/>
          <w:szCs w:val="28"/>
          <w:shd w:val="clear" w:color="auto" w:fill="FFFFFF"/>
        </w:rPr>
        <w:t>3.保留份提存机制的运用，通过保留遗赠份额来担保后期协议履行过程中出现的突发问题，担保瑕疵履行情况，若遗赠双方均实现权利义务，保留份还可以当做奖励机制，使受遗赠人充分履行。</w:t>
      </w:r>
    </w:p>
    <w:p>
      <w:pPr>
        <w:shd w:val="clear" w:color="auto" w:fill="FFFFFF"/>
        <w:jc w:val="left"/>
        <w:rPr>
          <w:rFonts w:ascii="仿宋_GB2312" w:hAnsi="Calibri" w:eastAsia="仿宋_GB2312"/>
          <w:b/>
          <w:sz w:val="28"/>
          <w:szCs w:val="32"/>
        </w:rPr>
      </w:pPr>
      <w:r>
        <w:rPr>
          <w:rFonts w:hint="eastAsia" w:ascii="仿宋_GB2312" w:hAnsi="Calibri" w:eastAsia="仿宋_GB2312"/>
          <w:b/>
          <w:sz w:val="28"/>
          <w:szCs w:val="32"/>
        </w:rPr>
        <w:t>以下正文：</w:t>
      </w:r>
    </w:p>
    <w:p>
      <w:pPr>
        <w:shd w:val="clear" w:color="auto" w:fill="FFFFFF"/>
        <w:jc w:val="left"/>
        <w:rPr>
          <w:rFonts w:ascii="仿宋_GB2312" w:hAnsi="Calibri" w:eastAsia="仿宋_GB2312"/>
          <w:b/>
          <w:sz w:val="28"/>
          <w:szCs w:val="32"/>
        </w:rPr>
      </w:pPr>
      <w:r>
        <w:rPr>
          <w:rFonts w:hint="eastAsia" w:ascii="仿宋_GB2312" w:hAnsi="Calibri" w:eastAsia="仿宋_GB2312"/>
          <w:b/>
          <w:sz w:val="28"/>
          <w:szCs w:val="32"/>
        </w:rPr>
        <w:t>一、楔子：问题缘起？</w:t>
      </w:r>
    </w:p>
    <w:p>
      <w:pPr>
        <w:pStyle w:val="19"/>
        <w:spacing w:line="360" w:lineRule="auto"/>
        <w:ind w:firstLine="0" w:firstLineChars="0"/>
        <w:rPr>
          <w:rFonts w:ascii="仿宋_GB2312" w:hAnsi="Calibri" w:eastAsia="仿宋_GB2312"/>
          <w:b/>
          <w:sz w:val="28"/>
          <w:szCs w:val="32"/>
        </w:rPr>
      </w:pPr>
      <w:r>
        <w:rPr>
          <w:rFonts w:hint="eastAsia" w:ascii="仿宋_GB2312" w:hAnsi="Calibri" w:eastAsia="仿宋_GB2312"/>
          <w:b/>
          <w:kern w:val="2"/>
          <w:sz w:val="28"/>
          <w:szCs w:val="32"/>
        </w:rPr>
        <w:t>（一）以</w:t>
      </w:r>
      <w:r>
        <w:rPr>
          <w:rFonts w:hint="eastAsia" w:ascii="仿宋_GB2312" w:hAnsi="Calibri" w:eastAsia="仿宋_GB2312"/>
          <w:b/>
          <w:sz w:val="28"/>
          <w:szCs w:val="32"/>
        </w:rPr>
        <w:t>“上海母女捐出千万房产”</w:t>
      </w:r>
      <w:r>
        <w:rPr>
          <w:rStyle w:val="17"/>
          <w:rFonts w:hint="eastAsia" w:ascii="仿宋_GB2312" w:hAnsi="Calibri" w:eastAsia="仿宋_GB2312"/>
          <w:b/>
          <w:sz w:val="28"/>
          <w:szCs w:val="32"/>
        </w:rPr>
        <w:footnoteReference w:id="0"/>
      </w:r>
      <w:r>
        <w:rPr>
          <w:rFonts w:hint="eastAsia" w:ascii="仿宋_GB2312" w:hAnsi="Calibri" w:eastAsia="仿宋_GB2312"/>
          <w:b/>
          <w:sz w:val="28"/>
          <w:szCs w:val="32"/>
        </w:rPr>
        <w:t>为视角</w:t>
      </w:r>
    </w:p>
    <w:p>
      <w:pPr>
        <w:widowControl/>
        <w:shd w:val="clear" w:color="auto" w:fill="FFFFFF"/>
        <w:spacing w:after="225"/>
        <w:ind w:firstLine="560" w:firstLineChars="200"/>
        <w:jc w:val="left"/>
        <w:rPr>
          <w:rFonts w:ascii="仿宋_GB2312" w:hAnsi="宋体" w:eastAsia="仿宋_GB2312" w:cs="宋体"/>
          <w:color w:val="000000"/>
          <w:kern w:val="0"/>
          <w:sz w:val="28"/>
          <w:szCs w:val="28"/>
          <w:shd w:val="clear" w:color="auto" w:fill="FFFFFF"/>
        </w:rPr>
      </w:pPr>
      <w:r>
        <w:rPr>
          <w:rFonts w:hint="eastAsia" w:ascii="仿宋_GB2312" w:hAnsi="宋体" w:eastAsia="仿宋_GB2312" w:cs="宋体"/>
          <w:color w:val="000000"/>
          <w:kern w:val="0"/>
          <w:sz w:val="28"/>
          <w:szCs w:val="28"/>
          <w:shd w:val="clear" w:color="auto" w:fill="FFFFFF"/>
        </w:rPr>
        <w:t>随着社会生活的不断发展，越来越多的年轻人对于结婚生子的需求有着自己独到的想法和打算。目前根据有关数据显示从2017年至2020年初婚人数分别为1746.33万人、1598.67万人、1398.71万人、1228.6万人，呈现不断下降趋势，更多适婚人群推迟结婚甚至不愿意结婚，那么后续有关财产的继承分配问题也会随之受到更新与影响。上海一母女公立遗嘱，捐赠千万房产的背后，是人们意识的不断更替和继承方式的不断扩大，母亲年事已高想把房产给40岁的独生女，但女儿单身且不愿意结婚的打算，想到身后无人继承，母女想到生前将遗产捐赠给国家。这不仅实现了自我价值，也体现了当代人观念的巨大改变，对个人财产的自由处分。</w:t>
      </w:r>
    </w:p>
    <w:p>
      <w:pPr>
        <w:widowControl/>
        <w:numPr>
          <w:ilvl w:val="0"/>
          <w:numId w:val="2"/>
        </w:numPr>
        <w:shd w:val="clear" w:color="auto" w:fill="FFFFFF"/>
        <w:spacing w:after="225"/>
        <w:jc w:val="left"/>
        <w:rPr>
          <w:rFonts w:ascii="仿宋_GB2312" w:hAnsi="宋体" w:eastAsia="仿宋_GB2312" w:cs="宋体"/>
          <w:color w:val="000000"/>
          <w:kern w:val="0"/>
          <w:sz w:val="28"/>
          <w:szCs w:val="28"/>
          <w:shd w:val="clear" w:color="auto" w:fill="FFFFFF"/>
        </w:rPr>
      </w:pPr>
      <w:r>
        <w:rPr>
          <w:rFonts w:hint="eastAsia" w:ascii="仿宋_GB2312" w:hAnsi="宋体" w:eastAsia="仿宋_GB2312" w:cs="宋体"/>
          <w:b/>
          <w:bCs/>
          <w:color w:val="000000"/>
          <w:kern w:val="0"/>
          <w:sz w:val="28"/>
          <w:szCs w:val="28"/>
          <w:shd w:val="clear" w:color="auto" w:fill="FFFFFF"/>
        </w:rPr>
        <w:t>撰写启蒙</w:t>
      </w:r>
    </w:p>
    <w:p>
      <w:pPr>
        <w:widowControl/>
        <w:shd w:val="clear" w:color="auto" w:fill="FFFFFF"/>
        <w:spacing w:after="225"/>
        <w:ind w:firstLine="560" w:firstLineChars="200"/>
        <w:jc w:val="left"/>
        <w:rPr>
          <w:rFonts w:ascii="仿宋_GB2312" w:hAnsi="宋体" w:eastAsia="仿宋_GB2312" w:cs="宋体"/>
          <w:color w:val="000000"/>
          <w:kern w:val="0"/>
          <w:sz w:val="28"/>
          <w:szCs w:val="28"/>
          <w:shd w:val="clear" w:color="auto" w:fill="FFFFFF"/>
        </w:rPr>
      </w:pPr>
      <w:r>
        <w:rPr>
          <w:rFonts w:hint="eastAsia" w:ascii="仿宋_GB2312" w:hAnsi="宋体" w:eastAsia="仿宋_GB2312" w:cs="宋体"/>
          <w:color w:val="000000"/>
          <w:kern w:val="0"/>
          <w:sz w:val="28"/>
          <w:szCs w:val="28"/>
          <w:shd w:val="clear" w:color="auto" w:fill="FFFFFF"/>
        </w:rPr>
        <w:t>提前捐赠财产给国家其背后就是生前赠与</w:t>
      </w:r>
      <w:r>
        <w:rPr>
          <w:rStyle w:val="17"/>
          <w:rFonts w:hint="eastAsia" w:ascii="仿宋_GB2312" w:hAnsi="宋体" w:eastAsia="仿宋_GB2312" w:cs="宋体"/>
          <w:color w:val="000000"/>
          <w:kern w:val="0"/>
          <w:sz w:val="28"/>
          <w:szCs w:val="28"/>
          <w:shd w:val="clear" w:color="auto" w:fill="FFFFFF"/>
        </w:rPr>
        <w:footnoteReference w:id="1"/>
      </w:r>
      <w:r>
        <w:rPr>
          <w:rFonts w:hint="eastAsia" w:ascii="仿宋_GB2312" w:hAnsi="宋体" w:eastAsia="仿宋_GB2312" w:cs="宋体"/>
          <w:color w:val="000000"/>
          <w:kern w:val="0"/>
          <w:sz w:val="28"/>
          <w:szCs w:val="28"/>
          <w:shd w:val="clear" w:color="auto" w:fill="FFFFFF"/>
        </w:rPr>
        <w:t>的形式体现，也是遗赠的一种方式，在目前社会物质丰富的同时，年轻一代对于自己的私人财产有自己的想法和做法，他们更多的是遵从自己内心选择，注重精神世界，将物质东西平淡化。遗赠作为一种处理公民自己财产的方式，也被越来多的年轻人所选择，既能实现自我的价值，也能起到帮助社会的作用。但对于法律工作者所注意的更多是伴随而来的司法实践问题有关遗赠制度的完善。我们更应该思考，在当今社会人们处理自己的财产方式多种多样，涉及的种类越来越多。那么司法是否能完全覆盖甚至预见未来发生的问题。例如：遗赠后，遗赠人患重病需要收回自己遗赠的财产，该怎么处理？遗赠与法定顺序继承相冲突又该如何确定？</w:t>
      </w:r>
    </w:p>
    <w:p>
      <w:pPr>
        <w:widowControl/>
        <w:numPr>
          <w:ilvl w:val="0"/>
          <w:numId w:val="3"/>
        </w:numPr>
        <w:shd w:val="clear" w:color="auto" w:fill="FFFFFF"/>
        <w:spacing w:after="225"/>
        <w:jc w:val="left"/>
        <w:rPr>
          <w:rFonts w:ascii="仿宋_GB2312" w:hAnsi="宋体" w:eastAsia="仿宋_GB2312" w:cs="宋体"/>
          <w:b/>
          <w:bCs/>
          <w:color w:val="000000"/>
          <w:kern w:val="0"/>
          <w:sz w:val="28"/>
          <w:szCs w:val="28"/>
          <w:shd w:val="clear" w:color="auto" w:fill="FFFFFF"/>
        </w:rPr>
      </w:pPr>
      <w:r>
        <w:rPr>
          <w:rFonts w:hint="eastAsia" w:ascii="仿宋_GB2312" w:hAnsi="宋体" w:eastAsia="仿宋_GB2312" w:cs="宋体"/>
          <w:b/>
          <w:bCs/>
          <w:color w:val="000000"/>
          <w:kern w:val="0"/>
          <w:sz w:val="28"/>
          <w:szCs w:val="28"/>
          <w:shd w:val="clear" w:color="auto" w:fill="FFFFFF"/>
        </w:rPr>
        <w:t>养老模式法治路径与遗赠制度的实证分析</w:t>
      </w:r>
    </w:p>
    <w:p>
      <w:pPr>
        <w:widowControl/>
        <w:numPr>
          <w:ilvl w:val="0"/>
          <w:numId w:val="4"/>
        </w:numPr>
        <w:shd w:val="clear" w:color="auto" w:fill="FFFFFF"/>
        <w:spacing w:after="225"/>
        <w:jc w:val="left"/>
        <w:rPr>
          <w:rFonts w:ascii="仿宋_GB2312" w:hAnsi="宋体" w:eastAsia="仿宋_GB2312" w:cs="宋体"/>
          <w:b/>
          <w:bCs/>
          <w:color w:val="000000"/>
          <w:kern w:val="0"/>
          <w:sz w:val="28"/>
          <w:szCs w:val="28"/>
          <w:shd w:val="clear" w:color="auto" w:fill="FFFFFF"/>
        </w:rPr>
      </w:pPr>
      <w:r>
        <w:rPr>
          <w:rFonts w:hint="eastAsia" w:ascii="仿宋_GB2312" w:hAnsi="宋体" w:eastAsia="仿宋_GB2312" w:cs="宋体"/>
          <w:b/>
          <w:bCs/>
          <w:color w:val="000000"/>
          <w:kern w:val="0"/>
          <w:sz w:val="28"/>
          <w:szCs w:val="28"/>
          <w:shd w:val="clear" w:color="auto" w:fill="FFFFFF"/>
        </w:rPr>
        <w:t>政策依据——社会治理</w:t>
      </w:r>
    </w:p>
    <w:p>
      <w:pPr>
        <w:widowControl/>
        <w:shd w:val="clear" w:color="auto" w:fill="FFFFFF"/>
        <w:spacing w:after="225"/>
        <w:jc w:val="left"/>
        <w:rPr>
          <w:rFonts w:ascii="仿宋_GB2312" w:hAnsi="宋体" w:eastAsia="仿宋_GB2312" w:cs="宋体"/>
          <w:color w:val="000000"/>
          <w:kern w:val="0"/>
          <w:sz w:val="28"/>
          <w:szCs w:val="28"/>
          <w:shd w:val="clear" w:color="auto" w:fill="FFFFFF"/>
        </w:rPr>
      </w:pPr>
      <w:r>
        <w:rPr>
          <w:rFonts w:hint="eastAsia" w:ascii="仿宋_GB2312" w:hAnsi="宋体" w:eastAsia="仿宋_GB2312" w:cs="宋体"/>
          <w:color w:val="000000"/>
          <w:kern w:val="0"/>
          <w:sz w:val="28"/>
          <w:szCs w:val="28"/>
          <w:shd w:val="clear" w:color="auto" w:fill="FFFFFF"/>
        </w:rPr>
        <w:t xml:space="preserve">    党的十八大提出以来,社会问题治理已经取代政府社会经济管理体系正式发展成为当今我国法治社会的建设新的时代关键词思想与根本方法论,党的十九大也持续强调高度要重视政府社会经济治理科学体系理论的体系建设。养老作为社会治理的板块之一,也一直是热点话题。根据此次全国第二次国家统计局暨全国和第七次全国人口资源大样本普查工作相关统计数据信息资料显示,我国大陆农村常住60岁及其以上人口及岁半以上工作年龄人口数共估计为约640万人,占我国全省人口数18.70%,其中全国农业户籍65岁人口或及岁半以上年龄户籍人口总计仅计为约为19064万人,占13.5%。我国随着老龄化社会进程将不断在加快,"涨幅"较大。</w:t>
      </w:r>
    </w:p>
    <w:p>
      <w:pPr>
        <w:widowControl/>
        <w:shd w:val="clear" w:color="auto" w:fill="FFFFFF"/>
        <w:spacing w:after="225"/>
        <w:jc w:val="left"/>
        <w:rPr>
          <w:rFonts w:ascii="仿宋_GB2312" w:hAnsi="宋体" w:eastAsia="仿宋_GB2312" w:cs="宋体"/>
          <w:color w:val="000000"/>
          <w:kern w:val="0"/>
          <w:sz w:val="28"/>
          <w:szCs w:val="28"/>
          <w:shd w:val="clear" w:color="auto" w:fill="FFFFFF"/>
        </w:rPr>
      </w:pPr>
      <w:r>
        <w:rPr>
          <w:rFonts w:hint="eastAsia" w:ascii="仿宋_GB2312" w:hAnsi="宋体" w:eastAsia="仿宋_GB2312" w:cs="宋体"/>
          <w:color w:val="000000"/>
          <w:kern w:val="0"/>
          <w:sz w:val="28"/>
          <w:szCs w:val="28"/>
          <w:shd w:val="clear" w:color="auto" w:fill="FFFFFF"/>
        </w:rPr>
        <w:t>表一：2021年末与第七次人口普查数据对比图</w:t>
      </w:r>
    </w:p>
    <w:p>
      <w:pPr>
        <w:widowControl/>
        <w:shd w:val="clear" w:color="auto" w:fill="FFFFFF"/>
        <w:spacing w:after="225"/>
        <w:jc w:val="left"/>
        <w:rPr>
          <w:rFonts w:ascii="宋体" w:hAnsi="宋体" w:cs="宋体"/>
          <w:sz w:val="24"/>
        </w:rPr>
      </w:pPr>
      <w:r>
        <w:rPr>
          <w:rFonts w:ascii="宋体" w:hAnsi="宋体" w:cs="宋体"/>
          <w:sz w:val="24"/>
        </w:rPr>
        <w:drawing>
          <wp:inline distT="0" distB="0" distL="114300" distR="114300">
            <wp:extent cx="5429885" cy="2146935"/>
            <wp:effectExtent l="0" t="0" r="5715" b="1206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5429885" cy="2146935"/>
                    </a:xfrm>
                    <a:prstGeom prst="rect">
                      <a:avLst/>
                    </a:prstGeom>
                    <a:noFill/>
                    <a:ln w="9525">
                      <a:noFill/>
                    </a:ln>
                  </pic:spPr>
                </pic:pic>
              </a:graphicData>
            </a:graphic>
          </wp:inline>
        </w:drawing>
      </w:r>
    </w:p>
    <w:p>
      <w:pPr>
        <w:widowControl/>
        <w:shd w:val="clear" w:color="auto" w:fill="FFFFFF"/>
        <w:spacing w:after="225"/>
        <w:jc w:val="left"/>
        <w:rPr>
          <w:rFonts w:ascii="仿宋_GB2312" w:hAnsi="宋体" w:eastAsia="仿宋_GB2312" w:cs="宋体"/>
          <w:b/>
          <w:bCs/>
          <w:color w:val="000000"/>
          <w:kern w:val="0"/>
          <w:sz w:val="28"/>
          <w:szCs w:val="28"/>
          <w:shd w:val="clear" w:color="auto" w:fill="FFFFFF"/>
        </w:rPr>
      </w:pPr>
      <w:r>
        <w:rPr>
          <w:rFonts w:hint="eastAsia" w:ascii="仿宋_GB2312" w:hAnsi="宋体" w:eastAsia="仿宋_GB2312" w:cs="宋体"/>
          <w:b/>
          <w:bCs/>
          <w:color w:val="000000"/>
          <w:kern w:val="0"/>
          <w:sz w:val="28"/>
          <w:szCs w:val="28"/>
          <w:shd w:val="clear" w:color="auto" w:fill="FFFFFF"/>
        </w:rPr>
        <w:t xml:space="preserve">  （二）现状考察——1/4年轻人的“养老”窘境</w:t>
      </w:r>
    </w:p>
    <w:p>
      <w:pPr>
        <w:pStyle w:val="19"/>
        <w:spacing w:line="360" w:lineRule="auto"/>
        <w:ind w:firstLine="560"/>
        <w:rPr>
          <w:rFonts w:ascii="仿宋_GB2312" w:hAnsi="宋体" w:eastAsia="仿宋_GB2312" w:cs="宋体"/>
          <w:color w:val="000000"/>
          <w:sz w:val="28"/>
          <w:szCs w:val="28"/>
          <w:shd w:val="clear" w:color="auto" w:fill="FFFFFF"/>
        </w:rPr>
      </w:pPr>
      <w:r>
        <w:rPr>
          <w:rFonts w:hint="eastAsia" w:ascii="仿宋_GB2312" w:hAnsi="宋体" w:eastAsia="仿宋_GB2312" w:cs="宋体"/>
          <w:color w:val="000000"/>
          <w:sz w:val="28"/>
          <w:szCs w:val="28"/>
          <w:shd w:val="clear" w:color="auto" w:fill="FFFFFF"/>
        </w:rPr>
        <w:t>根据国家统计数据显示：不婚人群在单身群体中的占比约25%，适婚青年人口下降，结婚率、生育率高开低走。以社会发展的客观层面看，不断攀升的房价、高昂的教育成本和育儿经费压让年轻人望而却步；从年轻人主观角度而言，个人自主意识加强，面对婚姻有自己的选择和看法，更加审慎且有责任的看待选择。百合佳缘集团第三方权威数据和调研统计机构发布《中国当代不婚主义白皮书》</w:t>
      </w:r>
      <w:r>
        <w:rPr>
          <w:rStyle w:val="17"/>
          <w:rFonts w:hint="eastAsia" w:ascii="仿宋_GB2312" w:hAnsi="宋体" w:eastAsia="仿宋_GB2312" w:cs="宋体"/>
          <w:color w:val="000000"/>
          <w:sz w:val="28"/>
          <w:szCs w:val="28"/>
          <w:shd w:val="clear" w:color="auto" w:fill="FFFFFF"/>
        </w:rPr>
        <w:footnoteReference w:id="2"/>
      </w:r>
      <w:r>
        <w:rPr>
          <w:rFonts w:hint="eastAsia" w:ascii="仿宋_GB2312" w:hAnsi="宋体" w:eastAsia="仿宋_GB2312" w:cs="宋体"/>
          <w:color w:val="000000"/>
          <w:sz w:val="28"/>
          <w:szCs w:val="28"/>
          <w:shd w:val="clear" w:color="auto" w:fill="FFFFFF"/>
        </w:rPr>
        <w:t>调查最终结果数据显示,不婚及生育子女人群构成中,45%以下都是互联网公司企事业员工,20%以上也是正处于职场边缘状态的各行业公司中的高层人员;本科学历比例约为女性占比在高达约为73%,月收入中位数均稳定在人民币8000元及人民币10000元以上月收入中的单身不婚单身人群中则是以单身女性的占比达约47%而占据了排行中榜首位,其次集中在人民币5001-8000元月及其以下每月收入中的单身及不婚单身群体女性的占比均约仅为34%。</w:t>
      </w:r>
    </w:p>
    <w:p>
      <w:pPr>
        <w:pStyle w:val="19"/>
        <w:spacing w:line="360" w:lineRule="auto"/>
        <w:ind w:firstLine="560"/>
        <w:rPr>
          <w:rFonts w:ascii="仿宋_GB2312" w:hAnsi="宋体" w:eastAsia="仿宋_GB2312" w:cs="宋体"/>
          <w:color w:val="000000"/>
          <w:sz w:val="28"/>
          <w:szCs w:val="28"/>
          <w:shd w:val="clear" w:color="auto" w:fill="FFFFFF"/>
        </w:rPr>
      </w:pPr>
      <w:r>
        <w:rPr>
          <w:rFonts w:hint="eastAsia" w:ascii="仿宋_GB2312" w:hAnsi="宋体" w:eastAsia="仿宋_GB2312" w:cs="宋体"/>
          <w:color w:val="000000"/>
          <w:sz w:val="28"/>
          <w:szCs w:val="28"/>
          <w:shd w:val="clear" w:color="auto" w:fill="FFFFFF"/>
        </w:rPr>
        <w:t>表二：单身不婚人群占比图    表三：不婚年龄人群占比图占比</w:t>
      </w:r>
    </w:p>
    <w:p>
      <w:pPr>
        <w:pStyle w:val="19"/>
        <w:spacing w:line="360" w:lineRule="auto"/>
        <w:ind w:firstLine="0" w:firstLineChars="0"/>
        <w:rPr>
          <w:rFonts w:ascii="仿宋" w:hAnsi="仿宋" w:eastAsia="仿宋" w:cs="仿宋"/>
          <w:kern w:val="2"/>
          <w:sz w:val="30"/>
          <w:szCs w:val="30"/>
        </w:rPr>
      </w:pPr>
      <w:r>
        <w:rPr>
          <w:rFonts w:hint="eastAsia" w:ascii="仿宋" w:hAnsi="仿宋" w:eastAsia="仿宋" w:cs="仿宋"/>
          <w:kern w:val="2"/>
          <w:sz w:val="30"/>
          <w:szCs w:val="30"/>
        </w:rPr>
        <w:drawing>
          <wp:inline distT="0" distB="0" distL="114300" distR="114300">
            <wp:extent cx="2280285" cy="2024380"/>
            <wp:effectExtent l="4445" t="4445" r="13970" b="4127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ascii="仿宋" w:hAnsi="仿宋" w:eastAsia="仿宋" w:cs="仿宋"/>
          <w:kern w:val="2"/>
          <w:sz w:val="30"/>
          <w:szCs w:val="30"/>
        </w:rPr>
        <w:drawing>
          <wp:inline distT="0" distB="0" distL="114300" distR="114300">
            <wp:extent cx="2127250" cy="2033270"/>
            <wp:effectExtent l="4445" t="4445" r="14605" b="4508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19"/>
        <w:spacing w:line="360" w:lineRule="auto"/>
        <w:ind w:firstLine="560"/>
        <w:rPr>
          <w:rFonts w:ascii="仿宋_GB2312" w:hAnsi="宋体" w:eastAsia="仿宋_GB2312" w:cs="宋体"/>
          <w:color w:val="000000"/>
          <w:sz w:val="28"/>
          <w:szCs w:val="28"/>
          <w:shd w:val="clear" w:color="auto" w:fill="FFFFFF"/>
        </w:rPr>
      </w:pPr>
      <w:r>
        <w:rPr>
          <w:rFonts w:hint="eastAsia" w:ascii="仿宋_GB2312" w:hAnsi="宋体" w:eastAsia="仿宋_GB2312" w:cs="宋体"/>
          <w:color w:val="000000"/>
          <w:sz w:val="28"/>
          <w:szCs w:val="28"/>
          <w:shd w:val="clear" w:color="auto" w:fill="FFFFFF"/>
        </w:rPr>
        <w:t>由此可见,绝大部分的不婚生主义者背后通常也伴有一副高学历、高稳定收入家庭的标签。他们可以在自己的工作领域有一技之长，面对生活也得心应手，单身可以说让他们生活质量更高。但在上述数据展示的同时，值得思考的是，这</w:t>
      </w:r>
      <w:r>
        <w:rPr>
          <w:rFonts w:ascii="仿宋_GB2312" w:hAnsi="宋体" w:eastAsia="仿宋_GB2312" w:cs="宋体"/>
          <w:b/>
          <w:bCs/>
          <w:color w:val="000000"/>
          <w:sz w:val="28"/>
          <w:szCs w:val="28"/>
          <w:shd w:val="clear" w:color="auto" w:fill="FFFFFF"/>
        </w:rPr>
        <w:t>¼</w:t>
      </w:r>
      <w:r>
        <w:rPr>
          <w:rFonts w:hint="eastAsia" w:ascii="仿宋_GB2312" w:hAnsi="宋体" w:eastAsia="仿宋_GB2312" w:cs="宋体"/>
          <w:color w:val="000000"/>
          <w:sz w:val="28"/>
          <w:szCs w:val="28"/>
          <w:shd w:val="clear" w:color="auto" w:fill="FFFFFF"/>
        </w:rPr>
        <w:t>的不婚人群在几十年的将来面对的是无直接继承人的问题，那么他们在处理财产这方面应该怎样处理？或者后续继承问题应该得到怎样的司法保障？那么遗赠可能成为这类人群在处理财产方面的重要手段和未来选择方向。</w:t>
      </w:r>
    </w:p>
    <w:p>
      <w:pPr>
        <w:pStyle w:val="19"/>
        <w:spacing w:line="360" w:lineRule="auto"/>
        <w:ind w:firstLine="0" w:firstLineChars="0"/>
        <w:rPr>
          <w:rFonts w:ascii="仿宋_GB2312" w:hAnsi="宋体" w:eastAsia="仿宋_GB2312" w:cs="宋体"/>
          <w:b/>
          <w:bCs/>
          <w:color w:val="000000"/>
          <w:sz w:val="28"/>
          <w:szCs w:val="28"/>
          <w:shd w:val="clear" w:color="auto" w:fill="FFFFFF"/>
        </w:rPr>
      </w:pPr>
      <w:r>
        <w:rPr>
          <w:rFonts w:hint="eastAsia" w:ascii="仿宋_GB2312" w:hAnsi="宋体" w:eastAsia="仿宋_GB2312" w:cs="宋体"/>
          <w:b/>
          <w:bCs/>
          <w:color w:val="000000"/>
          <w:sz w:val="28"/>
          <w:szCs w:val="28"/>
          <w:shd w:val="clear" w:color="auto" w:fill="FFFFFF"/>
        </w:rPr>
        <w:t>三、养老与遗赠扶养协议制度的内在联系</w:t>
      </w:r>
    </w:p>
    <w:p>
      <w:pPr>
        <w:rPr>
          <w:rFonts w:ascii="仿宋_GB2312" w:hAnsi="Calibri" w:eastAsia="仿宋_GB2312"/>
          <w:b/>
          <w:sz w:val="28"/>
          <w:szCs w:val="32"/>
        </w:rPr>
      </w:pPr>
      <w:r>
        <w:rPr>
          <w:rFonts w:hint="eastAsia" w:ascii="仿宋_GB2312" w:hAnsi="Calibri" w:eastAsia="仿宋_GB2312"/>
          <w:b/>
          <w:sz w:val="28"/>
          <w:szCs w:val="32"/>
        </w:rPr>
        <w:t>（一）关于遗赠的理论来源</w:t>
      </w:r>
      <w:r>
        <w:rPr>
          <w:rStyle w:val="17"/>
          <w:rFonts w:hint="eastAsia" w:ascii="仿宋_GB2312" w:hAnsi="Calibri" w:eastAsia="仿宋_GB2312"/>
          <w:b/>
          <w:sz w:val="28"/>
          <w:szCs w:val="32"/>
        </w:rPr>
        <w:footnoteReference w:id="3"/>
      </w:r>
    </w:p>
    <w:p>
      <w:pPr>
        <w:shd w:val="clear" w:color="auto" w:fill="FFFFFF"/>
        <w:ind w:firstLine="560" w:firstLineChars="200"/>
        <w:jc w:val="left"/>
        <w:rPr>
          <w:rFonts w:ascii="仿宋_GB2312" w:hAnsi="宋体" w:eastAsia="仿宋_GB2312" w:cs="宋体"/>
          <w:color w:val="000000"/>
          <w:kern w:val="0"/>
          <w:sz w:val="28"/>
          <w:szCs w:val="28"/>
          <w:shd w:val="clear" w:color="auto" w:fill="FFFFFF"/>
        </w:rPr>
      </w:pPr>
      <w:r>
        <w:rPr>
          <w:rFonts w:hint="eastAsia" w:ascii="仿宋_GB2312" w:hAnsi="宋体" w:eastAsia="仿宋_GB2312" w:cs="宋体"/>
          <w:color w:val="000000"/>
          <w:kern w:val="0"/>
          <w:sz w:val="28"/>
          <w:szCs w:val="28"/>
          <w:shd w:val="clear" w:color="auto" w:fill="FFFFFF"/>
        </w:rPr>
        <w:t>遗赠继承制度最早起源于美国罗马遗嘱法。考诸法史,遗赠之涵义虽可在罗马法系自身历史发展轨迹与后世继受制过程中保持了相对的稳定,但其法律效力却几经嬗变，古往今来,遗赠多在债权效力中与其他物权效力中择其一而从。</w:t>
      </w:r>
    </w:p>
    <w:p>
      <w:pPr>
        <w:shd w:val="clear" w:color="auto" w:fill="FFFFFF"/>
        <w:ind w:firstLine="560" w:firstLineChars="200"/>
        <w:jc w:val="left"/>
        <w:rPr>
          <w:rFonts w:ascii="仿宋_GB2312" w:hAnsi="宋体" w:eastAsia="仿宋_GB2312" w:cs="宋体"/>
          <w:color w:val="000000"/>
          <w:kern w:val="0"/>
          <w:sz w:val="28"/>
          <w:szCs w:val="28"/>
          <w:shd w:val="clear" w:color="auto" w:fill="FFFFFF"/>
        </w:rPr>
      </w:pPr>
      <w:r>
        <w:rPr>
          <w:rFonts w:hint="eastAsia" w:ascii="仿宋_GB2312" w:hAnsi="宋体" w:eastAsia="仿宋_GB2312" w:cs="宋体"/>
          <w:color w:val="000000"/>
          <w:kern w:val="0"/>
          <w:sz w:val="28"/>
          <w:szCs w:val="28"/>
          <w:shd w:val="clear" w:color="auto" w:fill="FFFFFF"/>
        </w:rPr>
        <w:t>在当今我国,遗赠早已被依法纳入法定继承关系的调整范围领域,遗赠制作为中国的一重最古老合法的财产代际顺序继承赠与方式,是继指被遗嘱人直接用写遗嘱文件的一种方式将全部个人财产里的至少一部份额或财产全部分于人死后受赠给其他国家、集体成员或个人法定顺序继承人关系以外权利的权利人遗产的最后一种财产法律制度,是由遗嘱人亲自以口头遗嘱文书处分赠与其继承遗产继承人的其中一种方式。广义的遗赠上还包括概括遗赠,是指附条件或附义务的遗赠,以"山东顶盆过继案"为例,发现遗绝大部分是遗赠人要求受遗赠人对自己履行"养老送终"的义务。</w:t>
      </w:r>
    </w:p>
    <w:p>
      <w:pPr>
        <w:shd w:val="clear" w:color="auto" w:fill="FFFFFF"/>
        <w:ind w:firstLine="562" w:firstLineChars="200"/>
        <w:jc w:val="left"/>
        <w:rPr>
          <w:rFonts w:ascii="仿宋_GB2312" w:hAnsi="宋体" w:eastAsia="仿宋_GB2312" w:cs="宋体"/>
          <w:b/>
          <w:bCs/>
          <w:color w:val="000000"/>
          <w:kern w:val="0"/>
          <w:sz w:val="28"/>
          <w:szCs w:val="28"/>
          <w:shd w:val="clear" w:color="auto" w:fill="FFFFFF"/>
        </w:rPr>
      </w:pPr>
      <w:r>
        <w:rPr>
          <w:rFonts w:hint="eastAsia" w:ascii="仿宋_GB2312" w:hAnsi="宋体" w:eastAsia="仿宋_GB2312" w:cs="宋体"/>
          <w:b/>
          <w:bCs/>
          <w:color w:val="000000"/>
          <w:kern w:val="0"/>
          <w:sz w:val="28"/>
          <w:szCs w:val="28"/>
          <w:shd w:val="clear" w:color="auto" w:fill="FFFFFF"/>
        </w:rPr>
        <w:t>（二）本土起源——遗赠扶养协议制度</w:t>
      </w:r>
    </w:p>
    <w:p>
      <w:pPr>
        <w:shd w:val="clear" w:color="auto" w:fill="FFFFFF"/>
        <w:ind w:firstLine="560" w:firstLineChars="200"/>
        <w:jc w:val="left"/>
        <w:rPr>
          <w:rFonts w:ascii="仿宋_GB2312" w:hAnsi="宋体" w:eastAsia="仿宋_GB2312" w:cs="宋体"/>
          <w:color w:val="000000"/>
          <w:kern w:val="0"/>
          <w:sz w:val="28"/>
          <w:szCs w:val="28"/>
          <w:shd w:val="clear" w:color="auto" w:fill="FFFFFF"/>
        </w:rPr>
      </w:pPr>
      <w:r>
        <w:rPr>
          <w:rFonts w:hint="eastAsia" w:ascii="仿宋_GB2312" w:hAnsi="宋体" w:eastAsia="仿宋_GB2312" w:cs="宋体"/>
          <w:color w:val="000000"/>
          <w:kern w:val="0"/>
          <w:sz w:val="28"/>
          <w:szCs w:val="28"/>
          <w:shd w:val="clear" w:color="auto" w:fill="FFFFFF"/>
        </w:rPr>
        <w:t>谈到受遗赠就觉得有必要再聊聊其衍生的制度“遗赠扶养协议”了,这实际上是属于我国本土独创出来的衍生制度,是我国更为抽象直观的另外一种民法"养老"的制度,受遗赠人要有责任承担接受遗赠人给付的财物生养或者死葬等的民事义务,遗赠人提供的其他财产是在约定其死后财产转归其他受遗赠人一方所有之后的协议,其明确规定双方民事主体之间的权利义务。这种制度起源于“五保户”</w:t>
      </w:r>
      <w:r>
        <w:rPr>
          <w:rStyle w:val="17"/>
          <w:rFonts w:hint="eastAsia" w:ascii="仿宋_GB2312" w:hAnsi="宋体" w:eastAsia="仿宋_GB2312" w:cs="宋体"/>
          <w:color w:val="000000"/>
          <w:kern w:val="0"/>
          <w:sz w:val="28"/>
          <w:szCs w:val="28"/>
          <w:shd w:val="clear" w:color="auto" w:fill="FFFFFF"/>
        </w:rPr>
        <w:footnoteReference w:id="4"/>
      </w:r>
      <w:r>
        <w:rPr>
          <w:rFonts w:hint="eastAsia" w:ascii="仿宋_GB2312" w:hAnsi="宋体" w:eastAsia="仿宋_GB2312" w:cs="宋体"/>
          <w:color w:val="000000"/>
          <w:kern w:val="0"/>
          <w:sz w:val="28"/>
          <w:szCs w:val="28"/>
          <w:shd w:val="clear" w:color="auto" w:fill="FFFFFF"/>
        </w:rPr>
        <w:t>，而《农村五保供养工作条例》条款当中也就是具体地体现到了遗赠扶养协议条款的实际适用,基于特定社会背景,通过亲属和农村集体所有制组织之间签订委托供养子女协议,由集体组织获得的财产供养,而这些集体和组织只能在当事人"五保户"死后方才取得属于其本人财产,这也许就是所谓遗赠扶养协议制度的雏形。发展至今，遗赠扶养协议不在局限于集体或组织，也在自然人之间适用。遗赠扶养协议就是年老者对自身权益的选择与保障，通过与扶养人订立协议的一种方式来达到安享晚年、养老送终的目的。</w:t>
      </w:r>
    </w:p>
    <w:p>
      <w:pPr>
        <w:shd w:val="clear" w:color="auto" w:fill="FFFFFF"/>
        <w:jc w:val="left"/>
        <w:rPr>
          <w:rFonts w:ascii="仿宋_GB2312" w:hAnsi="Calibri" w:eastAsia="仿宋_GB2312"/>
          <w:b/>
          <w:sz w:val="28"/>
          <w:szCs w:val="32"/>
        </w:rPr>
      </w:pPr>
      <w:r>
        <w:rPr>
          <w:rFonts w:hint="eastAsia" w:ascii="仿宋_GB2312" w:hAnsi="Calibri" w:eastAsia="仿宋_GB2312"/>
          <w:b/>
          <w:sz w:val="28"/>
          <w:szCs w:val="32"/>
        </w:rPr>
        <w:t>四、聚焦遗赠及遗赠扶养协议制度留白区域</w:t>
      </w:r>
    </w:p>
    <w:p>
      <w:pPr>
        <w:shd w:val="clear" w:color="auto" w:fill="FFFFFF"/>
        <w:jc w:val="left"/>
        <w:rPr>
          <w:rFonts w:ascii="仿宋_GB2312" w:hAnsi="Calibri" w:eastAsia="仿宋_GB2312"/>
          <w:b/>
          <w:sz w:val="28"/>
          <w:szCs w:val="32"/>
        </w:rPr>
      </w:pPr>
      <w:r>
        <w:rPr>
          <w:rFonts w:hint="eastAsia" w:ascii="仿宋_GB2312" w:hAnsi="Calibri" w:eastAsia="仿宋_GB2312"/>
          <w:b/>
          <w:sz w:val="28"/>
          <w:szCs w:val="32"/>
        </w:rPr>
        <w:t>（一）有关遗赠的立法现状</w:t>
      </w:r>
    </w:p>
    <w:p>
      <w:pPr>
        <w:pStyle w:val="19"/>
        <w:spacing w:line="360" w:lineRule="auto"/>
        <w:ind w:firstLine="560"/>
        <w:rPr>
          <w:rFonts w:ascii="仿宋_GB2312" w:hAnsi="宋体" w:eastAsia="仿宋_GB2312" w:cs="宋体"/>
          <w:color w:val="000000"/>
          <w:sz w:val="28"/>
          <w:szCs w:val="28"/>
          <w:shd w:val="clear" w:color="auto" w:fill="FFFFFF"/>
        </w:rPr>
      </w:pPr>
      <w:r>
        <w:rPr>
          <w:rFonts w:hint="eastAsia" w:ascii="仿宋_GB2312" w:hAnsi="宋体" w:eastAsia="仿宋_GB2312" w:cs="宋体"/>
          <w:color w:val="000000"/>
          <w:sz w:val="28"/>
          <w:szCs w:val="28"/>
          <w:shd w:val="clear" w:color="auto" w:fill="FFFFFF"/>
        </w:rPr>
        <w:t>遗赠纳入继承编，是现实生活中人们对于私有财产的一种处分方式,是普遍存在的民事行为和遗赠人自由意思的体现。对于我国现在的年轻人一代来讲,遗赠将可能完全取代了继承而成为目前最具主要竞争力的一种代际财产信息传递交换方式,或者说是通过继承这种方式而完成的财产代际信息传递交换的主要实际的意义已经被弱化。遗赠可以将私有财产提前赠与法定继承人以外的其他自然人或国家，是提前处理财产的一种方式,对于这种方式,赠与人可以规避后续继承风险和养老风险。</w:t>
      </w:r>
    </w:p>
    <w:p>
      <w:pPr>
        <w:pStyle w:val="19"/>
        <w:spacing w:line="360" w:lineRule="auto"/>
        <w:ind w:firstLine="560"/>
        <w:rPr>
          <w:rFonts w:ascii="仿宋_GB2312" w:hAnsi="宋体" w:eastAsia="仿宋_GB2312" w:cs="宋体"/>
          <w:color w:val="000000"/>
          <w:sz w:val="28"/>
          <w:szCs w:val="28"/>
          <w:shd w:val="clear" w:color="auto" w:fill="FFFFFF"/>
        </w:rPr>
      </w:pPr>
      <w:r>
        <w:rPr>
          <w:rFonts w:hint="eastAsia" w:ascii="仿宋_GB2312" w:hAnsi="宋体" w:eastAsia="仿宋_GB2312" w:cs="宋体"/>
          <w:color w:val="000000"/>
          <w:sz w:val="28"/>
          <w:szCs w:val="28"/>
          <w:shd w:val="clear" w:color="auto" w:fill="FFFFFF"/>
        </w:rPr>
        <w:t>按照性质来分，遗赠实质上属于赠与合同，赠与人将自己的财产提前赠于给他人。《民法典》对于遗赠相关规定在第六编——继承编第三章，仅第一千一百二十三条　、第一千一百四十四条、第一千一百五十八条提到遗赠及有关法律的规定，且都是概括性条文，对于实践当中面临遗赠及遗赠扶养协议等具体司法难题还是空有留白。倘若遗赠人去世后，法定继承人不承认遗赠的效力，且对于中国较为传统的观念，道德未必就能站在受遗赠人一边，这有可能让受遗赠人“人财两空”，与社会主义核心价值观背道而驰。</w:t>
      </w:r>
    </w:p>
    <w:p>
      <w:pPr>
        <w:shd w:val="clear" w:color="auto" w:fill="FFFFFF"/>
        <w:jc w:val="left"/>
        <w:rPr>
          <w:rFonts w:ascii="仿宋_GB2312" w:hAnsi="Calibri" w:eastAsia="仿宋_GB2312"/>
          <w:b/>
          <w:sz w:val="28"/>
          <w:szCs w:val="32"/>
        </w:rPr>
      </w:pPr>
      <w:r>
        <w:rPr>
          <w:rFonts w:hint="eastAsia" w:ascii="仿宋_GB2312" w:hAnsi="Calibri" w:eastAsia="仿宋_GB2312"/>
          <w:b/>
          <w:sz w:val="28"/>
          <w:szCs w:val="32"/>
        </w:rPr>
        <w:t>（二）遗赠扶养协议制度尚有缺失</w:t>
      </w:r>
    </w:p>
    <w:p>
      <w:pPr>
        <w:pStyle w:val="19"/>
        <w:spacing w:line="360" w:lineRule="auto"/>
        <w:ind w:firstLine="560"/>
        <w:rPr>
          <w:rFonts w:ascii="仿宋_GB2312" w:hAnsi="宋体" w:eastAsia="仿宋_GB2312" w:cs="宋体"/>
          <w:color w:val="000000"/>
          <w:sz w:val="28"/>
          <w:szCs w:val="28"/>
          <w:shd w:val="clear" w:color="auto" w:fill="FFFFFF"/>
        </w:rPr>
      </w:pPr>
      <w:r>
        <w:rPr>
          <w:rFonts w:hint="eastAsia" w:ascii="仿宋_GB2312" w:hAnsi="宋体" w:eastAsia="仿宋_GB2312" w:cs="宋体"/>
          <w:color w:val="000000"/>
          <w:sz w:val="28"/>
          <w:szCs w:val="28"/>
          <w:shd w:val="clear" w:color="auto" w:fill="FFFFFF"/>
        </w:rPr>
        <w:t>目前年老者财产急剧增加，笼统性原则性的遗赠扶养协议制度已经不能满足现实需求，过于宽泛的遗赠扶养协议，从订立之初到协议履行过程中都存在种种隐患，导致双方当事人最终走上诉讼违反立法的初衷</w:t>
      </w:r>
      <w:r>
        <w:rPr>
          <w:rStyle w:val="17"/>
          <w:rFonts w:hint="eastAsia" w:ascii="仿宋_GB2312" w:hAnsi="宋体" w:eastAsia="仿宋_GB2312" w:cs="宋体"/>
          <w:color w:val="000000"/>
          <w:sz w:val="28"/>
          <w:szCs w:val="28"/>
          <w:shd w:val="clear" w:color="auto" w:fill="FFFFFF"/>
        </w:rPr>
        <w:footnoteReference w:id="5"/>
      </w:r>
      <w:r>
        <w:rPr>
          <w:rFonts w:hint="eastAsia" w:ascii="仿宋_GB2312" w:hAnsi="宋体" w:eastAsia="仿宋_GB2312" w:cs="宋体"/>
          <w:color w:val="000000"/>
          <w:sz w:val="28"/>
          <w:szCs w:val="28"/>
          <w:shd w:val="clear" w:color="auto" w:fill="FFFFFF"/>
        </w:rPr>
        <w:t>。《民法典》第一千一百五十八条规定可以看出遗赠扶养协议本质是双务、有偿法律行为，遗赠扶养协议的双方当事人互享权利、互负义务。遗赠扶养协议对社会目前存在的养老问题起到一定的缓冲效果，也将社会主义核心价值观中的宏观方面呈现出来，调节了老年问题。但笔者认为还有欠缺之处：</w:t>
      </w:r>
    </w:p>
    <w:p>
      <w:pPr>
        <w:pStyle w:val="19"/>
        <w:numPr>
          <w:ilvl w:val="0"/>
          <w:numId w:val="5"/>
        </w:numPr>
        <w:spacing w:line="360" w:lineRule="auto"/>
        <w:ind w:firstLine="560" w:firstLineChars="0"/>
        <w:rPr>
          <w:rFonts w:ascii="仿宋_GB2312" w:hAnsi="宋体" w:eastAsia="仿宋_GB2312" w:cs="宋体"/>
          <w:color w:val="000000"/>
          <w:sz w:val="28"/>
          <w:szCs w:val="28"/>
          <w:shd w:val="clear" w:color="auto" w:fill="FFFFFF"/>
        </w:rPr>
      </w:pPr>
      <w:r>
        <w:rPr>
          <w:rFonts w:hint="eastAsia" w:ascii="仿宋_GB2312" w:hAnsi="宋体" w:eastAsia="仿宋_GB2312" w:cs="宋体"/>
          <w:b/>
          <w:bCs/>
          <w:color w:val="000000"/>
          <w:sz w:val="28"/>
          <w:szCs w:val="28"/>
          <w:shd w:val="clear" w:color="auto" w:fill="FFFFFF"/>
        </w:rPr>
        <w:t>覆盖面狭窄。</w:t>
      </w:r>
      <w:r>
        <w:rPr>
          <w:rFonts w:hint="eastAsia" w:ascii="仿宋_GB2312" w:hAnsi="宋体" w:eastAsia="仿宋_GB2312" w:cs="宋体"/>
          <w:color w:val="000000"/>
          <w:sz w:val="28"/>
          <w:szCs w:val="28"/>
          <w:shd w:val="clear" w:color="auto" w:fill="FFFFFF"/>
        </w:rPr>
        <w:t>我国的遗赠扶养协议的规定其实相当于把继承人排除在遗赠的范围之外。当遗赠人与法定顺序继承相冲突的时候，这时双方就不可避免的走司法途径。关于与继子女签订遗赠扶养协议效力问题难以统一。笔者截取中国裁判文书网案例</w:t>
      </w:r>
    </w:p>
    <w:p>
      <w:pPr>
        <w:pStyle w:val="19"/>
        <w:spacing w:line="360" w:lineRule="auto"/>
        <w:ind w:left="420" w:firstLine="0" w:firstLineChars="0"/>
        <w:rPr>
          <w:rFonts w:ascii="仿宋_GB2312" w:hAnsi="宋体" w:eastAsia="仿宋_GB2312" w:cs="宋体"/>
          <w:color w:val="000000"/>
          <w:sz w:val="28"/>
          <w:szCs w:val="28"/>
          <w:shd w:val="clear" w:color="auto" w:fill="FFFFFF"/>
        </w:rPr>
      </w:pPr>
      <w:r>
        <w:rPr>
          <w:rFonts w:hint="eastAsia" w:ascii="仿宋_GB2312" w:hAnsi="宋体" w:eastAsia="仿宋_GB2312" w:cs="宋体"/>
          <w:color w:val="000000"/>
          <w:sz w:val="28"/>
          <w:szCs w:val="28"/>
          <w:shd w:val="clear" w:color="auto" w:fill="FFFFFF"/>
        </w:rPr>
        <w:t>案例一：原告郭某与被告叶某遗赠扶养协议纠纷一案</w:t>
      </w:r>
    </w:p>
    <w:tbl>
      <w:tblPr>
        <w:tblStyle w:val="11"/>
        <w:tblW w:w="8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6" w:hRule="atLeast"/>
        </w:trPr>
        <w:tc>
          <w:tcPr>
            <w:tcW w:w="8260" w:type="dxa"/>
          </w:tcPr>
          <w:p>
            <w:pPr>
              <w:pStyle w:val="19"/>
              <w:widowControl w:val="0"/>
              <w:spacing w:line="360" w:lineRule="auto"/>
              <w:ind w:firstLine="0" w:firstLineChars="0"/>
              <w:rPr>
                <w:rFonts w:hAnsi="宋体" w:cs="宋体"/>
                <w:color w:val="000000"/>
                <w:sz w:val="20"/>
              </w:rPr>
            </w:pPr>
            <w:r>
              <w:rPr>
                <w:rFonts w:hint="eastAsia" w:ascii="仿宋_GB2312" w:hAnsi="宋体" w:eastAsia="仿宋_GB2312" w:cs="宋体"/>
                <w:b/>
                <w:bCs/>
                <w:color w:val="000000"/>
                <w:sz w:val="28"/>
                <w:szCs w:val="28"/>
                <w:shd w:val="clear" w:color="auto" w:fill="FFFFFF"/>
              </w:rPr>
              <w:t>案情介绍：</w:t>
            </w:r>
            <w:r>
              <w:rPr>
                <w:rFonts w:hint="eastAsia" w:hAnsi="宋体" w:cs="宋体"/>
                <w:color w:val="000000"/>
                <w:sz w:val="20"/>
              </w:rPr>
              <w:t>原、被告系继母子关系</w:t>
            </w:r>
            <w:r>
              <w:rPr>
                <w:rFonts w:hint="eastAsia" w:ascii="仿宋_GB2312" w:hAnsi="宋体" w:eastAsia="仿宋_GB2312" w:cs="宋体"/>
                <w:color w:val="000000"/>
                <w:sz w:val="28"/>
                <w:szCs w:val="28"/>
                <w:shd w:val="clear" w:color="auto" w:fill="FFFFFF"/>
              </w:rPr>
              <w:t>，</w:t>
            </w:r>
            <w:r>
              <w:rPr>
                <w:rFonts w:hint="eastAsia" w:hAnsi="宋体" w:cs="宋体"/>
                <w:color w:val="000000"/>
                <w:sz w:val="20"/>
              </w:rPr>
              <w:t>1999年8月8日，被告叶某与其父亲叶大华签订了一份《遗赠赡养协议》，叶大华自愿将产权赠给被告叶某所有，被告叶某必须继续履行赡养义务。同时，双方还约定，原告郭某享有该房一室一厅的居住权直至终生。该协议经黄石市黄石港区黄印村居民委员会盖章确认。2002年9月17日，叶大华与原告郭某在民政部门领取了结婚证。2007年4月26日，叶大华去世，原告一直在该房居住直至该房屋被政府征收拆迁。</w:t>
            </w:r>
          </w:p>
          <w:p>
            <w:pPr>
              <w:pStyle w:val="19"/>
              <w:widowControl w:val="0"/>
              <w:spacing w:line="360" w:lineRule="auto"/>
              <w:ind w:firstLine="0" w:firstLineChars="0"/>
              <w:rPr>
                <w:rFonts w:hAnsi="宋体" w:cs="宋体"/>
                <w:color w:val="000000"/>
                <w:sz w:val="20"/>
              </w:rPr>
            </w:pPr>
            <w:r>
              <w:rPr>
                <w:rFonts w:hint="eastAsia" w:ascii="仿宋_GB2312" w:hAnsi="宋体" w:eastAsia="仿宋_GB2312" w:cs="宋体"/>
                <w:b/>
                <w:bCs/>
                <w:color w:val="000000"/>
                <w:sz w:val="28"/>
                <w:szCs w:val="28"/>
                <w:shd w:val="clear" w:color="auto" w:fill="FFFFFF"/>
              </w:rPr>
              <w:t>裁判结果：</w:t>
            </w:r>
            <w:r>
              <w:rPr>
                <w:rFonts w:hint="eastAsia" w:hAnsi="宋体" w:cs="宋体"/>
                <w:color w:val="000000"/>
                <w:sz w:val="20"/>
              </w:rPr>
              <w:t>本案中，被告叶某与其父亲叶大华虽然签订了《遗赠赡养协议》，但被告叶某系叶大华的法定继承人，与遗赠扶养协议所要求的扶养人范围不符。故该《遗赠赡养协议》应属于普通的赠与合同，而非遗赠扶养协议。</w:t>
            </w:r>
          </w:p>
        </w:tc>
      </w:tr>
    </w:tbl>
    <w:p>
      <w:pPr>
        <w:pStyle w:val="19"/>
        <w:spacing w:line="360" w:lineRule="auto"/>
        <w:ind w:firstLine="560"/>
        <w:rPr>
          <w:rFonts w:ascii="仿宋_GB2312" w:hAnsi="宋体" w:eastAsia="仿宋_GB2312" w:cs="宋体"/>
          <w:color w:val="000000"/>
          <w:sz w:val="28"/>
          <w:szCs w:val="28"/>
          <w:shd w:val="clear" w:color="auto" w:fill="FFFFFF"/>
        </w:rPr>
      </w:pPr>
      <w:r>
        <w:rPr>
          <w:rFonts w:hint="eastAsia" w:ascii="仿宋_GB2312" w:hAnsi="宋体" w:eastAsia="仿宋_GB2312" w:cs="宋体"/>
          <w:color w:val="000000"/>
          <w:sz w:val="28"/>
          <w:szCs w:val="28"/>
          <w:shd w:val="clear" w:color="auto" w:fill="FFFFFF"/>
        </w:rPr>
        <w:t>上述案例将继子女就排除在遗赠扶养人之外，通过协议主体不适格将整个遗赠协议定义为赠与合同。</w:t>
      </w:r>
    </w:p>
    <w:p>
      <w:pPr>
        <w:pStyle w:val="19"/>
        <w:numPr>
          <w:ilvl w:val="0"/>
          <w:numId w:val="5"/>
        </w:numPr>
        <w:spacing w:line="360" w:lineRule="auto"/>
        <w:ind w:firstLine="560" w:firstLineChars="0"/>
        <w:rPr>
          <w:rFonts w:ascii="仿宋_GB2312" w:hAnsi="宋体" w:eastAsia="仿宋_GB2312" w:cs="宋体"/>
          <w:color w:val="000000"/>
          <w:sz w:val="28"/>
          <w:szCs w:val="28"/>
          <w:shd w:val="clear" w:color="auto" w:fill="FFFFFF"/>
        </w:rPr>
      </w:pPr>
      <w:r>
        <w:rPr>
          <w:rFonts w:hint="eastAsia" w:ascii="仿宋_GB2312" w:hAnsi="宋体" w:eastAsia="仿宋_GB2312" w:cs="宋体"/>
          <w:b/>
          <w:bCs/>
          <w:color w:val="000000"/>
          <w:sz w:val="28"/>
          <w:szCs w:val="28"/>
          <w:shd w:val="clear" w:color="auto" w:fill="FFFFFF"/>
        </w:rPr>
        <w:t>形式要件过于单一。</w:t>
      </w:r>
      <w:r>
        <w:rPr>
          <w:rFonts w:hint="eastAsia" w:ascii="仿宋_GB2312" w:hAnsi="宋体" w:eastAsia="仿宋_GB2312" w:cs="宋体"/>
          <w:color w:val="000000"/>
          <w:sz w:val="28"/>
          <w:szCs w:val="28"/>
          <w:shd w:val="clear" w:color="auto" w:fill="FFFFFF"/>
        </w:rPr>
        <w:t>《民法典》第一千一百二十三条中规定遗赠或遗赠扶养协议都是参照性条文，未单独做条文释明，这就导致法官在具体实践过程中难以具体找到条文得以适用。且遗赠扶养协议作为继承最优先取得方式，其形式限度规定远低于遗嘱或法定继承的形成要件，可以说法律对于遗赠扶养协议给了双方当事人很大的自由权。</w:t>
      </w:r>
    </w:p>
    <w:p>
      <w:pPr>
        <w:pStyle w:val="19"/>
        <w:spacing w:line="360" w:lineRule="auto"/>
        <w:ind w:firstLine="560"/>
        <w:rPr>
          <w:rFonts w:ascii="仿宋_GB2312" w:hAnsi="宋体" w:eastAsia="仿宋_GB2312" w:cs="宋体"/>
          <w:color w:val="000000"/>
          <w:sz w:val="28"/>
          <w:szCs w:val="28"/>
          <w:shd w:val="clear" w:color="auto" w:fill="FFFFFF"/>
        </w:rPr>
      </w:pPr>
      <w:r>
        <w:rPr>
          <w:rFonts w:hint="eastAsia" w:ascii="仿宋_GB2312" w:hAnsi="宋体" w:eastAsia="仿宋_GB2312" w:cs="宋体"/>
          <w:color w:val="000000"/>
          <w:sz w:val="28"/>
          <w:szCs w:val="28"/>
          <w:shd w:val="clear" w:color="auto" w:fill="FFFFFF"/>
        </w:rPr>
        <w:t>以中国裁判文书网中的生效裁判为例，遗赠扶养协议实践中法官以合同成立的形式要件去审查遗赠扶养协议成立要件，但形式审查和成立条件均未必有合同那么严格，加之其在民法典或继承法中并未明确予以规定，尴尬地位不言而喻，法官审理难度也随之增加。</w:t>
      </w:r>
    </w:p>
    <w:p>
      <w:pPr>
        <w:pStyle w:val="19"/>
        <w:numPr>
          <w:ilvl w:val="0"/>
          <w:numId w:val="5"/>
        </w:numPr>
        <w:spacing w:line="360" w:lineRule="auto"/>
        <w:ind w:firstLine="560" w:firstLineChars="0"/>
        <w:rPr>
          <w:rFonts w:ascii="仿宋_GB2312" w:hAnsi="宋体" w:eastAsia="仿宋_GB2312" w:cs="宋体"/>
          <w:color w:val="000000"/>
          <w:sz w:val="28"/>
          <w:szCs w:val="28"/>
          <w:shd w:val="clear" w:color="auto" w:fill="FFFFFF"/>
        </w:rPr>
      </w:pPr>
      <w:r>
        <w:rPr>
          <w:rFonts w:hint="eastAsia" w:ascii="仿宋_GB2312" w:hAnsi="宋体" w:eastAsia="仿宋_GB2312" w:cs="宋体"/>
          <w:b/>
          <w:bCs/>
          <w:color w:val="000000"/>
          <w:sz w:val="28"/>
          <w:szCs w:val="28"/>
          <w:shd w:val="clear" w:color="auto" w:fill="FFFFFF"/>
        </w:rPr>
        <w:t>法律条文缺失。</w:t>
      </w:r>
      <w:r>
        <w:rPr>
          <w:rFonts w:hint="eastAsia" w:ascii="仿宋_GB2312" w:hAnsi="宋体" w:eastAsia="仿宋_GB2312" w:cs="宋体"/>
          <w:color w:val="000000"/>
          <w:sz w:val="28"/>
          <w:szCs w:val="28"/>
          <w:shd w:val="clear" w:color="auto" w:fill="FFFFFF"/>
        </w:rPr>
        <w:t>纵观我国《民法典》、《继承法》有关遗赠制度法律条文少且未做细分规定。我国遗赠制度问题研究的代表吴国平教授也对此以台湾遗赠制度</w:t>
      </w:r>
      <w:r>
        <w:rPr>
          <w:rStyle w:val="17"/>
          <w:rFonts w:hint="eastAsia" w:ascii="仿宋_GB2312" w:hAnsi="宋体" w:eastAsia="仿宋_GB2312" w:cs="宋体"/>
          <w:color w:val="000000"/>
          <w:sz w:val="28"/>
          <w:szCs w:val="28"/>
          <w:shd w:val="clear" w:color="auto" w:fill="FFFFFF"/>
        </w:rPr>
        <w:footnoteReference w:id="6"/>
      </w:r>
      <w:r>
        <w:rPr>
          <w:rFonts w:hint="eastAsia" w:ascii="仿宋_GB2312" w:hAnsi="宋体" w:eastAsia="仿宋_GB2312" w:cs="宋体"/>
          <w:color w:val="000000"/>
          <w:sz w:val="28"/>
          <w:szCs w:val="28"/>
          <w:shd w:val="clear" w:color="auto" w:fill="FFFFFF"/>
        </w:rPr>
        <w:t>作出比较研究，他指出大陆的遗赠扶养协议制度可以参考台湾遗赠制度完善，使其法理更为丰满。</w:t>
      </w:r>
    </w:p>
    <w:p>
      <w:pPr>
        <w:pStyle w:val="19"/>
        <w:numPr>
          <w:ilvl w:val="0"/>
          <w:numId w:val="5"/>
        </w:numPr>
        <w:spacing w:line="360" w:lineRule="auto"/>
        <w:ind w:firstLine="560" w:firstLineChars="0"/>
        <w:rPr>
          <w:rFonts w:ascii="仿宋_GB2312" w:hAnsi="宋体" w:eastAsia="仿宋_GB2312" w:cs="宋体"/>
          <w:color w:val="000000"/>
          <w:sz w:val="28"/>
          <w:szCs w:val="28"/>
          <w:shd w:val="clear" w:color="auto" w:fill="FFFFFF"/>
        </w:rPr>
      </w:pPr>
      <w:r>
        <w:rPr>
          <w:rFonts w:hint="eastAsia" w:ascii="仿宋_GB2312" w:hAnsi="宋体" w:eastAsia="仿宋_GB2312" w:cs="宋体"/>
          <w:b/>
          <w:bCs/>
          <w:color w:val="000000"/>
          <w:sz w:val="28"/>
          <w:szCs w:val="28"/>
          <w:shd w:val="clear" w:color="auto" w:fill="FFFFFF"/>
        </w:rPr>
        <w:t>裁判标准不统一。</w:t>
      </w:r>
      <w:r>
        <w:rPr>
          <w:rFonts w:hint="eastAsia" w:ascii="仿宋_GB2312" w:hAnsi="宋体" w:eastAsia="仿宋_GB2312" w:cs="宋体"/>
          <w:color w:val="000000"/>
          <w:sz w:val="28"/>
          <w:szCs w:val="28"/>
          <w:shd w:val="clear" w:color="auto" w:fill="FFFFFF"/>
        </w:rPr>
        <w:t>结合下表四中</w:t>
      </w:r>
      <w:r>
        <w:rPr>
          <w:rFonts w:hint="eastAsia" w:ascii="仿宋_GB2312" w:hAnsi="宋体" w:eastAsia="仿宋_GB2312" w:cs="宋体"/>
          <w:b/>
          <w:bCs/>
          <w:color w:val="000000"/>
          <w:sz w:val="28"/>
          <w:szCs w:val="28"/>
          <w:shd w:val="clear" w:color="auto" w:fill="FFFFFF"/>
        </w:rPr>
        <w:t>，</w:t>
      </w:r>
      <w:r>
        <w:rPr>
          <w:rFonts w:hint="eastAsia" w:ascii="仿宋_GB2312" w:hAnsi="宋体" w:eastAsia="仿宋_GB2312" w:cs="宋体"/>
          <w:color w:val="000000"/>
          <w:sz w:val="28"/>
          <w:szCs w:val="28"/>
          <w:shd w:val="clear" w:color="auto" w:fill="FFFFFF"/>
        </w:rPr>
        <w:t>遗赠扶养协议案件中关于遗赠人与继承人签订遗赠扶养协议有的认定为赠与合同，有的认定为无效协议，有的未做具体认定而是直接予以协议解除，这就导致实践中法官操作困难，自由裁量权较大。纠其原因是没有明确的法律规定或者司法解释予以统一，导致“同案不同判”，据笔者咨询一些资历法官，关于遗赠扶养协议或者继承等事关当事人人身属性的案件，一般多是采用“自由心证”，这种案件在实际中的确难以用法律进行明确分割。</w:t>
      </w:r>
    </w:p>
    <w:p>
      <w:pPr>
        <w:pStyle w:val="19"/>
        <w:spacing w:line="360" w:lineRule="auto"/>
        <w:ind w:firstLine="0" w:firstLineChars="0"/>
        <w:rPr>
          <w:rFonts w:ascii="仿宋_GB2312" w:hAnsi="Calibri" w:eastAsia="仿宋_GB2312"/>
          <w:b/>
          <w:kern w:val="2"/>
          <w:sz w:val="28"/>
          <w:szCs w:val="32"/>
        </w:rPr>
      </w:pPr>
      <w:r>
        <w:rPr>
          <w:rFonts w:hint="eastAsia" w:ascii="仿宋_GB2312" w:hAnsi="Calibri" w:eastAsia="仿宋_GB2312"/>
          <w:b/>
          <w:kern w:val="2"/>
          <w:sz w:val="28"/>
          <w:szCs w:val="32"/>
        </w:rPr>
        <w:t>五、遗赠制度的维度构建保障养老</w:t>
      </w:r>
    </w:p>
    <w:p>
      <w:pPr>
        <w:pStyle w:val="19"/>
        <w:spacing w:line="360" w:lineRule="auto"/>
        <w:ind w:firstLine="0" w:firstLineChars="0"/>
        <w:rPr>
          <w:rFonts w:ascii="仿宋_GB2312" w:hAnsi="宋体" w:eastAsia="仿宋_GB2312" w:cs="宋体"/>
          <w:color w:val="000000"/>
          <w:sz w:val="28"/>
          <w:szCs w:val="28"/>
          <w:shd w:val="clear" w:color="auto" w:fill="FFFFFF"/>
        </w:rPr>
      </w:pPr>
      <w:r>
        <w:rPr>
          <w:rFonts w:hint="eastAsia" w:ascii="仿宋_GB2312" w:hAnsi="Calibri" w:eastAsia="仿宋_GB2312"/>
          <w:b/>
          <w:kern w:val="2"/>
          <w:sz w:val="28"/>
          <w:szCs w:val="32"/>
        </w:rPr>
        <w:t>（一）横向——以法治搭建养老顶层体系</w:t>
      </w:r>
    </w:p>
    <w:p>
      <w:pPr>
        <w:pStyle w:val="19"/>
        <w:spacing w:line="360" w:lineRule="auto"/>
        <w:ind w:firstLine="0" w:firstLineChars="0"/>
        <w:rPr>
          <w:rFonts w:ascii="仿宋" w:hAnsi="仿宋" w:eastAsia="仿宋" w:cs="仿宋"/>
          <w:b/>
          <w:bCs/>
          <w:kern w:val="2"/>
          <w:sz w:val="28"/>
          <w:szCs w:val="28"/>
        </w:rPr>
      </w:pPr>
      <w:r>
        <w:rPr>
          <w:rFonts w:hint="eastAsia" w:ascii="仿宋" w:hAnsi="仿宋" w:eastAsia="仿宋" w:cs="仿宋"/>
          <w:b/>
          <w:bCs/>
          <w:kern w:val="2"/>
          <w:sz w:val="28"/>
          <w:szCs w:val="28"/>
        </w:rPr>
        <w:t>1.1 继承合同</w:t>
      </w:r>
      <w:r>
        <w:rPr>
          <w:rStyle w:val="17"/>
          <w:rFonts w:hint="eastAsia" w:ascii="仿宋" w:hAnsi="仿宋" w:eastAsia="仿宋" w:cs="仿宋"/>
          <w:b/>
          <w:bCs/>
          <w:kern w:val="2"/>
          <w:sz w:val="28"/>
          <w:szCs w:val="28"/>
        </w:rPr>
        <w:footnoteReference w:id="7"/>
      </w:r>
      <w:r>
        <w:rPr>
          <w:rFonts w:hint="eastAsia" w:ascii="仿宋" w:hAnsi="仿宋" w:eastAsia="仿宋" w:cs="仿宋"/>
          <w:b/>
          <w:bCs/>
          <w:kern w:val="2"/>
          <w:sz w:val="28"/>
          <w:szCs w:val="28"/>
        </w:rPr>
        <w:t>维护三方权益</w:t>
      </w:r>
    </w:p>
    <w:p>
      <w:pPr>
        <w:pStyle w:val="19"/>
        <w:spacing w:line="360" w:lineRule="auto"/>
        <w:ind w:firstLine="560"/>
        <w:rPr>
          <w:rFonts w:ascii="仿宋_GB2312" w:hAnsi="宋体" w:eastAsia="仿宋_GB2312" w:cs="宋体"/>
          <w:color w:val="000000"/>
          <w:sz w:val="28"/>
          <w:szCs w:val="28"/>
          <w:shd w:val="clear" w:color="auto" w:fill="FFFFFF"/>
        </w:rPr>
      </w:pPr>
      <w:r>
        <w:rPr>
          <w:rFonts w:hint="eastAsia" w:ascii="仿宋_GB2312" w:hAnsi="宋体" w:eastAsia="仿宋_GB2312" w:cs="宋体"/>
          <w:color w:val="000000"/>
          <w:sz w:val="28"/>
          <w:szCs w:val="28"/>
          <w:shd w:val="clear" w:color="auto" w:fill="FFFFFF"/>
        </w:rPr>
        <w:t>所谓继承合同是指在被继承人之间与继承人之间仅就受继承权人和受遗赠权份额取得变更或暂时放弃之问题之间订立有效的合同。在现行民法规范中,《物权法》在第29条里面明确规定了遗赠效力,但在《民法典》条款当中,对于遗赠效力方面未直接作出了明确地规定,只是同法定的继承、遗赠扶养协议效力做了顺位规定,对于遗赠甚至是遗赠扶养协议的描述甚少,遗赠部分法律存在缺失,且实践当中关于遗赠的效力,不少学者认为该条文可能更贴合债权的解释。在司法实践中,遗赠扶养协议的基础法律性质也被人作为合同形式之一。</w:t>
      </w:r>
    </w:p>
    <w:p>
      <w:pPr>
        <w:pStyle w:val="19"/>
        <w:spacing w:line="360" w:lineRule="auto"/>
        <w:ind w:firstLine="560"/>
        <w:rPr>
          <w:rFonts w:ascii="仿宋_GB2312" w:hAnsi="宋体" w:eastAsia="仿宋_GB2312" w:cs="宋体"/>
          <w:color w:val="000000"/>
          <w:sz w:val="28"/>
          <w:szCs w:val="28"/>
          <w:shd w:val="clear" w:color="auto" w:fill="FFFFFF"/>
        </w:rPr>
      </w:pPr>
      <w:r>
        <w:rPr>
          <w:rFonts w:hint="eastAsia" w:ascii="仿宋_GB2312" w:hAnsi="宋体" w:eastAsia="仿宋_GB2312" w:cs="宋体"/>
          <w:color w:val="000000"/>
          <w:sz w:val="28"/>
          <w:szCs w:val="28"/>
          <w:shd w:val="clear" w:color="auto" w:fill="FFFFFF"/>
        </w:rPr>
        <w:t>表四：中国裁判文书网关于遗赠案件认定</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704" w:type="dxa"/>
          </w:tcPr>
          <w:p>
            <w:pPr>
              <w:pStyle w:val="19"/>
              <w:widowControl w:val="0"/>
              <w:spacing w:line="360" w:lineRule="auto"/>
              <w:ind w:firstLine="0" w:firstLineChars="0"/>
              <w:rPr>
                <w:rFonts w:ascii="仿宋_GB2312" w:hAnsi="宋体" w:eastAsia="仿宋_GB2312" w:cs="宋体"/>
                <w:color w:val="000000"/>
                <w:sz w:val="28"/>
                <w:szCs w:val="28"/>
                <w:shd w:val="clear" w:color="auto" w:fill="FFFFFF"/>
              </w:rPr>
            </w:pPr>
            <w:r>
              <w:rPr>
                <w:rFonts w:hint="eastAsia" w:ascii="仿宋_GB2312" w:hAnsi="宋体" w:eastAsia="仿宋_GB2312" w:cs="宋体"/>
                <w:color w:val="000000"/>
                <w:sz w:val="28"/>
                <w:szCs w:val="28"/>
                <w:shd w:val="clear" w:color="auto" w:fill="FFFFFF"/>
              </w:rPr>
              <w:t>案由</w:t>
            </w:r>
          </w:p>
        </w:tc>
        <w:tc>
          <w:tcPr>
            <w:tcW w:w="1704" w:type="dxa"/>
          </w:tcPr>
          <w:p>
            <w:pPr>
              <w:pStyle w:val="19"/>
              <w:widowControl w:val="0"/>
              <w:spacing w:line="360" w:lineRule="auto"/>
              <w:ind w:firstLine="0" w:firstLineChars="0"/>
              <w:rPr>
                <w:rFonts w:ascii="仿宋_GB2312" w:hAnsi="宋体" w:eastAsia="仿宋_GB2312" w:cs="宋体"/>
                <w:color w:val="000000"/>
                <w:sz w:val="28"/>
                <w:szCs w:val="28"/>
                <w:shd w:val="clear" w:color="auto" w:fill="FFFFFF"/>
              </w:rPr>
            </w:pPr>
            <w:r>
              <w:rPr>
                <w:rFonts w:ascii="仿宋_GB2312" w:hAnsi="宋体" w:eastAsia="仿宋_GB2312" w:cs="宋体"/>
                <w:color w:val="000000"/>
                <w:sz w:val="28"/>
                <w:szCs w:val="28"/>
                <w:shd w:val="clear" w:color="auto" w:fill="FFFFFF"/>
              </w:rPr>
              <w:t>是否涉及法定继承</w:t>
            </w:r>
          </w:p>
        </w:tc>
        <w:tc>
          <w:tcPr>
            <w:tcW w:w="1704" w:type="dxa"/>
          </w:tcPr>
          <w:p>
            <w:pPr>
              <w:pStyle w:val="19"/>
              <w:widowControl w:val="0"/>
              <w:spacing w:line="360" w:lineRule="auto"/>
              <w:ind w:firstLine="0" w:firstLineChars="0"/>
              <w:rPr>
                <w:rFonts w:ascii="仿宋_GB2312" w:hAnsi="宋体" w:eastAsia="仿宋_GB2312" w:cs="宋体"/>
                <w:color w:val="000000"/>
                <w:sz w:val="28"/>
                <w:szCs w:val="28"/>
                <w:shd w:val="clear" w:color="auto" w:fill="FFFFFF"/>
              </w:rPr>
            </w:pPr>
            <w:r>
              <w:rPr>
                <w:rFonts w:hint="eastAsia" w:ascii="仿宋_GB2312" w:hAnsi="宋体" w:eastAsia="仿宋_GB2312" w:cs="宋体"/>
                <w:color w:val="000000"/>
                <w:sz w:val="28"/>
                <w:szCs w:val="28"/>
                <w:shd w:val="clear" w:color="auto" w:fill="FFFFFF"/>
              </w:rPr>
              <w:t>是否涉及养老问题</w:t>
            </w:r>
          </w:p>
        </w:tc>
        <w:tc>
          <w:tcPr>
            <w:tcW w:w="1704" w:type="dxa"/>
          </w:tcPr>
          <w:p>
            <w:pPr>
              <w:pStyle w:val="19"/>
              <w:widowControl w:val="0"/>
              <w:spacing w:line="360" w:lineRule="auto"/>
              <w:ind w:firstLine="0" w:firstLineChars="0"/>
              <w:rPr>
                <w:rFonts w:ascii="仿宋_GB2312" w:hAnsi="宋体" w:eastAsia="仿宋_GB2312" w:cs="宋体"/>
                <w:color w:val="000000"/>
                <w:sz w:val="28"/>
                <w:szCs w:val="28"/>
                <w:shd w:val="clear" w:color="auto" w:fill="FFFFFF"/>
              </w:rPr>
            </w:pPr>
            <w:r>
              <w:rPr>
                <w:rFonts w:hint="eastAsia" w:ascii="仿宋_GB2312" w:hAnsi="宋体" w:eastAsia="仿宋_GB2312" w:cs="宋体"/>
                <w:color w:val="000000"/>
                <w:sz w:val="28"/>
                <w:szCs w:val="28"/>
                <w:shd w:val="clear" w:color="auto" w:fill="FFFFFF"/>
              </w:rPr>
              <w:t>协议主体效力</w:t>
            </w:r>
          </w:p>
        </w:tc>
        <w:tc>
          <w:tcPr>
            <w:tcW w:w="1704" w:type="dxa"/>
          </w:tcPr>
          <w:p>
            <w:pPr>
              <w:pStyle w:val="19"/>
              <w:widowControl w:val="0"/>
              <w:spacing w:line="360" w:lineRule="auto"/>
              <w:ind w:firstLine="0" w:firstLineChars="0"/>
              <w:rPr>
                <w:rFonts w:ascii="仿宋_GB2312" w:hAnsi="宋体" w:eastAsia="仿宋_GB2312" w:cs="宋体"/>
                <w:color w:val="000000"/>
                <w:sz w:val="28"/>
                <w:szCs w:val="28"/>
                <w:shd w:val="clear" w:color="auto" w:fill="FFFFFF"/>
              </w:rPr>
            </w:pPr>
            <w:r>
              <w:rPr>
                <w:rFonts w:hint="eastAsia" w:ascii="仿宋_GB2312" w:hAnsi="宋体" w:eastAsia="仿宋_GB2312" w:cs="宋体"/>
                <w:color w:val="000000"/>
                <w:sz w:val="28"/>
                <w:szCs w:val="28"/>
                <w:shd w:val="clear" w:color="auto" w:fill="FFFFFF"/>
              </w:rPr>
              <w:t>法院认定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1704" w:type="dxa"/>
          </w:tcPr>
          <w:p>
            <w:pPr>
              <w:pStyle w:val="19"/>
              <w:widowControl w:val="0"/>
              <w:spacing w:line="360" w:lineRule="auto"/>
              <w:ind w:firstLine="0" w:firstLineChars="0"/>
              <w:rPr>
                <w:rFonts w:ascii="仿宋_GB2312" w:hAnsi="宋体" w:eastAsia="仿宋_GB2312" w:cs="宋体"/>
                <w:color w:val="000000"/>
                <w:sz w:val="24"/>
                <w:szCs w:val="24"/>
                <w:shd w:val="clear" w:color="auto" w:fill="FFFFFF"/>
              </w:rPr>
            </w:pPr>
            <w:r>
              <w:rPr>
                <w:rFonts w:ascii="仿宋_GB2312" w:hAnsi="宋体" w:eastAsia="仿宋_GB2312" w:cs="宋体"/>
                <w:color w:val="000000"/>
                <w:sz w:val="24"/>
                <w:szCs w:val="24"/>
                <w:shd w:val="clear" w:color="auto" w:fill="FFFFFF"/>
              </w:rPr>
              <w:t>原告严某与被告郭某1遗赠纠纷</w:t>
            </w:r>
          </w:p>
        </w:tc>
        <w:tc>
          <w:tcPr>
            <w:tcW w:w="1704" w:type="dxa"/>
          </w:tcPr>
          <w:p>
            <w:pPr>
              <w:pStyle w:val="19"/>
              <w:widowControl w:val="0"/>
              <w:spacing w:line="360" w:lineRule="auto"/>
              <w:ind w:firstLine="0" w:firstLineChars="0"/>
              <w:rPr>
                <w:rFonts w:ascii="仿宋_GB2312" w:hAnsi="宋体" w:eastAsia="仿宋_GB2312" w:cs="宋体"/>
                <w:color w:val="000000"/>
                <w:sz w:val="24"/>
                <w:szCs w:val="24"/>
                <w:shd w:val="clear" w:color="auto" w:fill="FFFFFF"/>
              </w:rPr>
            </w:pPr>
            <w:r>
              <w:rPr>
                <w:rFonts w:hint="eastAsia" w:ascii="仿宋_GB2312" w:hAnsi="宋体" w:eastAsia="仿宋_GB2312" w:cs="宋体"/>
                <w:color w:val="000000"/>
                <w:sz w:val="24"/>
                <w:szCs w:val="24"/>
                <w:shd w:val="clear" w:color="auto" w:fill="FFFFFF"/>
              </w:rPr>
              <w:t>否（近亲属）</w:t>
            </w:r>
          </w:p>
        </w:tc>
        <w:tc>
          <w:tcPr>
            <w:tcW w:w="1704" w:type="dxa"/>
          </w:tcPr>
          <w:p>
            <w:pPr>
              <w:pStyle w:val="19"/>
              <w:widowControl w:val="0"/>
              <w:spacing w:line="360" w:lineRule="auto"/>
              <w:ind w:firstLine="0" w:firstLineChars="0"/>
              <w:rPr>
                <w:rFonts w:ascii="仿宋_GB2312" w:hAnsi="宋体" w:eastAsia="仿宋_GB2312" w:cs="宋体"/>
                <w:color w:val="000000"/>
                <w:sz w:val="24"/>
                <w:szCs w:val="24"/>
                <w:shd w:val="clear" w:color="auto" w:fill="FFFFFF"/>
              </w:rPr>
            </w:pPr>
            <w:r>
              <w:rPr>
                <w:rFonts w:hint="eastAsia" w:ascii="仿宋_GB2312" w:hAnsi="宋体" w:eastAsia="仿宋_GB2312" w:cs="宋体"/>
                <w:color w:val="000000"/>
                <w:sz w:val="24"/>
                <w:szCs w:val="24"/>
                <w:shd w:val="clear" w:color="auto" w:fill="FFFFFF"/>
              </w:rPr>
              <w:t>是</w:t>
            </w:r>
          </w:p>
        </w:tc>
        <w:tc>
          <w:tcPr>
            <w:tcW w:w="1704" w:type="dxa"/>
          </w:tcPr>
          <w:p>
            <w:pPr>
              <w:pStyle w:val="19"/>
              <w:widowControl w:val="0"/>
              <w:spacing w:line="360" w:lineRule="auto"/>
              <w:ind w:firstLine="0" w:firstLineChars="0"/>
              <w:rPr>
                <w:rFonts w:ascii="仿宋_GB2312" w:hAnsi="宋体" w:eastAsia="仿宋_GB2312" w:cs="宋体"/>
                <w:color w:val="000000"/>
                <w:sz w:val="24"/>
                <w:szCs w:val="24"/>
                <w:shd w:val="clear" w:color="auto" w:fill="FFFFFF"/>
              </w:rPr>
            </w:pPr>
            <w:r>
              <w:rPr>
                <w:rFonts w:hint="eastAsia" w:ascii="仿宋_GB2312" w:hAnsi="宋体" w:eastAsia="仿宋_GB2312" w:cs="宋体"/>
                <w:color w:val="000000"/>
                <w:sz w:val="24"/>
                <w:szCs w:val="24"/>
                <w:shd w:val="clear" w:color="auto" w:fill="FFFFFF"/>
              </w:rPr>
              <w:t>主体适格，有效。</w:t>
            </w:r>
          </w:p>
        </w:tc>
        <w:tc>
          <w:tcPr>
            <w:tcW w:w="1704" w:type="dxa"/>
          </w:tcPr>
          <w:p>
            <w:pPr>
              <w:pStyle w:val="19"/>
              <w:widowControl w:val="0"/>
              <w:spacing w:line="360" w:lineRule="auto"/>
              <w:ind w:firstLine="0" w:firstLineChars="0"/>
              <w:rPr>
                <w:rFonts w:ascii="仿宋_GB2312" w:hAnsi="宋体" w:eastAsia="仿宋_GB2312" w:cs="宋体"/>
                <w:color w:val="000000"/>
                <w:sz w:val="24"/>
                <w:szCs w:val="24"/>
                <w:shd w:val="clear" w:color="auto" w:fill="FFFFFF"/>
              </w:rPr>
            </w:pPr>
            <w:r>
              <w:rPr>
                <w:rFonts w:hint="eastAsia" w:ascii="仿宋_GB2312" w:hAnsi="宋体" w:eastAsia="仿宋_GB2312" w:cs="宋体"/>
                <w:color w:val="000000"/>
                <w:sz w:val="24"/>
                <w:szCs w:val="24"/>
                <w:shd w:val="clear" w:color="auto" w:fill="FFFFFF"/>
              </w:rPr>
              <w:t>按遗嘱优先处理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trPr>
        <w:tc>
          <w:tcPr>
            <w:tcW w:w="1704" w:type="dxa"/>
          </w:tcPr>
          <w:p>
            <w:pPr>
              <w:pStyle w:val="19"/>
              <w:widowControl w:val="0"/>
              <w:spacing w:line="360" w:lineRule="auto"/>
              <w:ind w:firstLine="0" w:firstLineChars="0"/>
              <w:rPr>
                <w:rFonts w:ascii="仿宋_GB2312" w:hAnsi="宋体" w:eastAsia="仿宋_GB2312" w:cs="宋体"/>
                <w:color w:val="000000"/>
                <w:sz w:val="24"/>
                <w:szCs w:val="24"/>
                <w:shd w:val="clear" w:color="auto" w:fill="FFFFFF"/>
              </w:rPr>
            </w:pPr>
            <w:r>
              <w:rPr>
                <w:rFonts w:ascii="仿宋_GB2312" w:hAnsi="宋体" w:eastAsia="仿宋_GB2312" w:cs="宋体"/>
                <w:color w:val="000000"/>
                <w:sz w:val="24"/>
                <w:szCs w:val="24"/>
                <w:shd w:val="clear" w:color="auto" w:fill="FFFFFF"/>
              </w:rPr>
              <w:t>原告付某1、赵某1、付某2与被告赵某2遗赠扶养协议纠纷</w:t>
            </w:r>
          </w:p>
        </w:tc>
        <w:tc>
          <w:tcPr>
            <w:tcW w:w="1704" w:type="dxa"/>
          </w:tcPr>
          <w:p>
            <w:pPr>
              <w:pStyle w:val="19"/>
              <w:widowControl w:val="0"/>
              <w:spacing w:line="360" w:lineRule="auto"/>
              <w:ind w:firstLine="0" w:firstLineChars="0"/>
              <w:rPr>
                <w:rFonts w:ascii="仿宋_GB2312" w:hAnsi="宋体" w:eastAsia="仿宋_GB2312" w:cs="宋体"/>
                <w:color w:val="000000"/>
                <w:sz w:val="24"/>
                <w:szCs w:val="24"/>
                <w:shd w:val="clear" w:color="auto" w:fill="FFFFFF"/>
              </w:rPr>
            </w:pPr>
            <w:r>
              <w:rPr>
                <w:rFonts w:hint="eastAsia" w:ascii="仿宋_GB2312" w:hAnsi="宋体" w:eastAsia="仿宋_GB2312" w:cs="宋体"/>
                <w:color w:val="000000"/>
                <w:sz w:val="24"/>
                <w:szCs w:val="24"/>
                <w:shd w:val="clear" w:color="auto" w:fill="FFFFFF"/>
              </w:rPr>
              <w:t>是（养子女）</w:t>
            </w:r>
          </w:p>
        </w:tc>
        <w:tc>
          <w:tcPr>
            <w:tcW w:w="1704" w:type="dxa"/>
          </w:tcPr>
          <w:p>
            <w:pPr>
              <w:pStyle w:val="19"/>
              <w:widowControl w:val="0"/>
              <w:spacing w:line="360" w:lineRule="auto"/>
              <w:ind w:firstLine="0" w:firstLineChars="0"/>
              <w:rPr>
                <w:rFonts w:ascii="仿宋_GB2312" w:hAnsi="宋体" w:eastAsia="仿宋_GB2312" w:cs="宋体"/>
                <w:color w:val="000000"/>
                <w:sz w:val="24"/>
                <w:szCs w:val="24"/>
                <w:shd w:val="clear" w:color="auto" w:fill="FFFFFF"/>
              </w:rPr>
            </w:pPr>
            <w:r>
              <w:rPr>
                <w:rFonts w:hint="eastAsia" w:ascii="仿宋_GB2312" w:hAnsi="宋体" w:eastAsia="仿宋_GB2312" w:cs="宋体"/>
                <w:color w:val="000000"/>
                <w:sz w:val="24"/>
                <w:szCs w:val="24"/>
                <w:shd w:val="clear" w:color="auto" w:fill="FFFFFF"/>
              </w:rPr>
              <w:t>是</w:t>
            </w:r>
          </w:p>
        </w:tc>
        <w:tc>
          <w:tcPr>
            <w:tcW w:w="1704" w:type="dxa"/>
          </w:tcPr>
          <w:p>
            <w:pPr>
              <w:pStyle w:val="19"/>
              <w:widowControl w:val="0"/>
              <w:spacing w:line="360" w:lineRule="auto"/>
              <w:ind w:firstLine="0" w:firstLineChars="0"/>
              <w:rPr>
                <w:rFonts w:ascii="仿宋_GB2312" w:hAnsi="宋体" w:eastAsia="仿宋_GB2312" w:cs="宋体"/>
                <w:color w:val="000000"/>
                <w:sz w:val="24"/>
                <w:szCs w:val="24"/>
                <w:shd w:val="clear" w:color="auto" w:fill="FFFFFF"/>
              </w:rPr>
            </w:pPr>
            <w:r>
              <w:rPr>
                <w:rFonts w:hint="eastAsia" w:ascii="仿宋_GB2312" w:hAnsi="宋体" w:eastAsia="仿宋_GB2312" w:cs="宋体"/>
                <w:color w:val="000000"/>
                <w:sz w:val="24"/>
                <w:szCs w:val="24"/>
                <w:shd w:val="clear" w:color="auto" w:fill="FFFFFF"/>
              </w:rPr>
              <w:t>受遗赠人为法定继承人，协议主体不适格，部分无效。</w:t>
            </w:r>
          </w:p>
        </w:tc>
        <w:tc>
          <w:tcPr>
            <w:tcW w:w="1704" w:type="dxa"/>
          </w:tcPr>
          <w:p>
            <w:pPr>
              <w:pStyle w:val="19"/>
              <w:widowControl w:val="0"/>
              <w:spacing w:line="360" w:lineRule="auto"/>
              <w:ind w:firstLine="0" w:firstLineChars="0"/>
              <w:rPr>
                <w:rFonts w:ascii="仿宋_GB2312" w:hAnsi="宋体" w:eastAsia="仿宋_GB2312" w:cs="宋体"/>
                <w:color w:val="000000"/>
                <w:sz w:val="24"/>
                <w:szCs w:val="24"/>
                <w:shd w:val="clear" w:color="auto" w:fill="FFFFFF"/>
              </w:rPr>
            </w:pPr>
            <w:r>
              <w:rPr>
                <w:rFonts w:hint="eastAsia" w:ascii="仿宋_GB2312" w:hAnsi="宋体" w:eastAsia="仿宋_GB2312" w:cs="宋体"/>
                <w:color w:val="000000"/>
                <w:sz w:val="24"/>
                <w:szCs w:val="24"/>
                <w:shd w:val="clear" w:color="auto" w:fill="FFFFFF"/>
              </w:rPr>
              <w:t>按合同关系处理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trPr>
        <w:tc>
          <w:tcPr>
            <w:tcW w:w="1704" w:type="dxa"/>
          </w:tcPr>
          <w:p>
            <w:pPr>
              <w:pStyle w:val="19"/>
              <w:widowControl w:val="0"/>
              <w:spacing w:line="360" w:lineRule="auto"/>
              <w:ind w:firstLine="0" w:firstLineChars="0"/>
              <w:rPr>
                <w:rFonts w:ascii="仿宋_GB2312" w:hAnsi="宋体" w:eastAsia="仿宋_GB2312" w:cs="宋体"/>
                <w:color w:val="000000"/>
                <w:sz w:val="24"/>
                <w:szCs w:val="24"/>
                <w:shd w:val="clear" w:color="auto" w:fill="FFFFFF"/>
              </w:rPr>
            </w:pPr>
            <w:r>
              <w:rPr>
                <w:rFonts w:hint="eastAsia" w:ascii="仿宋_GB2312" w:hAnsi="宋体" w:eastAsia="仿宋_GB2312" w:cs="宋体"/>
                <w:color w:val="000000"/>
                <w:sz w:val="24"/>
                <w:szCs w:val="24"/>
                <w:shd w:val="clear" w:color="auto" w:fill="FFFFFF"/>
              </w:rPr>
              <w:t>原告杨某与被告芜湖市镜湖区王埂村村民委员会遗赠纠纷</w:t>
            </w:r>
          </w:p>
        </w:tc>
        <w:tc>
          <w:tcPr>
            <w:tcW w:w="1704" w:type="dxa"/>
          </w:tcPr>
          <w:p>
            <w:pPr>
              <w:pStyle w:val="19"/>
              <w:widowControl w:val="0"/>
              <w:spacing w:line="360" w:lineRule="auto"/>
              <w:ind w:firstLine="0" w:firstLineChars="0"/>
              <w:rPr>
                <w:rFonts w:ascii="仿宋_GB2312" w:hAnsi="宋体" w:eastAsia="仿宋_GB2312" w:cs="宋体"/>
                <w:color w:val="000000"/>
                <w:sz w:val="24"/>
                <w:szCs w:val="24"/>
                <w:shd w:val="clear" w:color="auto" w:fill="FFFFFF"/>
              </w:rPr>
            </w:pPr>
            <w:r>
              <w:rPr>
                <w:rFonts w:hint="eastAsia" w:ascii="仿宋_GB2312" w:hAnsi="宋体" w:eastAsia="仿宋_GB2312" w:cs="宋体"/>
                <w:color w:val="000000"/>
                <w:sz w:val="24"/>
                <w:szCs w:val="24"/>
                <w:shd w:val="clear" w:color="auto" w:fill="FFFFFF"/>
              </w:rPr>
              <w:t>否</w:t>
            </w:r>
          </w:p>
        </w:tc>
        <w:tc>
          <w:tcPr>
            <w:tcW w:w="1704" w:type="dxa"/>
          </w:tcPr>
          <w:p>
            <w:pPr>
              <w:pStyle w:val="19"/>
              <w:widowControl w:val="0"/>
              <w:spacing w:line="360" w:lineRule="auto"/>
              <w:ind w:firstLine="0" w:firstLineChars="0"/>
              <w:rPr>
                <w:rFonts w:ascii="仿宋_GB2312" w:hAnsi="宋体" w:eastAsia="仿宋_GB2312" w:cs="宋体"/>
                <w:color w:val="000000"/>
                <w:sz w:val="24"/>
                <w:szCs w:val="24"/>
                <w:shd w:val="clear" w:color="auto" w:fill="FFFFFF"/>
              </w:rPr>
            </w:pPr>
            <w:r>
              <w:rPr>
                <w:rFonts w:hint="eastAsia" w:ascii="仿宋_GB2312" w:hAnsi="宋体" w:eastAsia="仿宋_GB2312" w:cs="宋体"/>
                <w:color w:val="000000"/>
                <w:sz w:val="24"/>
                <w:szCs w:val="24"/>
                <w:shd w:val="clear" w:color="auto" w:fill="FFFFFF"/>
              </w:rPr>
              <w:t>是</w:t>
            </w:r>
          </w:p>
        </w:tc>
        <w:tc>
          <w:tcPr>
            <w:tcW w:w="1704" w:type="dxa"/>
          </w:tcPr>
          <w:p>
            <w:pPr>
              <w:pStyle w:val="19"/>
              <w:widowControl w:val="0"/>
              <w:spacing w:line="360" w:lineRule="auto"/>
              <w:ind w:firstLine="0" w:firstLineChars="0"/>
              <w:rPr>
                <w:rFonts w:ascii="仿宋_GB2312" w:hAnsi="宋体" w:eastAsia="仿宋_GB2312" w:cs="宋体"/>
                <w:color w:val="000000"/>
                <w:sz w:val="24"/>
                <w:szCs w:val="24"/>
                <w:shd w:val="clear" w:color="auto" w:fill="FFFFFF"/>
              </w:rPr>
            </w:pPr>
            <w:r>
              <w:rPr>
                <w:rFonts w:hint="eastAsia" w:ascii="仿宋_GB2312" w:hAnsi="宋体" w:eastAsia="仿宋_GB2312" w:cs="宋体"/>
                <w:color w:val="000000"/>
                <w:sz w:val="24"/>
                <w:szCs w:val="24"/>
                <w:shd w:val="clear" w:color="auto" w:fill="FFFFFF"/>
              </w:rPr>
              <w:t>主体适格，有效</w:t>
            </w:r>
          </w:p>
        </w:tc>
        <w:tc>
          <w:tcPr>
            <w:tcW w:w="1704" w:type="dxa"/>
          </w:tcPr>
          <w:p>
            <w:pPr>
              <w:pStyle w:val="19"/>
              <w:widowControl w:val="0"/>
              <w:spacing w:line="360" w:lineRule="auto"/>
              <w:ind w:firstLine="0" w:firstLineChars="0"/>
              <w:rPr>
                <w:rFonts w:ascii="仿宋_GB2312" w:hAnsi="宋体" w:eastAsia="仿宋_GB2312" w:cs="宋体"/>
                <w:color w:val="000000"/>
                <w:sz w:val="24"/>
                <w:szCs w:val="24"/>
                <w:shd w:val="clear" w:color="auto" w:fill="FFFFFF"/>
              </w:rPr>
            </w:pPr>
            <w:r>
              <w:rPr>
                <w:rFonts w:hint="eastAsia" w:ascii="仿宋_GB2312" w:hAnsi="宋体" w:eastAsia="仿宋_GB2312" w:cs="宋体"/>
                <w:color w:val="000000"/>
                <w:sz w:val="24"/>
                <w:szCs w:val="24"/>
                <w:shd w:val="clear" w:color="auto" w:fill="FFFFFF"/>
              </w:rPr>
              <w:t>按遗嘱优先处理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704" w:type="dxa"/>
          </w:tcPr>
          <w:p>
            <w:pPr>
              <w:pStyle w:val="19"/>
              <w:widowControl w:val="0"/>
              <w:spacing w:line="360" w:lineRule="auto"/>
              <w:ind w:firstLine="0" w:firstLineChars="0"/>
              <w:rPr>
                <w:rFonts w:ascii="仿宋_GB2312" w:hAnsi="宋体" w:eastAsia="仿宋_GB2312" w:cs="宋体"/>
                <w:color w:val="000000"/>
                <w:sz w:val="28"/>
                <w:szCs w:val="28"/>
                <w:shd w:val="clear" w:color="auto" w:fill="FFFFFF"/>
              </w:rPr>
            </w:pPr>
            <w:r>
              <w:rPr>
                <w:rFonts w:hint="eastAsia" w:ascii="仿宋_GB2312" w:hAnsi="宋体" w:eastAsia="仿宋_GB2312" w:cs="宋体"/>
                <w:color w:val="000000"/>
                <w:sz w:val="24"/>
                <w:szCs w:val="24"/>
                <w:shd w:val="clear" w:color="auto" w:fill="FFFFFF"/>
              </w:rPr>
              <w:t>原告郭某与被告叶某遗赠扶养协议纠纷</w:t>
            </w:r>
          </w:p>
        </w:tc>
        <w:tc>
          <w:tcPr>
            <w:tcW w:w="1704" w:type="dxa"/>
          </w:tcPr>
          <w:p>
            <w:pPr>
              <w:pStyle w:val="19"/>
              <w:widowControl w:val="0"/>
              <w:spacing w:line="360" w:lineRule="auto"/>
              <w:ind w:firstLine="0" w:firstLineChars="0"/>
              <w:rPr>
                <w:rFonts w:ascii="仿宋_GB2312" w:hAnsi="宋体" w:eastAsia="仿宋_GB2312" w:cs="宋体"/>
                <w:color w:val="000000"/>
                <w:sz w:val="28"/>
                <w:szCs w:val="28"/>
                <w:shd w:val="clear" w:color="auto" w:fill="FFFFFF"/>
              </w:rPr>
            </w:pPr>
            <w:r>
              <w:rPr>
                <w:rFonts w:hint="eastAsia" w:ascii="仿宋_GB2312" w:hAnsi="宋体" w:eastAsia="仿宋_GB2312" w:cs="宋体"/>
                <w:color w:val="000000"/>
                <w:sz w:val="24"/>
                <w:szCs w:val="24"/>
                <w:shd w:val="clear" w:color="auto" w:fill="FFFFFF"/>
              </w:rPr>
              <w:t>是（继子女</w:t>
            </w:r>
            <w:r>
              <w:rPr>
                <w:rFonts w:hint="eastAsia" w:ascii="仿宋_GB2312" w:hAnsi="宋体" w:eastAsia="仿宋_GB2312" w:cs="宋体"/>
                <w:color w:val="000000"/>
                <w:sz w:val="28"/>
                <w:szCs w:val="28"/>
                <w:shd w:val="clear" w:color="auto" w:fill="FFFFFF"/>
              </w:rPr>
              <w:t>）</w:t>
            </w:r>
          </w:p>
        </w:tc>
        <w:tc>
          <w:tcPr>
            <w:tcW w:w="1704" w:type="dxa"/>
          </w:tcPr>
          <w:p>
            <w:pPr>
              <w:pStyle w:val="19"/>
              <w:widowControl w:val="0"/>
              <w:spacing w:line="360" w:lineRule="auto"/>
              <w:ind w:firstLine="0" w:firstLineChars="0"/>
              <w:rPr>
                <w:rFonts w:ascii="仿宋_GB2312" w:hAnsi="宋体" w:eastAsia="仿宋_GB2312" w:cs="宋体"/>
                <w:color w:val="000000"/>
                <w:sz w:val="28"/>
                <w:szCs w:val="28"/>
                <w:shd w:val="clear" w:color="auto" w:fill="FFFFFF"/>
              </w:rPr>
            </w:pPr>
            <w:r>
              <w:rPr>
                <w:rFonts w:hint="eastAsia" w:ascii="仿宋_GB2312" w:hAnsi="宋体" w:eastAsia="仿宋_GB2312" w:cs="宋体"/>
                <w:color w:val="000000"/>
                <w:sz w:val="28"/>
                <w:szCs w:val="28"/>
                <w:shd w:val="clear" w:color="auto" w:fill="FFFFFF"/>
              </w:rPr>
              <w:t>是</w:t>
            </w:r>
          </w:p>
        </w:tc>
        <w:tc>
          <w:tcPr>
            <w:tcW w:w="1704" w:type="dxa"/>
          </w:tcPr>
          <w:p>
            <w:pPr>
              <w:pStyle w:val="19"/>
              <w:widowControl w:val="0"/>
              <w:spacing w:line="360" w:lineRule="auto"/>
              <w:ind w:firstLine="0" w:firstLineChars="0"/>
              <w:rPr>
                <w:rFonts w:ascii="仿宋_GB2312" w:hAnsi="宋体" w:eastAsia="仿宋_GB2312" w:cs="宋体"/>
                <w:color w:val="000000"/>
                <w:sz w:val="28"/>
                <w:szCs w:val="28"/>
                <w:shd w:val="clear" w:color="auto" w:fill="FFFFFF"/>
              </w:rPr>
            </w:pPr>
            <w:r>
              <w:rPr>
                <w:rFonts w:hint="eastAsia" w:ascii="仿宋_GB2312" w:hAnsi="宋体" w:eastAsia="仿宋_GB2312" w:cs="宋体"/>
                <w:color w:val="000000"/>
                <w:sz w:val="24"/>
                <w:szCs w:val="24"/>
                <w:shd w:val="clear" w:color="auto" w:fill="FFFFFF"/>
              </w:rPr>
              <w:t>主体不适格，赠与合同</w:t>
            </w:r>
          </w:p>
        </w:tc>
        <w:tc>
          <w:tcPr>
            <w:tcW w:w="1704" w:type="dxa"/>
          </w:tcPr>
          <w:p>
            <w:pPr>
              <w:pStyle w:val="19"/>
              <w:widowControl w:val="0"/>
              <w:spacing w:line="360" w:lineRule="auto"/>
              <w:ind w:firstLine="0" w:firstLineChars="0"/>
              <w:rPr>
                <w:rFonts w:ascii="仿宋_GB2312" w:hAnsi="宋体" w:eastAsia="仿宋_GB2312" w:cs="宋体"/>
                <w:color w:val="000000"/>
                <w:sz w:val="28"/>
                <w:szCs w:val="28"/>
                <w:shd w:val="clear" w:color="auto" w:fill="FFFFFF"/>
              </w:rPr>
            </w:pPr>
            <w:r>
              <w:rPr>
                <w:rFonts w:hint="eastAsia" w:ascii="仿宋_GB2312" w:hAnsi="宋体" w:eastAsia="仿宋_GB2312" w:cs="宋体"/>
                <w:color w:val="000000"/>
                <w:sz w:val="24"/>
                <w:szCs w:val="24"/>
                <w:shd w:val="clear" w:color="auto" w:fill="FFFFFF"/>
              </w:rPr>
              <w:t>按赠与合同处理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704" w:type="dxa"/>
          </w:tcPr>
          <w:p>
            <w:pPr>
              <w:pStyle w:val="19"/>
              <w:widowControl w:val="0"/>
              <w:spacing w:line="360" w:lineRule="auto"/>
              <w:ind w:firstLine="0" w:firstLineChars="0"/>
              <w:rPr>
                <w:rFonts w:ascii="仿宋_GB2312" w:hAnsi="宋体" w:eastAsia="仿宋_GB2312" w:cs="宋体"/>
                <w:color w:val="000000"/>
                <w:sz w:val="28"/>
                <w:szCs w:val="28"/>
                <w:shd w:val="clear" w:color="auto" w:fill="FFFFFF"/>
              </w:rPr>
            </w:pPr>
            <w:r>
              <w:rPr>
                <w:rFonts w:ascii="仿宋_GB2312" w:hAnsi="宋体" w:eastAsia="仿宋_GB2312" w:cs="宋体"/>
                <w:color w:val="000000"/>
                <w:sz w:val="24"/>
                <w:szCs w:val="24"/>
                <w:shd w:val="clear" w:color="auto" w:fill="FFFFFF"/>
              </w:rPr>
              <w:t>原告申顺法与被告申艳萍、申艳芬遗赠抚养协议纠纷</w:t>
            </w:r>
          </w:p>
        </w:tc>
        <w:tc>
          <w:tcPr>
            <w:tcW w:w="1704" w:type="dxa"/>
          </w:tcPr>
          <w:p>
            <w:pPr>
              <w:pStyle w:val="19"/>
              <w:widowControl w:val="0"/>
              <w:spacing w:line="360" w:lineRule="auto"/>
              <w:ind w:firstLine="0" w:firstLineChars="0"/>
              <w:rPr>
                <w:rFonts w:ascii="仿宋_GB2312" w:hAnsi="宋体" w:eastAsia="仿宋_GB2312" w:cs="宋体"/>
                <w:color w:val="000000"/>
                <w:sz w:val="24"/>
                <w:szCs w:val="24"/>
                <w:shd w:val="clear" w:color="auto" w:fill="FFFFFF"/>
              </w:rPr>
            </w:pPr>
            <w:r>
              <w:rPr>
                <w:rFonts w:hint="eastAsia" w:ascii="仿宋_GB2312" w:hAnsi="宋体" w:eastAsia="仿宋_GB2312" w:cs="宋体"/>
                <w:color w:val="000000"/>
                <w:sz w:val="24"/>
                <w:szCs w:val="24"/>
                <w:shd w:val="clear" w:color="auto" w:fill="FFFFFF"/>
              </w:rPr>
              <w:t>否(堂兄弟）</w:t>
            </w:r>
          </w:p>
        </w:tc>
        <w:tc>
          <w:tcPr>
            <w:tcW w:w="1704" w:type="dxa"/>
          </w:tcPr>
          <w:p>
            <w:pPr>
              <w:pStyle w:val="19"/>
              <w:widowControl w:val="0"/>
              <w:spacing w:line="360" w:lineRule="auto"/>
              <w:ind w:firstLine="0" w:firstLineChars="0"/>
              <w:rPr>
                <w:rFonts w:ascii="仿宋_GB2312" w:hAnsi="宋体" w:eastAsia="仿宋_GB2312" w:cs="宋体"/>
                <w:color w:val="000000"/>
                <w:sz w:val="24"/>
                <w:szCs w:val="24"/>
                <w:shd w:val="clear" w:color="auto" w:fill="FFFFFF"/>
              </w:rPr>
            </w:pPr>
            <w:r>
              <w:rPr>
                <w:rFonts w:hint="eastAsia" w:ascii="仿宋_GB2312" w:hAnsi="宋体" w:eastAsia="仿宋_GB2312" w:cs="宋体"/>
                <w:color w:val="000000"/>
                <w:sz w:val="24"/>
                <w:szCs w:val="24"/>
                <w:shd w:val="clear" w:color="auto" w:fill="FFFFFF"/>
              </w:rPr>
              <w:t>是</w:t>
            </w:r>
          </w:p>
        </w:tc>
        <w:tc>
          <w:tcPr>
            <w:tcW w:w="1704" w:type="dxa"/>
          </w:tcPr>
          <w:p>
            <w:pPr>
              <w:pStyle w:val="19"/>
              <w:widowControl w:val="0"/>
              <w:spacing w:line="360" w:lineRule="auto"/>
              <w:ind w:firstLine="0" w:firstLineChars="0"/>
              <w:rPr>
                <w:rFonts w:ascii="仿宋_GB2312" w:hAnsi="宋体" w:eastAsia="仿宋_GB2312" w:cs="宋体"/>
                <w:color w:val="000000"/>
                <w:sz w:val="24"/>
                <w:szCs w:val="24"/>
                <w:shd w:val="clear" w:color="auto" w:fill="FFFFFF"/>
              </w:rPr>
            </w:pPr>
            <w:r>
              <w:rPr>
                <w:rFonts w:hint="eastAsia" w:ascii="仿宋_GB2312" w:hAnsi="宋体" w:eastAsia="仿宋_GB2312" w:cs="宋体"/>
                <w:color w:val="000000"/>
                <w:sz w:val="24"/>
                <w:szCs w:val="24"/>
                <w:shd w:val="clear" w:color="auto" w:fill="FFFFFF"/>
              </w:rPr>
              <w:t>主体适格，有效</w:t>
            </w:r>
          </w:p>
        </w:tc>
        <w:tc>
          <w:tcPr>
            <w:tcW w:w="1704" w:type="dxa"/>
          </w:tcPr>
          <w:p>
            <w:pPr>
              <w:pStyle w:val="19"/>
              <w:widowControl w:val="0"/>
              <w:spacing w:line="360" w:lineRule="auto"/>
              <w:ind w:firstLine="0" w:firstLineChars="0"/>
              <w:rPr>
                <w:rFonts w:ascii="仿宋_GB2312" w:hAnsi="宋体" w:eastAsia="仿宋_GB2312" w:cs="宋体"/>
                <w:color w:val="000000"/>
                <w:sz w:val="24"/>
                <w:szCs w:val="24"/>
                <w:shd w:val="clear" w:color="auto" w:fill="FFFFFF"/>
              </w:rPr>
            </w:pPr>
            <w:r>
              <w:rPr>
                <w:rFonts w:hint="eastAsia" w:ascii="仿宋_GB2312" w:hAnsi="宋体" w:eastAsia="仿宋_GB2312" w:cs="宋体"/>
                <w:color w:val="000000"/>
                <w:sz w:val="24"/>
                <w:szCs w:val="24"/>
                <w:shd w:val="clear" w:color="auto" w:fill="FFFFFF"/>
              </w:rPr>
              <w:t>按扶养协议处理</w:t>
            </w:r>
          </w:p>
        </w:tc>
      </w:tr>
    </w:tbl>
    <w:p>
      <w:pPr>
        <w:pStyle w:val="19"/>
        <w:spacing w:line="360" w:lineRule="auto"/>
        <w:ind w:firstLine="560"/>
        <w:rPr>
          <w:rFonts w:ascii="仿宋_GB2312" w:hAnsi="宋体" w:eastAsia="仿宋_GB2312" w:cs="宋体"/>
          <w:color w:val="000000"/>
          <w:sz w:val="28"/>
          <w:szCs w:val="28"/>
          <w:shd w:val="clear" w:color="auto" w:fill="FFFFFF"/>
        </w:rPr>
      </w:pPr>
      <w:r>
        <w:rPr>
          <w:rFonts w:hint="eastAsia" w:ascii="仿宋_GB2312" w:hAnsi="宋体" w:eastAsia="仿宋_GB2312" w:cs="宋体"/>
          <w:color w:val="000000"/>
          <w:sz w:val="28"/>
          <w:szCs w:val="28"/>
          <w:shd w:val="clear" w:color="auto" w:fill="FFFFFF"/>
        </w:rPr>
        <w:t>司法审判中，大部分遗赠扶养协议按合同性质认定，效力判断、订立标准也是参照合同有效、无效、可撤销进行判断；笔者认为此基础上引入继承合同也是有法理基础的。</w:t>
      </w:r>
    </w:p>
    <w:p>
      <w:pPr>
        <w:pStyle w:val="19"/>
        <w:spacing w:line="360" w:lineRule="auto"/>
        <w:ind w:firstLine="560"/>
        <w:rPr>
          <w:rFonts w:ascii="仿宋_GB2312" w:hAnsi="宋体" w:eastAsia="仿宋_GB2312" w:cs="宋体"/>
          <w:color w:val="000000"/>
          <w:sz w:val="28"/>
          <w:szCs w:val="28"/>
          <w:shd w:val="clear" w:color="auto" w:fill="FFFFFF"/>
        </w:rPr>
      </w:pPr>
      <w:r>
        <w:rPr>
          <w:rFonts w:hint="eastAsia" w:ascii="仿宋_GB2312" w:hAnsi="宋体" w:eastAsia="仿宋_GB2312" w:cs="宋体"/>
          <w:color w:val="000000"/>
          <w:sz w:val="28"/>
          <w:szCs w:val="28"/>
          <w:shd w:val="clear" w:color="auto" w:fill="FFFFFF"/>
        </w:rPr>
        <w:t>依此定义，我国的遗赠扶养协议也属于继承合同的一种。继承合同本质上是合同，但不同于一般的合同，极有可能成为继承权和受遗赠权取得放弃的法定原因。</w:t>
      </w:r>
      <w:r>
        <w:rPr>
          <w:rStyle w:val="17"/>
          <w:rFonts w:hint="eastAsia" w:ascii="仿宋_GB2312" w:hAnsi="宋体" w:eastAsia="仿宋_GB2312" w:cs="宋体"/>
          <w:color w:val="000000"/>
          <w:sz w:val="28"/>
          <w:szCs w:val="28"/>
          <w:shd w:val="clear" w:color="auto" w:fill="FFFFFF"/>
        </w:rPr>
        <w:footnoteReference w:id="8"/>
      </w:r>
      <w:r>
        <w:rPr>
          <w:rFonts w:hint="eastAsia" w:ascii="仿宋_GB2312" w:hAnsi="宋体" w:eastAsia="仿宋_GB2312" w:cs="宋体"/>
          <w:color w:val="000000"/>
          <w:sz w:val="28"/>
          <w:szCs w:val="28"/>
          <w:shd w:val="clear" w:color="auto" w:fill="FFFFFF"/>
        </w:rPr>
        <w:t>在德国、瑞士遗产继承合同应当与遗嘱的继承效力和其他法定形式继承一起构成继承人取得继承遗产请求权的共同法定的原因,在现阶段我国虽然遗赠抚养协议效力优先于遗嘱继承和法定继承,但在实践中一旦受遗赠人与法定继承人之间发生顺位冲突，道德伦理未必就能站在受遗赠人一方，主要还是看是否履行养老送终的义务。</w:t>
      </w:r>
    </w:p>
    <w:p>
      <w:pPr>
        <w:pStyle w:val="19"/>
        <w:spacing w:line="360" w:lineRule="auto"/>
        <w:ind w:firstLine="0" w:firstLineChars="0"/>
        <w:rPr>
          <w:rFonts w:ascii="仿宋" w:hAnsi="仿宋" w:eastAsia="仿宋" w:cs="仿宋"/>
          <w:b/>
          <w:bCs/>
          <w:kern w:val="2"/>
          <w:sz w:val="28"/>
          <w:szCs w:val="28"/>
        </w:rPr>
      </w:pPr>
      <w:r>
        <w:rPr>
          <w:rFonts w:hint="eastAsia" w:ascii="仿宋" w:hAnsi="仿宋" w:eastAsia="仿宋" w:cs="仿宋"/>
          <w:b/>
          <w:bCs/>
          <w:kern w:val="2"/>
          <w:sz w:val="28"/>
          <w:szCs w:val="28"/>
        </w:rPr>
        <w:t>1.2 继承合同以弥补遗赠扶养协议功能不足</w:t>
      </w:r>
    </w:p>
    <w:p>
      <w:pPr>
        <w:pStyle w:val="19"/>
        <w:spacing w:line="360" w:lineRule="auto"/>
        <w:ind w:firstLine="560"/>
        <w:rPr>
          <w:rFonts w:ascii="仿宋_GB2312" w:hAnsi="宋体" w:eastAsia="仿宋_GB2312" w:cs="宋体"/>
          <w:color w:val="000000"/>
          <w:sz w:val="28"/>
          <w:szCs w:val="28"/>
          <w:shd w:val="clear" w:color="auto" w:fill="FFFFFF"/>
        </w:rPr>
      </w:pPr>
      <w:r>
        <w:rPr>
          <w:rFonts w:hint="eastAsia" w:ascii="仿宋_GB2312" w:hAnsi="宋体" w:eastAsia="仿宋_GB2312" w:cs="宋体"/>
          <w:color w:val="000000"/>
          <w:sz w:val="28"/>
          <w:szCs w:val="28"/>
          <w:shd w:val="clear" w:color="auto" w:fill="FFFFFF"/>
        </w:rPr>
        <w:t>前面提到过，遗赠扶养协议具有一定养老功能，但还是有其局限性。笔者认为可以将继承合同纳入继承编当中，对于遗产以一种权利义务对等的合同形式去处理可能更加符合当下自由平等理念。当被继承人觉得自己的人身权利得不到保障时，可以采用继承合同的形式去强制规定义务的履行。但毕竟继承合同因为具有继承的性质，所以还是区别于普通的合同。</w:t>
      </w:r>
    </w:p>
    <w:p>
      <w:pPr>
        <w:pStyle w:val="19"/>
        <w:spacing w:line="360" w:lineRule="auto"/>
        <w:ind w:firstLine="601" w:firstLineChars="0"/>
        <w:rPr>
          <w:rFonts w:ascii="仿宋_GB2312" w:hAnsi="宋体" w:eastAsia="仿宋_GB2312" w:cs="宋体"/>
          <w:color w:val="000000"/>
          <w:sz w:val="28"/>
          <w:szCs w:val="28"/>
          <w:shd w:val="clear" w:color="auto" w:fill="FFFFFF"/>
        </w:rPr>
      </w:pPr>
      <w:r>
        <w:rPr>
          <w:rFonts w:hint="eastAsia" w:ascii="仿宋_GB2312" w:hAnsi="宋体" w:eastAsia="仿宋_GB2312" w:cs="宋体"/>
          <w:b/>
          <w:bCs/>
          <w:color w:val="000000"/>
          <w:sz w:val="28"/>
          <w:szCs w:val="28"/>
          <w:shd w:val="clear" w:color="auto" w:fill="FFFFFF"/>
        </w:rPr>
        <w:t>形式要件上。</w:t>
      </w:r>
      <w:r>
        <w:rPr>
          <w:rFonts w:hint="eastAsia" w:ascii="仿宋_GB2312" w:hAnsi="宋体" w:eastAsia="仿宋_GB2312" w:cs="宋体"/>
          <w:color w:val="000000"/>
          <w:sz w:val="28"/>
          <w:szCs w:val="28"/>
          <w:shd w:val="clear" w:color="auto" w:fill="FFFFFF"/>
        </w:rPr>
        <w:t>继承合同要尊重双方当事人行为意思自治，在自愿平等的基础上订立，因继承合同性质的特殊性，严格明确合同订立形式，明确采用书面形式，若为口头形式要有2人以上非法定继承人以外的见证人在场。如果双方当事人未履行权利义务即构成继承合同的违约，另一方当事人有权撤销，适用过错责任。在遗赠扶养协议的实际司法案例中对于形式要件其实也有迹可循，协议不履行或履行瑕疵时法官将其作为不利因素考虑并体现在裁判之中。</w:t>
      </w:r>
    </w:p>
    <w:p>
      <w:pPr>
        <w:pStyle w:val="19"/>
        <w:spacing w:line="360" w:lineRule="auto"/>
        <w:ind w:firstLine="601" w:firstLineChars="0"/>
        <w:rPr>
          <w:rFonts w:ascii="仿宋_GB2312" w:hAnsi="宋体" w:eastAsia="仿宋_GB2312" w:cs="宋体"/>
          <w:color w:val="000000"/>
          <w:sz w:val="28"/>
          <w:szCs w:val="28"/>
          <w:shd w:val="clear" w:color="auto" w:fill="FFFFFF"/>
        </w:rPr>
      </w:pPr>
      <w:r>
        <w:rPr>
          <w:rFonts w:hint="eastAsia" w:ascii="仿宋_GB2312" w:hAnsi="宋体" w:eastAsia="仿宋_GB2312" w:cs="宋体"/>
          <w:color w:val="000000"/>
          <w:sz w:val="28"/>
          <w:szCs w:val="28"/>
          <w:shd w:val="clear" w:color="auto" w:fill="FFFFFF"/>
        </w:rPr>
        <w:t>案例二：以中国裁判文书网“原告云某1与被告云某2遗赠扶养协议纠纷”为例</w:t>
      </w:r>
    </w:p>
    <w:tbl>
      <w:tblPr>
        <w:tblStyle w:val="11"/>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3" w:hRule="atLeast"/>
        </w:trPr>
        <w:tc>
          <w:tcPr>
            <w:tcW w:w="8540" w:type="dxa"/>
          </w:tcPr>
          <w:p>
            <w:pPr>
              <w:pStyle w:val="19"/>
              <w:widowControl w:val="0"/>
              <w:spacing w:line="360" w:lineRule="auto"/>
              <w:ind w:firstLine="0" w:firstLineChars="0"/>
              <w:rPr>
                <w:rFonts w:ascii="仿宋_GB2312" w:hAnsi="宋体" w:eastAsia="仿宋_GB2312" w:cs="宋体"/>
                <w:color w:val="000000"/>
                <w:sz w:val="28"/>
                <w:szCs w:val="28"/>
                <w:shd w:val="clear" w:color="auto" w:fill="FFFFFF"/>
              </w:rPr>
            </w:pPr>
            <w:r>
              <w:rPr>
                <w:rFonts w:hint="eastAsia" w:ascii="仿宋_GB2312" w:hAnsi="宋体" w:eastAsia="仿宋_GB2312" w:cs="宋体"/>
                <w:b/>
                <w:bCs/>
                <w:color w:val="000000"/>
                <w:sz w:val="28"/>
                <w:szCs w:val="28"/>
                <w:shd w:val="clear" w:color="auto" w:fill="FFFFFF"/>
              </w:rPr>
              <w:t>裁判文书本院认为截取：</w:t>
            </w:r>
            <w:r>
              <w:rPr>
                <w:rFonts w:hint="eastAsia" w:ascii="仿宋_GB2312" w:hAnsi="宋体" w:eastAsia="仿宋_GB2312" w:cs="宋体"/>
                <w:color w:val="000000"/>
                <w:sz w:val="28"/>
                <w:szCs w:val="28"/>
                <w:shd w:val="clear" w:color="auto" w:fill="FFFFFF"/>
              </w:rPr>
              <w:t>原告云某1主张其与云子明共同到夏庄村委会签订遗赠扶养协议，被告对该协议真实性不予认可，该协议执笔人孙金利表示不清楚协议签订当日云子明是否到场，</w:t>
            </w:r>
            <w:r>
              <w:rPr>
                <w:rFonts w:hint="eastAsia" w:ascii="仿宋_GB2312" w:hAnsi="宋体" w:eastAsia="仿宋_GB2312" w:cs="宋体"/>
                <w:b/>
                <w:bCs/>
                <w:color w:val="000000"/>
                <w:sz w:val="28"/>
                <w:szCs w:val="28"/>
                <w:shd w:val="clear" w:color="auto" w:fill="FFFFFF"/>
              </w:rPr>
              <w:t>原告未提供充分证据证实云子明与云连秋之间存在委托代理关系，</w:t>
            </w:r>
            <w:r>
              <w:rPr>
                <w:rFonts w:hint="eastAsia" w:ascii="仿宋_GB2312" w:hAnsi="宋体" w:eastAsia="仿宋_GB2312" w:cs="宋体"/>
                <w:color w:val="000000"/>
                <w:sz w:val="28"/>
                <w:szCs w:val="28"/>
                <w:shd w:val="clear" w:color="auto" w:fill="FFFFFF"/>
              </w:rPr>
              <w:t>亦未提供其他证据佐证该协议系云子明的真实意思表示，根据本案现有证据，对该协议真实性本院无法查实，故对原告主张的诉讼请求，本院依法不予支持。</w:t>
            </w:r>
          </w:p>
        </w:tc>
      </w:tr>
    </w:tbl>
    <w:p>
      <w:pPr>
        <w:pStyle w:val="19"/>
        <w:spacing w:line="360" w:lineRule="auto"/>
        <w:ind w:firstLine="601" w:firstLineChars="0"/>
        <w:rPr>
          <w:rFonts w:ascii="仿宋_GB2312" w:hAnsi="宋体" w:eastAsia="仿宋_GB2312" w:cs="宋体"/>
          <w:color w:val="000000"/>
          <w:sz w:val="28"/>
          <w:szCs w:val="28"/>
          <w:shd w:val="clear" w:color="auto" w:fill="FFFFFF"/>
        </w:rPr>
      </w:pPr>
      <w:r>
        <w:rPr>
          <w:rFonts w:hint="eastAsia" w:ascii="仿宋_GB2312" w:hAnsi="宋体" w:eastAsia="仿宋_GB2312" w:cs="宋体"/>
          <w:color w:val="000000"/>
          <w:sz w:val="28"/>
          <w:szCs w:val="28"/>
          <w:shd w:val="clear" w:color="auto" w:fill="FFFFFF"/>
        </w:rPr>
        <w:t>此案例也采用了继承或遗嘱当中的“见证人”制度，也为笔者提出细化遗赠扶养协议纠纷法律条文作支撑。</w:t>
      </w:r>
    </w:p>
    <w:p>
      <w:pPr>
        <w:pStyle w:val="19"/>
        <w:spacing w:line="360" w:lineRule="auto"/>
        <w:ind w:firstLine="562"/>
        <w:rPr>
          <w:rFonts w:ascii="仿宋_GB2312" w:hAnsi="宋体" w:eastAsia="仿宋_GB2312" w:cs="宋体"/>
          <w:color w:val="000000"/>
          <w:sz w:val="28"/>
          <w:szCs w:val="28"/>
          <w:shd w:val="clear" w:color="auto" w:fill="FFFFFF"/>
        </w:rPr>
      </w:pPr>
      <w:r>
        <w:rPr>
          <w:rFonts w:hint="eastAsia" w:ascii="仿宋_GB2312" w:hAnsi="宋体" w:eastAsia="仿宋_GB2312" w:cs="宋体"/>
          <w:b/>
          <w:bCs/>
          <w:color w:val="000000"/>
          <w:sz w:val="28"/>
          <w:szCs w:val="28"/>
          <w:shd w:val="clear" w:color="auto" w:fill="FFFFFF"/>
        </w:rPr>
        <w:t>范围上。</w:t>
      </w:r>
      <w:r>
        <w:rPr>
          <w:rFonts w:hint="eastAsia" w:ascii="仿宋_GB2312" w:hAnsi="宋体" w:eastAsia="仿宋_GB2312" w:cs="宋体"/>
          <w:color w:val="000000"/>
          <w:sz w:val="28"/>
          <w:szCs w:val="28"/>
          <w:shd w:val="clear" w:color="auto" w:fill="FFFFFF"/>
        </w:rPr>
        <w:t>将法定继承人纳入到继承合同一方当事人中，此种情况更加有利于维护法定继承人的权利，若法定继承人想继承遗产就必须履行被继承人提出的义务，以等价方式进行交换。当然继承合同的另一方当事人可以是法定继承人以外的人或者组织，此时就与遗赠扶养协议大同小异了。</w:t>
      </w:r>
    </w:p>
    <w:p>
      <w:pPr>
        <w:pStyle w:val="19"/>
        <w:spacing w:line="360" w:lineRule="auto"/>
        <w:ind w:firstLine="562"/>
        <w:rPr>
          <w:rFonts w:ascii="仿宋_GB2312" w:hAnsi="宋体" w:eastAsia="仿宋_GB2312" w:cs="宋体"/>
          <w:color w:val="000000"/>
          <w:sz w:val="28"/>
          <w:szCs w:val="28"/>
          <w:shd w:val="clear" w:color="auto" w:fill="FFFFFF"/>
        </w:rPr>
      </w:pPr>
      <w:r>
        <w:rPr>
          <w:rFonts w:hint="eastAsia" w:ascii="仿宋_GB2312" w:hAnsi="宋体" w:eastAsia="仿宋_GB2312" w:cs="宋体"/>
          <w:b/>
          <w:bCs/>
          <w:color w:val="000000"/>
          <w:sz w:val="28"/>
          <w:szCs w:val="28"/>
          <w:shd w:val="clear" w:color="auto" w:fill="FFFFFF"/>
        </w:rPr>
        <w:t>效力对抗上。</w:t>
      </w:r>
      <w:r>
        <w:rPr>
          <w:rFonts w:hint="eastAsia" w:ascii="仿宋_GB2312" w:hAnsi="宋体" w:eastAsia="仿宋_GB2312" w:cs="宋体"/>
          <w:color w:val="000000"/>
          <w:sz w:val="28"/>
          <w:szCs w:val="28"/>
          <w:shd w:val="clear" w:color="auto" w:fill="FFFFFF"/>
        </w:rPr>
        <w:t>如同时存在继承合同与遗赠扶养协议顺位优先问题？可以参考《民法典》第一千一百二十三条的规定，当二者同为互负对待给付义务的合同，其效力以实际履行为准；若不能举证证明，遗赠与继承合同效力同等。但需要说明的是继承合同中若法定继承人履行合同中的责任可以适当多分，因为根据中国价值观念，“血浓于水”法定继承人毕竟与被继承人之间亲情难以割舍，给被继承人提供了“情绪价值”，又履行了继承合同的义务。这样做不仅贴合了当前社会价值观念，也有助于弘扬良好的家庭氛围和社会风气。</w:t>
      </w:r>
    </w:p>
    <w:p>
      <w:pPr>
        <w:pStyle w:val="19"/>
        <w:spacing w:line="360" w:lineRule="auto"/>
        <w:ind w:firstLine="0" w:firstLineChars="0"/>
        <w:rPr>
          <w:rFonts w:ascii="仿宋" w:hAnsi="仿宋" w:eastAsia="仿宋" w:cs="仿宋"/>
          <w:b/>
          <w:bCs/>
          <w:kern w:val="2"/>
          <w:sz w:val="28"/>
          <w:szCs w:val="28"/>
        </w:rPr>
      </w:pPr>
      <w:r>
        <w:rPr>
          <w:rFonts w:hint="eastAsia" w:ascii="仿宋_GB2312" w:hAnsi="宋体" w:eastAsia="仿宋_GB2312" w:cs="宋体"/>
          <w:b/>
          <w:bCs/>
          <w:color w:val="000000"/>
          <w:sz w:val="28"/>
          <w:szCs w:val="28"/>
          <w:shd w:val="clear" w:color="auto" w:fill="FFFFFF"/>
        </w:rPr>
        <w:t>2.</w:t>
      </w:r>
      <w:r>
        <w:rPr>
          <w:rFonts w:hint="eastAsia" w:ascii="仿宋" w:hAnsi="仿宋" w:eastAsia="仿宋" w:cs="仿宋"/>
          <w:b/>
          <w:bCs/>
          <w:kern w:val="2"/>
          <w:sz w:val="28"/>
          <w:szCs w:val="28"/>
        </w:rPr>
        <w:t>1 “保留份提存”</w:t>
      </w:r>
    </w:p>
    <w:p>
      <w:pPr>
        <w:pStyle w:val="19"/>
        <w:spacing w:line="360" w:lineRule="auto"/>
        <w:ind w:firstLine="560"/>
        <w:rPr>
          <w:rFonts w:ascii="仿宋_GB2312" w:hAnsi="宋体" w:eastAsia="仿宋_GB2312" w:cs="宋体"/>
          <w:color w:val="000000"/>
          <w:sz w:val="28"/>
          <w:szCs w:val="28"/>
          <w:shd w:val="clear" w:color="auto" w:fill="FFFFFF"/>
        </w:rPr>
      </w:pPr>
      <w:r>
        <w:rPr>
          <w:rFonts w:hint="eastAsia" w:ascii="仿宋_GB2312" w:hAnsi="宋体" w:eastAsia="仿宋_GB2312" w:cs="宋体"/>
          <w:color w:val="000000"/>
          <w:sz w:val="28"/>
          <w:szCs w:val="28"/>
          <w:shd w:val="clear" w:color="auto" w:fill="FFFFFF"/>
        </w:rPr>
        <w:t>根据表四中不管是遗赠或遗赠扶养协议中都有保障养老的功能性质，大多解决后期生老病死的情况出现，但遗赠扶养是一个长期的、不稳定的过程，其真身基于合同，那么合同存在的风险，协议中也依然面临。比如，受遗赠人未履行义务或履行不到位情况？又或是，遗赠人年老身患重病，受遗赠人“无利可图”的情况？笔者认为，此时“保留份”</w:t>
      </w:r>
      <w:r>
        <w:rPr>
          <w:rStyle w:val="17"/>
          <w:rFonts w:hint="eastAsia" w:ascii="仿宋_GB2312" w:hAnsi="宋体" w:eastAsia="仿宋_GB2312" w:cs="宋体"/>
          <w:color w:val="000000"/>
          <w:sz w:val="28"/>
          <w:szCs w:val="28"/>
          <w:shd w:val="clear" w:color="auto" w:fill="FFFFFF"/>
        </w:rPr>
        <w:footnoteReference w:id="9"/>
      </w:r>
      <w:r>
        <w:rPr>
          <w:rFonts w:hint="eastAsia" w:ascii="仿宋_GB2312" w:hAnsi="宋体" w:eastAsia="仿宋_GB2312" w:cs="宋体"/>
          <w:color w:val="000000"/>
          <w:sz w:val="28"/>
          <w:szCs w:val="28"/>
          <w:shd w:val="clear" w:color="auto" w:fill="FFFFFF"/>
        </w:rPr>
        <w:t>很有必要，将其中保留一部分遗产份额作为受遗赠人对遗赠人的担保，担保后期存在瑕疵履行的情况，和遗赠人出现特殊情况（如：患重病、需要大笔生活支出等）。引入“提存”机制，将保留份额通过存入第三方平台来担保协议的履行，这担保合同中提存机制类似，遗赠人与受遗赠人可以通过“约定提存”的方式来实现合同目的。</w:t>
      </w:r>
    </w:p>
    <w:p>
      <w:pPr>
        <w:pStyle w:val="19"/>
        <w:spacing w:line="360" w:lineRule="auto"/>
        <w:ind w:firstLine="560"/>
        <w:rPr>
          <w:rFonts w:ascii="仿宋_GB2312" w:hAnsi="宋体" w:eastAsia="仿宋_GB2312" w:cs="宋体"/>
          <w:color w:val="000000"/>
          <w:sz w:val="28"/>
          <w:szCs w:val="28"/>
          <w:shd w:val="clear" w:color="auto" w:fill="FFFFFF"/>
        </w:rPr>
      </w:pPr>
      <w:r>
        <w:rPr>
          <w:rFonts w:hint="eastAsia" w:ascii="仿宋_GB2312" w:hAnsi="宋体" w:eastAsia="仿宋_GB2312" w:cs="宋体"/>
          <w:color w:val="000000"/>
          <w:sz w:val="28"/>
          <w:szCs w:val="28"/>
          <w:shd w:val="clear" w:color="auto" w:fill="FFFFFF"/>
        </w:rPr>
        <w:t>笔者未采取“特留份”与“必留份”</w:t>
      </w:r>
      <w:r>
        <w:rPr>
          <w:rStyle w:val="17"/>
          <w:rFonts w:hint="eastAsia" w:ascii="仿宋_GB2312" w:hAnsi="宋体" w:eastAsia="仿宋_GB2312" w:cs="宋体"/>
          <w:color w:val="000000"/>
          <w:sz w:val="28"/>
          <w:szCs w:val="28"/>
          <w:shd w:val="clear" w:color="auto" w:fill="FFFFFF"/>
        </w:rPr>
        <w:footnoteReference w:id="10"/>
      </w:r>
      <w:r>
        <w:rPr>
          <w:rFonts w:hint="eastAsia" w:ascii="仿宋_GB2312" w:hAnsi="宋体" w:eastAsia="仿宋_GB2312" w:cs="宋体"/>
          <w:color w:val="000000"/>
          <w:sz w:val="28"/>
          <w:szCs w:val="28"/>
          <w:shd w:val="clear" w:color="auto" w:fill="FFFFFF"/>
        </w:rPr>
        <w:t>说法，一是学界对此争议不一，二是其担保范围有限，《民法典》第1141条的规定中隐约可以看出是对“必留份”的体现，但所留份额仅仅是为了“法定继承人”或近亲属，受众人群范围较小，而“保留份”是完全尊重遗赠人自由意识，既可以作为对继承人的必留份额，也可以是对后续养老的保障，若受遗赠人完全履行协议，“保留份”还可以当做奖励机制给受遗赠人，这样不仅保护遗赠人的利益，也激发受遗赠人的责任心和社会尊老、爱老的社会价值观。</w:t>
      </w:r>
    </w:p>
    <w:p>
      <w:pPr>
        <w:pStyle w:val="19"/>
        <w:spacing w:line="360" w:lineRule="auto"/>
        <w:ind w:firstLine="0" w:firstLineChars="0"/>
        <w:rPr>
          <w:rFonts w:ascii="仿宋_GB2312" w:hAnsi="宋体" w:eastAsia="仿宋_GB2312" w:cs="宋体"/>
          <w:b/>
          <w:bCs/>
          <w:color w:val="000000"/>
          <w:sz w:val="28"/>
          <w:szCs w:val="28"/>
          <w:shd w:val="clear" w:color="auto" w:fill="FFFFFF"/>
        </w:rPr>
      </w:pPr>
      <w:r>
        <w:rPr>
          <w:rFonts w:hint="eastAsia" w:ascii="仿宋_GB2312" w:hAnsi="宋体" w:eastAsia="仿宋_GB2312" w:cs="宋体"/>
          <w:b/>
          <w:bCs/>
          <w:color w:val="000000"/>
          <w:sz w:val="28"/>
          <w:szCs w:val="28"/>
          <w:shd w:val="clear" w:color="auto" w:fill="FFFFFF"/>
        </w:rPr>
        <w:t>3.1.利用司法解释完善关键点</w:t>
      </w:r>
    </w:p>
    <w:p>
      <w:pPr>
        <w:pStyle w:val="19"/>
        <w:spacing w:line="360" w:lineRule="auto"/>
        <w:ind w:firstLine="560" w:firstLineChars="0"/>
        <w:rPr>
          <w:rFonts w:ascii="仿宋_GB2312" w:hAnsi="宋体" w:eastAsia="仿宋_GB2312" w:cs="宋体"/>
          <w:color w:val="000000"/>
          <w:sz w:val="28"/>
          <w:szCs w:val="28"/>
          <w:shd w:val="clear" w:color="auto" w:fill="FFFFFF"/>
        </w:rPr>
      </w:pPr>
      <w:r>
        <w:rPr>
          <w:rFonts w:hint="eastAsia" w:ascii="仿宋_GB2312" w:hAnsi="宋体" w:eastAsia="仿宋_GB2312" w:cs="宋体"/>
          <w:color w:val="000000"/>
          <w:sz w:val="28"/>
          <w:szCs w:val="28"/>
          <w:shd w:val="clear" w:color="auto" w:fill="FFFFFF"/>
        </w:rPr>
        <w:t>一是针对形式内容，对于遗赠的形式内容、法律后果加以解释。明确规定遗赠或遗赠扶养协议应当采用书面形式，口头或委托无效，也可以参照遗嘱订立，自书遗赠、打印遗赠必须有两个以上见证人在场见证；公证遗赠由公证机构办理。遗赠人要有行为能力，无民事行为能力或者限制民事行为能力人不能做遗赠行为表示，遗赠扶养协议的可撤销或者无效情形也参照合同成立要件进行考虑。</w:t>
      </w:r>
    </w:p>
    <w:p>
      <w:pPr>
        <w:pStyle w:val="19"/>
        <w:spacing w:line="360" w:lineRule="auto"/>
        <w:ind w:firstLine="560" w:firstLineChars="0"/>
        <w:rPr>
          <w:rFonts w:ascii="仿宋_GB2312" w:hAnsi="宋体" w:eastAsia="仿宋_GB2312" w:cs="宋体"/>
          <w:color w:val="000000"/>
          <w:sz w:val="28"/>
          <w:szCs w:val="28"/>
          <w:shd w:val="clear" w:color="auto" w:fill="FFFFFF"/>
        </w:rPr>
      </w:pPr>
      <w:r>
        <w:rPr>
          <w:rFonts w:hint="eastAsia" w:ascii="仿宋_GB2312" w:hAnsi="宋体" w:eastAsia="仿宋_GB2312" w:cs="宋体"/>
          <w:color w:val="000000"/>
          <w:sz w:val="28"/>
          <w:szCs w:val="28"/>
          <w:shd w:val="clear" w:color="auto" w:fill="FFFFFF"/>
        </w:rPr>
        <w:t>案例二：以中国裁判文书网“原告周某1与被告胡某1、胡某2、胡某3遗赠扶养协议纠纷”为例</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9" w:hRule="atLeast"/>
        </w:trPr>
        <w:tc>
          <w:tcPr>
            <w:tcW w:w="8340" w:type="dxa"/>
          </w:tcPr>
          <w:p>
            <w:pPr>
              <w:pStyle w:val="19"/>
              <w:widowControl w:val="0"/>
              <w:spacing w:line="360" w:lineRule="auto"/>
              <w:ind w:firstLine="0" w:firstLineChars="0"/>
              <w:rPr>
                <w:rFonts w:ascii="仿宋_GB2312" w:hAnsi="宋体" w:eastAsia="仿宋_GB2312" w:cs="宋体"/>
                <w:color w:val="000000"/>
                <w:sz w:val="28"/>
                <w:szCs w:val="28"/>
                <w:shd w:val="clear" w:color="auto" w:fill="FFFFFF"/>
              </w:rPr>
            </w:pPr>
            <w:r>
              <w:rPr>
                <w:rFonts w:hint="eastAsia" w:ascii="仿宋_GB2312" w:hAnsi="宋体" w:eastAsia="仿宋_GB2312" w:cs="宋体"/>
                <w:b/>
                <w:bCs/>
                <w:color w:val="000000"/>
                <w:sz w:val="28"/>
                <w:szCs w:val="28"/>
                <w:shd w:val="clear" w:color="auto" w:fill="FFFFFF"/>
              </w:rPr>
              <w:t>裁判文书截取：</w:t>
            </w:r>
            <w:r>
              <w:rPr>
                <w:rFonts w:hint="eastAsia" w:ascii="仿宋_GB2312" w:hAnsi="宋体" w:eastAsia="仿宋_GB2312" w:cs="宋体"/>
                <w:color w:val="000000"/>
                <w:sz w:val="28"/>
                <w:szCs w:val="28"/>
                <w:shd w:val="clear" w:color="auto" w:fill="FFFFFF"/>
              </w:rPr>
              <w:t>根据《中华人民共和国民法典》中关于继承的法律规定，签订遗赠扶养协议还应具备以下条件即双方当事人均具有完全民事行为能力；协议双方意思表示真实，不存在欺诈、胁迫的情况；遗赠的财产属于遗赠人所有，产权明确无争议；扶养人、遗赠人在协议上签字、注明日期。</w:t>
            </w:r>
          </w:p>
        </w:tc>
      </w:tr>
    </w:tbl>
    <w:p>
      <w:pPr>
        <w:pStyle w:val="19"/>
        <w:spacing w:line="360" w:lineRule="auto"/>
        <w:ind w:firstLine="560" w:firstLineChars="0"/>
        <w:rPr>
          <w:rFonts w:ascii="仿宋_GB2312" w:hAnsi="宋体" w:eastAsia="仿宋_GB2312" w:cs="宋体"/>
          <w:color w:val="000000"/>
          <w:sz w:val="28"/>
          <w:szCs w:val="28"/>
          <w:shd w:val="clear" w:color="auto" w:fill="FFFFFF"/>
        </w:rPr>
      </w:pPr>
      <w:r>
        <w:rPr>
          <w:rFonts w:hint="eastAsia" w:ascii="仿宋_GB2312" w:hAnsi="宋体" w:eastAsia="仿宋_GB2312" w:cs="宋体"/>
          <w:color w:val="000000"/>
          <w:sz w:val="28"/>
          <w:szCs w:val="28"/>
          <w:shd w:val="clear" w:color="auto" w:fill="FFFFFF"/>
        </w:rPr>
        <w:t>此案例中，遗赠协议的效力也是参照一般合同效力进行分析判定。</w:t>
      </w:r>
    </w:p>
    <w:p>
      <w:pPr>
        <w:pStyle w:val="19"/>
        <w:spacing w:line="360" w:lineRule="auto"/>
        <w:ind w:firstLine="560" w:firstLineChars="0"/>
        <w:rPr>
          <w:rFonts w:ascii="仿宋_GB2312" w:hAnsi="宋体" w:eastAsia="仿宋_GB2312" w:cs="宋体"/>
          <w:color w:val="000000"/>
          <w:sz w:val="28"/>
          <w:szCs w:val="28"/>
          <w:shd w:val="clear" w:color="auto" w:fill="FFFFFF"/>
        </w:rPr>
      </w:pPr>
      <w:r>
        <w:rPr>
          <w:rFonts w:hint="eastAsia" w:ascii="仿宋_GB2312" w:hAnsi="宋体" w:eastAsia="仿宋_GB2312" w:cs="宋体"/>
          <w:color w:val="000000"/>
          <w:sz w:val="28"/>
          <w:szCs w:val="28"/>
          <w:shd w:val="clear" w:color="auto" w:fill="FFFFFF"/>
        </w:rPr>
        <w:t>二是对于法律效果，同继承合同采用过错侵权责任，若协议瑕疵履行或没有履行，遗赠人有权撤销协议。</w:t>
      </w:r>
    </w:p>
    <w:p>
      <w:pPr>
        <w:pStyle w:val="19"/>
        <w:numPr>
          <w:ilvl w:val="0"/>
          <w:numId w:val="4"/>
        </w:numPr>
        <w:spacing w:line="360" w:lineRule="auto"/>
        <w:ind w:firstLine="0" w:firstLineChars="0"/>
        <w:rPr>
          <w:rFonts w:ascii="仿宋" w:hAnsi="仿宋" w:eastAsia="仿宋" w:cs="仿宋"/>
          <w:b/>
          <w:bCs/>
          <w:kern w:val="2"/>
          <w:sz w:val="30"/>
          <w:szCs w:val="30"/>
        </w:rPr>
      </w:pPr>
      <w:r>
        <w:rPr>
          <w:rFonts w:hint="eastAsia" w:ascii="仿宋" w:hAnsi="仿宋" w:eastAsia="仿宋" w:cs="仿宋"/>
          <w:b/>
          <w:bCs/>
          <w:kern w:val="2"/>
          <w:sz w:val="28"/>
          <w:szCs w:val="28"/>
        </w:rPr>
        <w:t>社会价值取向——以“社会主义核心价值观后果考量”</w:t>
      </w:r>
      <w:r>
        <w:rPr>
          <w:rStyle w:val="17"/>
          <w:rFonts w:hint="eastAsia" w:ascii="仿宋" w:hAnsi="仿宋" w:eastAsia="仿宋" w:cs="仿宋"/>
          <w:b/>
          <w:bCs/>
          <w:kern w:val="2"/>
          <w:sz w:val="28"/>
          <w:szCs w:val="28"/>
        </w:rPr>
        <w:footnoteReference w:id="11"/>
      </w:r>
      <w:r>
        <w:rPr>
          <w:rFonts w:hint="eastAsia" w:ascii="仿宋" w:hAnsi="仿宋" w:eastAsia="仿宋" w:cs="仿宋"/>
          <w:b/>
          <w:bCs/>
          <w:kern w:val="2"/>
          <w:sz w:val="28"/>
          <w:szCs w:val="28"/>
        </w:rPr>
        <w:t>衡量裁判价值</w:t>
      </w:r>
    </w:p>
    <w:p>
      <w:pPr>
        <w:pStyle w:val="19"/>
        <w:spacing w:line="360" w:lineRule="auto"/>
        <w:ind w:firstLine="600"/>
        <w:rPr>
          <w:rFonts w:ascii="仿宋" w:hAnsi="仿宋" w:eastAsia="仿宋" w:cs="仿宋"/>
          <w:kern w:val="2"/>
          <w:sz w:val="30"/>
          <w:szCs w:val="30"/>
        </w:rPr>
      </w:pPr>
      <w:r>
        <w:rPr>
          <w:rFonts w:hint="eastAsia" w:ascii="仿宋" w:hAnsi="仿宋" w:eastAsia="仿宋" w:cs="仿宋"/>
          <w:kern w:val="2"/>
          <w:sz w:val="30"/>
          <w:szCs w:val="30"/>
        </w:rPr>
        <w:t>遗赠及遗赠扶养协议具有极强的人身专属性，实践中很难用法律规范进行“一刀切”，在关于遗赠案件中，法官难以做到司法统一，自由裁量范围较大。其中，又有“内外有别”，“涉内”是指法定继承人，“涉外”是指法定继承人以外的人，以中国裁判文书网数据为例：关于遗赠纠纷案件达5169篇，涉及法定继承人的1052篇，遗赠扶养协议纠纷2352篇，涉及法定继承人113篇。</w:t>
      </w:r>
    </w:p>
    <w:p>
      <w:pPr>
        <w:pStyle w:val="19"/>
        <w:spacing w:line="360" w:lineRule="auto"/>
        <w:ind w:firstLine="560"/>
        <w:rPr>
          <w:rFonts w:ascii="仿宋_GB2312" w:hAnsi="宋体" w:eastAsia="仿宋_GB2312" w:cs="宋体"/>
          <w:color w:val="000000"/>
          <w:sz w:val="28"/>
          <w:szCs w:val="28"/>
          <w:shd w:val="clear" w:color="auto" w:fill="FFFFFF"/>
        </w:rPr>
      </w:pPr>
      <w:r>
        <w:rPr>
          <w:rFonts w:hint="eastAsia" w:ascii="仿宋_GB2312" w:hAnsi="宋体" w:eastAsia="仿宋_GB2312" w:cs="宋体"/>
          <w:color w:val="000000"/>
          <w:sz w:val="28"/>
          <w:szCs w:val="28"/>
          <w:shd w:val="clear" w:color="auto" w:fill="FFFFFF"/>
        </w:rPr>
        <w:t>泸州遗赠案和杭州遗赠案都是在法学界引发极大讨论的案件，社会主义核心价值观在泸州遗赠案中的具体体现为公序良俗原则，杭州遗赠案主要是平等、自愿原则。笔者发现关于遗赠案件中难免少不了法定继承人或近亲属与受遗赠人之间的“争夺”，一旦案件“涉外”就加大舆论风险，因为这本质上还是与中国传统“养儿防老”观点有所差异。上述两个案例都有遗赠人留下的书面遗嘱甚至权威机构的公证，但案例一偏向于继承人一边，案例二偏向于受遗赠人一边，这其中法官对此是依据社会公德，是基于考量了判决的社会舆论导向，这也是与我们倡导的社会主义核心价值观一脉相承。</w:t>
      </w:r>
    </w:p>
    <w:p>
      <w:pPr>
        <w:pStyle w:val="19"/>
        <w:spacing w:line="360" w:lineRule="auto"/>
        <w:ind w:firstLine="560"/>
        <w:rPr>
          <w:rFonts w:ascii="仿宋" w:hAnsi="仿宋" w:eastAsia="仿宋" w:cs="仿宋"/>
          <w:kern w:val="2"/>
          <w:sz w:val="30"/>
          <w:szCs w:val="30"/>
        </w:rPr>
      </w:pPr>
      <w:r>
        <w:rPr>
          <w:rFonts w:hint="eastAsia" w:ascii="仿宋_GB2312" w:hAnsi="宋体" w:eastAsia="仿宋_GB2312" w:cs="宋体"/>
          <w:color w:val="000000"/>
          <w:sz w:val="28"/>
          <w:szCs w:val="28"/>
          <w:shd w:val="clear" w:color="auto" w:fill="FFFFFF"/>
        </w:rPr>
        <w:t>在遗赠案件中，法官不能一味机械的适用法律，可能要对于舆论后果进行预测，对于案件裁判也要符合大众价值观。以价值为导向，综合法理进行案件审判，主动使用社会主义核心价值观来体现裁判价值。</w:t>
      </w:r>
    </w:p>
    <w:p>
      <w:pPr>
        <w:pStyle w:val="19"/>
        <w:spacing w:line="360" w:lineRule="auto"/>
        <w:ind w:firstLine="0" w:firstLineChars="0"/>
        <w:rPr>
          <w:rFonts w:ascii="仿宋_GB2312" w:hAnsi="宋体" w:eastAsia="仿宋_GB2312" w:cs="宋体"/>
          <w:b/>
          <w:bCs/>
          <w:color w:val="000000"/>
          <w:sz w:val="28"/>
          <w:szCs w:val="28"/>
          <w:shd w:val="clear" w:color="auto" w:fill="FFFFFF"/>
        </w:rPr>
      </w:pPr>
      <w:r>
        <w:rPr>
          <w:rFonts w:hint="eastAsia" w:ascii="仿宋_GB2312" w:hAnsi="宋体" w:eastAsia="仿宋_GB2312" w:cs="宋体"/>
          <w:b/>
          <w:bCs/>
          <w:color w:val="000000"/>
          <w:sz w:val="28"/>
          <w:szCs w:val="28"/>
          <w:shd w:val="clear" w:color="auto" w:fill="FFFFFF"/>
        </w:rPr>
        <w:t>（三）纵向——构建社会多层次养老体系</w:t>
      </w:r>
      <w:r>
        <w:rPr>
          <w:rStyle w:val="17"/>
          <w:rFonts w:hint="eastAsia" w:ascii="仿宋_GB2312" w:hAnsi="宋体" w:eastAsia="仿宋_GB2312" w:cs="宋体"/>
          <w:b/>
          <w:bCs/>
          <w:color w:val="000000"/>
          <w:sz w:val="28"/>
          <w:szCs w:val="28"/>
          <w:shd w:val="clear" w:color="auto" w:fill="FFFFFF"/>
        </w:rPr>
        <w:footnoteReference w:id="12"/>
      </w:r>
    </w:p>
    <w:p>
      <w:pPr>
        <w:pStyle w:val="19"/>
        <w:spacing w:line="360" w:lineRule="auto"/>
        <w:ind w:firstLine="560"/>
        <w:rPr>
          <w:rFonts w:ascii="仿宋_GB2312" w:hAnsi="宋体" w:eastAsia="仿宋_GB2312" w:cs="宋体"/>
          <w:color w:val="000000"/>
          <w:sz w:val="28"/>
          <w:szCs w:val="28"/>
          <w:shd w:val="clear" w:color="auto" w:fill="FFFFFF"/>
        </w:rPr>
      </w:pPr>
      <w:r>
        <w:rPr>
          <w:rFonts w:hint="eastAsia" w:ascii="仿宋_GB2312" w:hAnsi="宋体" w:eastAsia="仿宋_GB2312" w:cs="宋体"/>
          <w:color w:val="000000"/>
          <w:sz w:val="28"/>
          <w:szCs w:val="28"/>
          <w:shd w:val="clear" w:color="auto" w:fill="FFFFFF"/>
        </w:rPr>
        <w:t>纵向方面主要针对行政机构、社会公益、社区治理等方面进行切入，养老单单靠法律、法官难以解决，需要整个社会进行资源整合，未来养老模式多样化是不可避免的。多层次养老模式的构建不仅为当下提供参考，也提前主动适应了未来养老问题，在无子女的情况下，笔者也会倾向于这种多层次养老体系，保障一个丰富舒适的养老生活。</w:t>
      </w:r>
    </w:p>
    <w:p>
      <w:pPr>
        <w:pStyle w:val="19"/>
        <w:spacing w:line="360" w:lineRule="auto"/>
        <w:ind w:firstLine="0" w:firstLineChars="0"/>
        <w:rPr>
          <w:rFonts w:ascii="仿宋_GB2312" w:hAnsi="宋体" w:eastAsia="仿宋_GB2312" w:cs="宋体"/>
          <w:b/>
          <w:bCs/>
          <w:color w:val="000000"/>
          <w:sz w:val="28"/>
          <w:szCs w:val="28"/>
          <w:shd w:val="clear" w:color="auto" w:fill="FFFFFF"/>
        </w:rPr>
      </w:pPr>
      <w:r>
        <w:rPr>
          <w:rFonts w:hint="eastAsia" w:ascii="仿宋_GB2312" w:hAnsi="宋体" w:eastAsia="仿宋_GB2312" w:cs="宋体"/>
          <w:b/>
          <w:bCs/>
          <w:color w:val="000000"/>
          <w:sz w:val="28"/>
          <w:szCs w:val="28"/>
          <w:shd w:val="clear" w:color="auto" w:fill="FFFFFF"/>
        </w:rPr>
        <w:t>（一）机构养老</w:t>
      </w:r>
    </w:p>
    <w:p>
      <w:pPr>
        <w:pStyle w:val="19"/>
        <w:spacing w:line="360" w:lineRule="auto"/>
        <w:ind w:firstLine="560"/>
        <w:rPr>
          <w:rFonts w:ascii="仿宋_GB2312" w:hAnsi="宋体" w:eastAsia="仿宋_GB2312" w:cs="宋体"/>
          <w:color w:val="000000"/>
          <w:sz w:val="28"/>
          <w:szCs w:val="28"/>
          <w:shd w:val="clear" w:color="auto" w:fill="FFFFFF"/>
        </w:rPr>
      </w:pPr>
      <w:r>
        <w:rPr>
          <w:rFonts w:hint="eastAsia" w:ascii="仿宋_GB2312" w:hAnsi="宋体" w:eastAsia="仿宋_GB2312" w:cs="宋体"/>
          <w:color w:val="000000"/>
          <w:sz w:val="28"/>
          <w:szCs w:val="28"/>
          <w:shd w:val="clear" w:color="auto" w:fill="FFFFFF"/>
        </w:rPr>
        <w:t>通过国家设立养老服务机构包括养老院、养老公寓等多种情形，来适应目前老龄化或未来养老需求，这种适合子女又无法长期陪伴的老人。这种通过国家行政手段的介入，在中国养老行业目前发展比较成熟。</w:t>
      </w:r>
    </w:p>
    <w:p>
      <w:pPr>
        <w:pStyle w:val="19"/>
        <w:spacing w:line="360" w:lineRule="auto"/>
        <w:ind w:firstLine="0" w:firstLineChars="0"/>
        <w:rPr>
          <w:rFonts w:ascii="仿宋_GB2312" w:hAnsi="宋体" w:eastAsia="仿宋_GB2312" w:cs="宋体"/>
          <w:b/>
          <w:bCs/>
          <w:color w:val="000000"/>
          <w:sz w:val="28"/>
          <w:szCs w:val="28"/>
          <w:shd w:val="clear" w:color="auto" w:fill="FFFFFF"/>
        </w:rPr>
      </w:pPr>
      <w:r>
        <w:rPr>
          <w:rFonts w:hint="eastAsia" w:ascii="仿宋_GB2312" w:hAnsi="宋体" w:eastAsia="仿宋_GB2312" w:cs="宋体"/>
          <w:b/>
          <w:bCs/>
          <w:color w:val="000000"/>
          <w:sz w:val="28"/>
          <w:szCs w:val="28"/>
          <w:shd w:val="clear" w:color="auto" w:fill="FFFFFF"/>
        </w:rPr>
        <w:t>（二）PPP养老</w:t>
      </w:r>
    </w:p>
    <w:p>
      <w:pPr>
        <w:pStyle w:val="19"/>
        <w:spacing w:line="360" w:lineRule="auto"/>
        <w:ind w:firstLine="420" w:firstLineChars="150"/>
        <w:rPr>
          <w:rFonts w:ascii="仿宋_GB2312" w:hAnsi="宋体" w:eastAsia="仿宋_GB2312" w:cs="宋体"/>
          <w:color w:val="000000"/>
          <w:sz w:val="28"/>
          <w:szCs w:val="28"/>
          <w:shd w:val="clear" w:color="auto" w:fill="FFFFFF"/>
        </w:rPr>
      </w:pPr>
      <w:r>
        <w:rPr>
          <w:rFonts w:hint="eastAsia" w:ascii="仿宋_GB2312" w:hAnsi="宋体" w:eastAsia="仿宋_GB2312" w:cs="宋体"/>
          <w:color w:val="000000"/>
          <w:sz w:val="28"/>
          <w:szCs w:val="28"/>
          <w:shd w:val="clear" w:color="auto" w:fill="FFFFFF"/>
        </w:rPr>
        <w:t>"PPP+养老"作为公共投资服务新领域模式可较好有效的去吸引大量社会资本,将政府资金有效与广大社会资本密切结合在一起,综合利用政府投资与金融企业服务的共同优势,以政府牵头来搭建养老平台,在交由三方运营机构运营并给予财政补贴。虽然目前存在系列问题有待解决,但不失为一种备选模式。</w:t>
      </w:r>
    </w:p>
    <w:p>
      <w:pPr>
        <w:pStyle w:val="19"/>
        <w:spacing w:line="360" w:lineRule="auto"/>
        <w:ind w:firstLine="0" w:firstLineChars="0"/>
        <w:rPr>
          <w:rFonts w:ascii="仿宋_GB2312" w:hAnsi="宋体" w:eastAsia="仿宋_GB2312" w:cs="宋体"/>
          <w:b/>
          <w:bCs/>
          <w:color w:val="000000"/>
          <w:sz w:val="28"/>
          <w:szCs w:val="28"/>
          <w:shd w:val="clear" w:color="auto" w:fill="FFFFFF"/>
        </w:rPr>
      </w:pPr>
      <w:r>
        <w:rPr>
          <w:rFonts w:hint="eastAsia" w:ascii="仿宋_GB2312" w:hAnsi="宋体" w:eastAsia="仿宋_GB2312" w:cs="宋体"/>
          <w:b/>
          <w:bCs/>
          <w:color w:val="000000"/>
          <w:sz w:val="28"/>
          <w:szCs w:val="28"/>
          <w:shd w:val="clear" w:color="auto" w:fill="FFFFFF"/>
        </w:rPr>
        <w:t>（三）以房养老</w:t>
      </w:r>
    </w:p>
    <w:p>
      <w:pPr>
        <w:pStyle w:val="19"/>
        <w:spacing w:line="360" w:lineRule="auto"/>
        <w:ind w:firstLine="560"/>
        <w:rPr>
          <w:rFonts w:ascii="仿宋_GB2312" w:hAnsi="宋体" w:eastAsia="仿宋_GB2312" w:cs="宋体"/>
          <w:color w:val="000000"/>
          <w:sz w:val="28"/>
          <w:szCs w:val="28"/>
          <w:shd w:val="clear" w:color="auto" w:fill="FFFFFF"/>
        </w:rPr>
      </w:pPr>
      <w:r>
        <w:rPr>
          <w:rFonts w:hint="eastAsia" w:ascii="仿宋_GB2312" w:hAnsi="宋体" w:eastAsia="仿宋_GB2312" w:cs="宋体"/>
          <w:color w:val="000000"/>
          <w:sz w:val="28"/>
          <w:szCs w:val="28"/>
          <w:shd w:val="clear" w:color="auto" w:fill="FFFFFF"/>
        </w:rPr>
        <w:t>老人公寓是个人将为其自己养老所有房屋的自定产权房子抵押了下来或者主要是出租了出去,以房屋换取老人定期住房或老人取得自己每年支付一定的比例数额养老金或者是长期的接受社会老年公寓管理等各种服务等方式进行的养老是另外一种新型社会的养老方式。此种方式相对经济比较有保障,适合于家中房产较多,无子女或者不愿房产赠予子女的老人。</w:t>
      </w:r>
    </w:p>
    <w:p>
      <w:pPr>
        <w:pStyle w:val="19"/>
        <w:numPr>
          <w:ilvl w:val="0"/>
          <w:numId w:val="4"/>
        </w:numPr>
        <w:spacing w:line="360" w:lineRule="auto"/>
        <w:ind w:firstLine="0" w:firstLineChars="0"/>
        <w:rPr>
          <w:rFonts w:ascii="仿宋_GB2312" w:hAnsi="宋体" w:eastAsia="仿宋_GB2312" w:cs="宋体"/>
          <w:b/>
          <w:bCs/>
          <w:color w:val="000000"/>
          <w:sz w:val="28"/>
          <w:szCs w:val="28"/>
          <w:shd w:val="clear" w:color="auto" w:fill="FFFFFF"/>
        </w:rPr>
      </w:pPr>
      <w:r>
        <w:rPr>
          <w:rFonts w:hint="eastAsia" w:ascii="仿宋_GB2312" w:hAnsi="宋体" w:eastAsia="仿宋_GB2312" w:cs="宋体"/>
          <w:b/>
          <w:bCs/>
          <w:color w:val="000000"/>
          <w:sz w:val="28"/>
          <w:szCs w:val="28"/>
          <w:shd w:val="clear" w:color="auto" w:fill="FFFFFF"/>
        </w:rPr>
        <w:t>社区养老——互助养老</w:t>
      </w:r>
    </w:p>
    <w:p>
      <w:pPr>
        <w:pStyle w:val="19"/>
        <w:spacing w:line="360" w:lineRule="auto"/>
        <w:ind w:firstLine="560"/>
        <w:rPr>
          <w:rFonts w:ascii="仿宋_GB2312" w:hAnsi="宋体" w:eastAsia="仿宋_GB2312" w:cs="宋体"/>
          <w:color w:val="000000"/>
          <w:sz w:val="28"/>
          <w:szCs w:val="28"/>
          <w:shd w:val="clear" w:color="auto" w:fill="FFFFFF"/>
        </w:rPr>
      </w:pPr>
      <w:r>
        <w:rPr>
          <w:rFonts w:hint="eastAsia" w:ascii="仿宋_GB2312" w:hAnsi="宋体" w:eastAsia="仿宋_GB2312" w:cs="宋体"/>
          <w:color w:val="000000"/>
          <w:sz w:val="28"/>
          <w:szCs w:val="28"/>
          <w:shd w:val="clear" w:color="auto" w:fill="FFFFFF"/>
        </w:rPr>
        <w:t>以2名专业养老社工带动200名社区活力老年居民志愿者，它是社区养老的补充，以低龄老年人带动高龄老年人，实现社区内循环，组成互助组，以此推动养老良性循环。</w:t>
      </w:r>
    </w:p>
    <w:p>
      <w:pPr>
        <w:pStyle w:val="19"/>
        <w:spacing w:line="360" w:lineRule="auto"/>
        <w:ind w:firstLine="0" w:firstLineChars="0"/>
        <w:rPr>
          <w:rFonts w:ascii="仿宋_GB2312" w:hAnsi="宋体" w:eastAsia="仿宋_GB2312" w:cs="宋体"/>
          <w:b/>
          <w:bCs/>
          <w:color w:val="000000"/>
          <w:sz w:val="28"/>
          <w:szCs w:val="28"/>
          <w:shd w:val="clear" w:color="auto" w:fill="FFFFFF"/>
        </w:rPr>
      </w:pPr>
      <w:r>
        <w:rPr>
          <w:rFonts w:hint="eastAsia" w:ascii="仿宋_GB2312" w:hAnsi="宋体" w:eastAsia="仿宋_GB2312" w:cs="宋体"/>
          <w:b/>
          <w:bCs/>
          <w:color w:val="000000"/>
          <w:sz w:val="28"/>
          <w:szCs w:val="28"/>
          <w:shd w:val="clear" w:color="auto" w:fill="FFFFFF"/>
        </w:rPr>
        <w:t>（五）并居养老</w:t>
      </w:r>
    </w:p>
    <w:p>
      <w:pPr>
        <w:pStyle w:val="19"/>
        <w:spacing w:line="360" w:lineRule="auto"/>
        <w:ind w:firstLine="560"/>
        <w:rPr>
          <w:rFonts w:ascii="仿宋_GB2312" w:hAnsi="宋体" w:eastAsia="仿宋_GB2312" w:cs="宋体"/>
          <w:color w:val="000000"/>
          <w:sz w:val="28"/>
          <w:szCs w:val="28"/>
          <w:shd w:val="clear" w:color="auto" w:fill="FFFFFF"/>
        </w:rPr>
      </w:pPr>
      <w:r>
        <w:rPr>
          <w:rFonts w:hint="eastAsia" w:ascii="仿宋_GB2312" w:hAnsi="宋体" w:eastAsia="仿宋_GB2312" w:cs="宋体"/>
          <w:color w:val="000000"/>
          <w:sz w:val="28"/>
          <w:szCs w:val="28"/>
          <w:shd w:val="clear" w:color="auto" w:fill="FFFFFF"/>
        </w:rPr>
        <w:t>借鉴国外有许多老人都喜欢并居养老，三五好友共同居住一套大房子，不仅可享受优质的住房环境，还能够互帮互助，共同生活也会乐趣多多。适合于志同道合喜爱群体生活的老人群体。</w:t>
      </w:r>
    </w:p>
    <w:p>
      <w:pPr>
        <w:pStyle w:val="19"/>
        <w:spacing w:line="360" w:lineRule="auto"/>
        <w:ind w:firstLine="0" w:firstLineChars="0"/>
        <w:rPr>
          <w:rFonts w:ascii="仿宋_GB2312" w:hAnsi="宋体" w:eastAsia="仿宋_GB2312" w:cs="宋体"/>
          <w:color w:val="000000"/>
          <w:sz w:val="28"/>
          <w:szCs w:val="28"/>
          <w:shd w:val="clear" w:color="auto" w:fill="FFFFFF"/>
        </w:rPr>
      </w:pPr>
    </w:p>
    <w:p>
      <w:pPr>
        <w:pStyle w:val="19"/>
        <w:spacing w:line="360" w:lineRule="auto"/>
        <w:ind w:firstLine="0" w:firstLineChars="0"/>
        <w:rPr>
          <w:rFonts w:ascii="仿宋_GB2312" w:hAnsi="宋体" w:eastAsia="仿宋_GB2312" w:cs="宋体"/>
          <w:b/>
          <w:bCs/>
          <w:color w:val="000000"/>
          <w:sz w:val="28"/>
          <w:szCs w:val="28"/>
          <w:shd w:val="clear" w:color="auto" w:fill="FFFFFF"/>
        </w:rPr>
      </w:pPr>
      <w:r>
        <w:rPr>
          <w:rFonts w:hint="eastAsia" w:ascii="仿宋_GB2312" w:hAnsi="宋体" w:eastAsia="仿宋_GB2312" w:cs="宋体"/>
          <w:b/>
          <w:bCs/>
          <w:color w:val="000000"/>
          <w:sz w:val="28"/>
          <w:szCs w:val="28"/>
          <w:shd w:val="clear" w:color="auto" w:fill="FFFFFF"/>
        </w:rPr>
        <w:t>六</w:t>
      </w:r>
      <w:r>
        <w:rPr>
          <w:rFonts w:hint="eastAsia" w:ascii="仿宋_GB2312" w:hAnsi="宋体" w:eastAsia="仿宋_GB2312" w:cs="宋体"/>
          <w:color w:val="000000"/>
          <w:sz w:val="28"/>
          <w:szCs w:val="28"/>
          <w:shd w:val="clear" w:color="auto" w:fill="FFFFFF"/>
        </w:rPr>
        <w:t>、</w:t>
      </w:r>
      <w:r>
        <w:rPr>
          <w:rFonts w:hint="eastAsia" w:ascii="仿宋_GB2312" w:hAnsi="宋体" w:eastAsia="仿宋_GB2312" w:cs="宋体"/>
          <w:b/>
          <w:bCs/>
          <w:color w:val="000000"/>
          <w:sz w:val="28"/>
          <w:szCs w:val="28"/>
          <w:shd w:val="clear" w:color="auto" w:fill="FFFFFF"/>
        </w:rPr>
        <w:t>结语</w:t>
      </w:r>
    </w:p>
    <w:p>
      <w:pPr>
        <w:ind w:firstLine="560" w:firstLineChars="200"/>
        <w:rPr>
          <w:rFonts w:ascii="仿宋_GB2312" w:hAnsi="宋体" w:eastAsia="仿宋_GB2312" w:cs="宋体"/>
          <w:b/>
          <w:bCs/>
          <w:color w:val="000000"/>
          <w:kern w:val="0"/>
          <w:sz w:val="28"/>
          <w:szCs w:val="28"/>
          <w:shd w:val="clear" w:color="auto" w:fill="FFFFFF"/>
        </w:rPr>
      </w:pPr>
      <w:r>
        <w:rPr>
          <w:rFonts w:hint="eastAsia" w:ascii="仿宋_GB2312" w:hAnsi="宋体" w:eastAsia="仿宋_GB2312" w:cs="宋体"/>
          <w:color w:val="000000"/>
          <w:kern w:val="0"/>
          <w:sz w:val="28"/>
          <w:szCs w:val="28"/>
          <w:shd w:val="clear" w:color="auto" w:fill="FFFFFF"/>
        </w:rPr>
        <w:t>“文章合为时而著，诗歌合为事而作”，作为一名政法工作者，我们肩负公正司法、维护社会公平正义的重担，也应当负起补察时政、泻导人情、学术交流、研究发展的使命。社会日新月异，时代发展变化愈加考验着法治的跟进速度，社会面临的新问题层出不穷，法治不仅要立足于实践，更要有洞悉未来的眼光，笔者经理尚浅，水平难免受限，对很多问题并未探析深入，很多建议也有欠缺，希望领导和老师多加指导，晚辈不胜感激。</w:t>
      </w:r>
    </w:p>
    <w:p>
      <w:pPr>
        <w:widowControl/>
        <w:spacing w:line="360" w:lineRule="auto"/>
        <w:rPr>
          <w:rFonts w:ascii="仿宋_GB2312" w:hAnsi="宋体" w:eastAsia="仿宋_GB2312" w:cs="宋体"/>
          <w:b/>
          <w:bCs/>
          <w:color w:val="000000"/>
          <w:kern w:val="0"/>
          <w:sz w:val="28"/>
          <w:szCs w:val="28"/>
          <w:shd w:val="clear" w:color="auto" w:fill="FFFFFF"/>
        </w:rPr>
      </w:pPr>
    </w:p>
    <w:p>
      <w:pPr>
        <w:widowControl/>
        <w:spacing w:line="360" w:lineRule="auto"/>
        <w:ind w:firstLine="3373" w:firstLineChars="1200"/>
        <w:rPr>
          <w:rFonts w:ascii="仿宋_GB2312" w:hAnsi="宋体" w:eastAsia="仿宋_GB2312" w:cs="宋体"/>
          <w:b/>
          <w:bCs/>
          <w:color w:val="000000"/>
          <w:kern w:val="0"/>
          <w:sz w:val="28"/>
          <w:szCs w:val="28"/>
          <w:shd w:val="clear" w:color="auto" w:fill="FFFFFF"/>
        </w:rPr>
      </w:pPr>
      <w:r>
        <w:rPr>
          <w:rFonts w:hint="eastAsia" w:ascii="仿宋_GB2312" w:hAnsi="宋体" w:eastAsia="仿宋_GB2312" w:cs="宋体"/>
          <w:b/>
          <w:bCs/>
          <w:color w:val="000000"/>
          <w:kern w:val="0"/>
          <w:sz w:val="28"/>
          <w:szCs w:val="28"/>
          <w:shd w:val="clear" w:color="auto" w:fill="FFFFFF"/>
        </w:rPr>
        <w:t>参考文献</w:t>
      </w:r>
    </w:p>
    <w:p>
      <w:pPr>
        <w:widowControl/>
        <w:wordWrap w:val="0"/>
        <w:spacing w:line="360" w:lineRule="auto"/>
        <w:jc w:val="left"/>
        <w:rPr>
          <w:rFonts w:ascii="宋体" w:hAnsi="宋体" w:cs="宋体"/>
          <w:kern w:val="0"/>
          <w:szCs w:val="21"/>
        </w:rPr>
      </w:pPr>
    </w:p>
    <w:p>
      <w:pPr>
        <w:widowControl/>
        <w:wordWrap w:val="0"/>
        <w:spacing w:line="360" w:lineRule="auto"/>
        <w:jc w:val="left"/>
        <w:rPr>
          <w:rStyle w:val="17"/>
          <w:kern w:val="0"/>
          <w:sz w:val="32"/>
          <w:szCs w:val="32"/>
        </w:rPr>
      </w:pPr>
    </w:p>
    <w:p>
      <w:pPr>
        <w:widowControl/>
        <w:numPr>
          <w:ilvl w:val="0"/>
          <w:numId w:val="6"/>
        </w:numPr>
        <w:wordWrap w:val="0"/>
        <w:spacing w:line="360" w:lineRule="auto"/>
        <w:jc w:val="left"/>
        <w:rPr>
          <w:sz w:val="18"/>
        </w:rPr>
      </w:pPr>
      <w:r>
        <w:rPr>
          <w:rFonts w:hint="eastAsia"/>
          <w:sz w:val="18"/>
        </w:rPr>
        <w:t xml:space="preserve"> 详见：澎湃网，政务：全国妇联女性之声 2021-08-11 11:54把遗产全部捐给国家！一对上海母女捐出千万房产。链接：https://m.thepaper.cn/baijiahao_13993970</w:t>
      </w:r>
    </w:p>
    <w:p>
      <w:pPr>
        <w:pStyle w:val="8"/>
      </w:pPr>
      <w:r>
        <w:rPr>
          <w:rFonts w:hint="eastAsia"/>
        </w:rPr>
        <w:t>[2]详见：孟烨. 生前特别赠与及遗产合算制度之构造——以民法典继承编为分析视角[J]. 东方法学, 2021(4):12.</w:t>
      </w:r>
    </w:p>
    <w:p>
      <w:pPr>
        <w:widowControl/>
        <w:wordWrap w:val="0"/>
        <w:spacing w:line="360" w:lineRule="auto"/>
        <w:jc w:val="left"/>
        <w:rPr>
          <w:sz w:val="18"/>
        </w:rPr>
      </w:pPr>
      <w:r>
        <w:rPr>
          <w:rFonts w:hint="eastAsia"/>
          <w:sz w:val="18"/>
        </w:rPr>
        <w:t>[3] 详见：信息时报 | 记者 陈子垤 通讯员 陈远枝 | 2021-08-13 16:29:30【全国约3亿人单身 其中不婚人群占25%】http://wap.xxsb.com/content/2021-08/13/content_159798.html ，2022年5月30日为最后访问日。</w:t>
      </w:r>
    </w:p>
    <w:p>
      <w:pPr>
        <w:widowControl/>
        <w:wordWrap w:val="0"/>
        <w:spacing w:line="360" w:lineRule="auto"/>
        <w:jc w:val="left"/>
        <w:rPr>
          <w:sz w:val="18"/>
        </w:rPr>
      </w:pPr>
      <w:r>
        <w:rPr>
          <w:rFonts w:hint="eastAsia"/>
          <w:sz w:val="18"/>
        </w:rPr>
        <w:t>[4][详见：作者：翟远见，男，中国政法大学比较法学研究院副教授； 关华鹏，男，中国政法大学中意法与罗马法研究中心副研究员。来源：《云南社会科学》2021年第2期，原文责任编辑：陈慧妮。论遗赠的效力。链接：https://mp.weixin.qq.com/s/rPv4KW1kLeLoQUp7mgfDYQ，2022年5月30日为最后访问日。</w:t>
      </w:r>
    </w:p>
    <w:p>
      <w:pPr>
        <w:widowControl/>
        <w:wordWrap w:val="0"/>
        <w:spacing w:line="360" w:lineRule="auto"/>
        <w:jc w:val="left"/>
        <w:rPr>
          <w:sz w:val="18"/>
        </w:rPr>
      </w:pPr>
      <w:r>
        <w:rPr>
          <w:rFonts w:hint="eastAsia"/>
          <w:sz w:val="18"/>
        </w:rPr>
        <w:t>[5]刘南征, 张佩霖. 遗赠扶养协议初探[J]. 法学研究, 1985(3):5.</w:t>
      </w:r>
    </w:p>
    <w:p>
      <w:pPr>
        <w:widowControl/>
        <w:wordWrap w:val="0"/>
        <w:spacing w:line="360" w:lineRule="auto"/>
        <w:jc w:val="left"/>
        <w:rPr>
          <w:sz w:val="18"/>
        </w:rPr>
      </w:pPr>
      <w:r>
        <w:rPr>
          <w:rFonts w:hint="eastAsia"/>
          <w:sz w:val="18"/>
        </w:rPr>
        <w:t>[6]魏琦宗. 我国遗赠扶养协议研究[D].江南大学,2021.DOI:10.27169/d.cnki.gwqgu.2021.000302.</w:t>
      </w:r>
    </w:p>
    <w:p>
      <w:pPr>
        <w:widowControl/>
        <w:wordWrap w:val="0"/>
        <w:spacing w:line="360" w:lineRule="auto"/>
        <w:jc w:val="left"/>
        <w:rPr>
          <w:sz w:val="18"/>
        </w:rPr>
      </w:pPr>
      <w:r>
        <w:rPr>
          <w:rFonts w:hint="eastAsia"/>
          <w:sz w:val="18"/>
        </w:rPr>
        <w:t>[7]吴国平,吴锟.论我国大陆地区遗赠主体制度的立法完善——以海峡两岸法律制度比较为视角[J].海峡法学,2013,15(01):46-51.</w:t>
      </w:r>
    </w:p>
    <w:p>
      <w:pPr>
        <w:widowControl/>
        <w:wordWrap w:val="0"/>
        <w:spacing w:line="360" w:lineRule="auto"/>
        <w:jc w:val="left"/>
        <w:rPr>
          <w:sz w:val="18"/>
        </w:rPr>
      </w:pPr>
      <w:r>
        <w:rPr>
          <w:rFonts w:hint="eastAsia"/>
          <w:sz w:val="18"/>
        </w:rPr>
        <w:t>[8]鲁瀚阳.试论我国遗赠扶养协议制度功能的扩张——以继承合同制度的引进与本土化改造为视角[J].山西青年,2017(04):1-3.</w:t>
      </w:r>
    </w:p>
    <w:p>
      <w:pPr>
        <w:pStyle w:val="8"/>
      </w:pPr>
      <w:r>
        <w:rPr>
          <w:rFonts w:hint="eastAsia"/>
        </w:rPr>
        <w:t>[9]详见： 《</w:t>
      </w:r>
      <w:r>
        <w:fldChar w:fldCharType="begin"/>
      </w:r>
      <w:r>
        <w:instrText xml:space="preserve"> HYPERLINK "https://kns.cnki.net/kns8/Detail?sfield=fn&amp;QueryID=68&amp;CurRec=3&amp;DbCode=CMFD&amp;dbname=CMFDTEMP&amp;filename=1021602133.nh" \t "https://kns.cnki.net/kns8/Brief/_blank" </w:instrText>
      </w:r>
      <w:r>
        <w:fldChar w:fldCharType="separate"/>
      </w:r>
      <w:r>
        <w:rPr>
          <w:rFonts w:hint="eastAsia"/>
        </w:rPr>
        <w:t>继承合同制度研究</w:t>
      </w:r>
      <w:r>
        <w:rPr>
          <w:rFonts w:hint="eastAsia"/>
        </w:rPr>
        <w:fldChar w:fldCharType="end"/>
      </w:r>
      <w:r>
        <w:rPr>
          <w:rFonts w:hint="eastAsia"/>
        </w:rPr>
        <w:t>》，</w:t>
      </w:r>
      <w:r>
        <w:fldChar w:fldCharType="begin"/>
      </w:r>
      <w:r>
        <w:instrText xml:space="preserve"> HYPERLINK "https://kns.cnki.net/kns8/Detail?sdb=CDMD&amp;sfield=%e4%bd%9c%e8%80%85&amp;skey=%e5%88%98%e5%ae%97%e8%90%8d&amp;scode=000048037222" \t "https://kns.cnki.net/kns8/Brief/knet" </w:instrText>
      </w:r>
      <w:r>
        <w:fldChar w:fldCharType="separate"/>
      </w:r>
      <w:r>
        <w:rPr>
          <w:rFonts w:hint="eastAsia"/>
        </w:rPr>
        <w:t>刘宗萍</w:t>
      </w:r>
      <w:r>
        <w:rPr>
          <w:rFonts w:hint="eastAsia"/>
        </w:rPr>
        <w:fldChar w:fldCharType="end"/>
      </w:r>
      <w:r>
        <w:rPr>
          <w:rFonts w:hint="eastAsia"/>
        </w:rPr>
        <w:t>，西南政法大学。知网：文献来源：西南政法大学 2021.</w:t>
      </w:r>
    </w:p>
    <w:p>
      <w:pPr>
        <w:pStyle w:val="8"/>
      </w:pPr>
      <w:r>
        <w:rPr>
          <w:rFonts w:hint="eastAsia"/>
        </w:rPr>
        <w:t>2022年5月30日为最后访问日。</w:t>
      </w:r>
    </w:p>
    <w:p>
      <w:pPr>
        <w:widowControl/>
        <w:numPr>
          <w:ilvl w:val="0"/>
          <w:numId w:val="7"/>
        </w:numPr>
        <w:wordWrap w:val="0"/>
        <w:spacing w:line="360" w:lineRule="auto"/>
        <w:jc w:val="left"/>
        <w:rPr>
          <w:sz w:val="18"/>
        </w:rPr>
      </w:pPr>
      <w:r>
        <w:rPr>
          <w:rFonts w:hint="eastAsia"/>
          <w:sz w:val="18"/>
        </w:rPr>
        <w:t>冯巾纺.继承权公证对保留遗产份额现象的认定与处理[J].中国公证,2009(01):52-53.</w:t>
      </w:r>
    </w:p>
    <w:p>
      <w:pPr>
        <w:widowControl/>
        <w:numPr>
          <w:ilvl w:val="0"/>
          <w:numId w:val="7"/>
        </w:numPr>
        <w:wordWrap w:val="0"/>
        <w:spacing w:line="360" w:lineRule="auto"/>
        <w:jc w:val="left"/>
        <w:rPr>
          <w:sz w:val="18"/>
        </w:rPr>
      </w:pPr>
      <w:r>
        <w:rPr>
          <w:rFonts w:hint="eastAsia"/>
          <w:sz w:val="18"/>
        </w:rPr>
        <w:t>李贝.民法典继承编引入“特留份”制度的合理性追问——兼论现有“必留份”制度之完善[J].法学家,2019(03):83-95+193.DOI:10.16094/j.cnki.1005-0221.2019.03.007.</w:t>
      </w:r>
    </w:p>
    <w:p>
      <w:pPr>
        <w:widowControl/>
        <w:numPr>
          <w:ilvl w:val="0"/>
          <w:numId w:val="7"/>
        </w:numPr>
        <w:wordWrap w:val="0"/>
        <w:spacing w:line="360" w:lineRule="auto"/>
        <w:jc w:val="left"/>
        <w:rPr>
          <w:sz w:val="18"/>
        </w:rPr>
      </w:pPr>
      <w:r>
        <w:rPr>
          <w:rFonts w:hint="eastAsia"/>
          <w:sz w:val="18"/>
        </w:rPr>
        <w:t>全国法院系统第三十三届学术论文会征文：分类对待：社会主义核心价值观融入民事裁判思维的二元模式——基于“规则考量”与“后果考量”的界分，成都市武侯区人民法院唐楠栋。</w:t>
      </w:r>
    </w:p>
    <w:p>
      <w:pPr>
        <w:widowControl/>
        <w:numPr>
          <w:ilvl w:val="0"/>
          <w:numId w:val="7"/>
        </w:numPr>
        <w:wordWrap w:val="0"/>
        <w:spacing w:line="360" w:lineRule="auto"/>
        <w:jc w:val="left"/>
        <w:rPr>
          <w:sz w:val="18"/>
        </w:rPr>
      </w:pPr>
      <w:r>
        <w:rPr>
          <w:rFonts w:hint="eastAsia"/>
          <w:sz w:val="18"/>
        </w:rPr>
        <w:t>如何构建我国多元的养老金融体系，https://mp.weixin.qq.com/s/h7iMHOPQzrgdWv-OJg9d6g</w:t>
      </w:r>
    </w:p>
    <w:p>
      <w:pPr>
        <w:widowControl/>
        <w:wordWrap w:val="0"/>
        <w:spacing w:line="360" w:lineRule="auto"/>
        <w:jc w:val="left"/>
        <w:rPr>
          <w:sz w:val="18"/>
        </w:rPr>
      </w:pPr>
    </w:p>
    <w:p>
      <w:pPr>
        <w:widowControl/>
        <w:spacing w:line="360" w:lineRule="auto"/>
        <w:rPr>
          <w:rFonts w:ascii="仿宋_GB2312" w:hAnsi="宋体" w:eastAsia="仿宋_GB2312" w:cs="宋体"/>
          <w:b/>
          <w:bCs/>
          <w:color w:val="000000"/>
          <w:kern w:val="0"/>
          <w:sz w:val="28"/>
          <w:szCs w:val="28"/>
          <w:shd w:val="clear" w:color="auto" w:fill="FFFFFF"/>
        </w:rPr>
      </w:pPr>
    </w:p>
    <w:p>
      <w:pPr>
        <w:widowControl/>
        <w:spacing w:line="360" w:lineRule="auto"/>
        <w:rPr>
          <w:rFonts w:ascii="仿宋_GB2312" w:hAnsi="宋体" w:eastAsia="仿宋_GB2312" w:cs="宋体"/>
          <w:b/>
          <w:bCs/>
          <w:color w:val="000000"/>
          <w:kern w:val="0"/>
          <w:sz w:val="28"/>
          <w:szCs w:val="28"/>
          <w:shd w:val="clear" w:color="auto" w:fill="FFFFFF"/>
        </w:rPr>
      </w:pPr>
    </w:p>
    <w:p>
      <w:pPr>
        <w:widowControl/>
        <w:spacing w:line="360" w:lineRule="auto"/>
        <w:rPr>
          <w:rFonts w:ascii="仿宋_GB2312" w:hAnsi="宋体" w:eastAsia="仿宋_GB2312" w:cs="宋体"/>
          <w:b/>
          <w:bCs/>
          <w:color w:val="000000"/>
          <w:kern w:val="0"/>
          <w:sz w:val="28"/>
          <w:szCs w:val="28"/>
          <w:shd w:val="clear" w:color="auto" w:fill="FFFFFF"/>
        </w:rPr>
      </w:pPr>
    </w:p>
    <w:p>
      <w:pPr>
        <w:widowControl/>
        <w:spacing w:line="360" w:lineRule="auto"/>
        <w:ind w:firstLine="3373" w:firstLineChars="1200"/>
        <w:rPr>
          <w:rFonts w:ascii="仿宋_GB2312" w:hAnsi="宋体" w:eastAsia="仿宋_GB2312" w:cs="宋体"/>
          <w:b/>
          <w:bCs/>
          <w:color w:val="000000"/>
          <w:kern w:val="0"/>
          <w:sz w:val="28"/>
          <w:szCs w:val="28"/>
          <w:shd w:val="clear" w:color="auto" w:fill="FFFFFF"/>
        </w:rPr>
      </w:pPr>
      <w:r>
        <w:rPr>
          <w:rFonts w:hint="eastAsia" w:ascii="仿宋_GB2312" w:hAnsi="宋体" w:eastAsia="仿宋_GB2312" w:cs="宋体"/>
          <w:b/>
          <w:bCs/>
          <w:color w:val="000000"/>
          <w:kern w:val="0"/>
          <w:sz w:val="28"/>
          <w:szCs w:val="28"/>
          <w:shd w:val="clear" w:color="auto" w:fill="FFFFFF"/>
        </w:rPr>
        <w:t>致 谢 词</w:t>
      </w:r>
    </w:p>
    <w:p>
      <w:pPr>
        <w:ind w:firstLine="560" w:firstLineChars="200"/>
        <w:rPr>
          <w:rFonts w:ascii="仿宋_GB2312" w:hAnsi="宋体" w:eastAsia="仿宋_GB2312" w:cs="宋体"/>
          <w:color w:val="000000"/>
          <w:kern w:val="0"/>
          <w:sz w:val="28"/>
          <w:szCs w:val="28"/>
          <w:shd w:val="clear" w:color="auto" w:fill="FFFFFF"/>
        </w:rPr>
      </w:pPr>
    </w:p>
    <w:p>
      <w:pPr>
        <w:ind w:firstLine="560" w:firstLineChars="200"/>
        <w:rPr>
          <w:rFonts w:ascii="仿宋_GB2312" w:hAnsi="宋体" w:eastAsia="仿宋_GB2312" w:cs="宋体"/>
          <w:color w:val="000000"/>
          <w:kern w:val="0"/>
          <w:sz w:val="28"/>
          <w:szCs w:val="28"/>
          <w:shd w:val="clear" w:color="auto" w:fill="FFFFFF"/>
        </w:rPr>
        <w:sectPr>
          <w:footerReference r:id="rId4" w:type="default"/>
          <w:footnotePr>
            <w:numFmt w:val="decimalEnclosedCircleChinese"/>
          </w:footnotePr>
          <w:pgSz w:w="11906" w:h="16838"/>
          <w:pgMar w:top="1440" w:right="1800" w:bottom="1440" w:left="1800" w:header="851" w:footer="992" w:gutter="0"/>
          <w:pgNumType w:fmt="numberInDash" w:start="1"/>
          <w:cols w:space="720" w:num="1"/>
          <w:docGrid w:type="lines" w:linePitch="312" w:charSpace="0"/>
        </w:sectPr>
      </w:pPr>
      <w:r>
        <w:rPr>
          <w:rFonts w:hint="eastAsia" w:ascii="仿宋_GB2312" w:hAnsi="宋体" w:eastAsia="仿宋_GB2312" w:cs="宋体"/>
          <w:color w:val="000000"/>
          <w:kern w:val="0"/>
          <w:sz w:val="28"/>
          <w:szCs w:val="28"/>
          <w:shd w:val="clear" w:color="auto" w:fill="FFFFFF"/>
        </w:rPr>
        <w:t>非常感谢上级领导给我们自我学术研究水平的机会，给我们展示和发挥的平台，我也从中更详细的了解到社会主义核心价值观对法治建设的重要性以及自己作为政法工作者以后要选择的方向，紧跟党的理论建设，提升自我学术水平，丰富自身文化内涵。同时，也向向审阅我论文的领导、老师们表示衷心的感谢，感谢你们对论文的不当之处提出宝贵的意见和建议。</w:t>
      </w:r>
    </w:p>
    <w:p>
      <w:pPr>
        <w:rPr>
          <w:rFonts w:ascii="仿宋_GB2312" w:hAnsi="宋体" w:eastAsia="仿宋_GB2312" w:cs="宋体"/>
          <w:color w:val="000000"/>
          <w:kern w:val="0"/>
          <w:sz w:val="28"/>
          <w:szCs w:val="28"/>
          <w:shd w:val="clear" w:color="auto" w:fill="FFFFFF"/>
        </w:rPr>
      </w:pPr>
    </w:p>
    <w:sectPr>
      <w:footerReference r:id="rId5"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6">
    <w:p>
      <w:r>
        <w:separator/>
      </w:r>
    </w:p>
  </w:footnote>
  <w:footnote w:type="continuationSeparator" w:id="27">
    <w:p>
      <w:r>
        <w:continuationSeparator/>
      </w:r>
    </w:p>
  </w:footnote>
  <w:footnote w:id="0">
    <w:p>
      <w:pPr>
        <w:pStyle w:val="8"/>
        <w:snapToGrid w:val="0"/>
      </w:pPr>
      <w:r>
        <w:rPr>
          <w:rStyle w:val="17"/>
        </w:rPr>
        <w:footnoteRef/>
      </w:r>
      <w:r>
        <w:rPr>
          <w:rFonts w:hint="eastAsia"/>
        </w:rPr>
        <w:t>详见：澎湃网，政务：全国妇联女性之声 2021-08-11 11:54把遗产全部捐给国家！一对上海母女捐出千万房产。链接：https://m.thepaper.cn/baijiahao_13993970</w:t>
      </w:r>
    </w:p>
  </w:footnote>
  <w:footnote w:id="1">
    <w:p>
      <w:pPr>
        <w:pStyle w:val="8"/>
      </w:pPr>
      <w:r>
        <w:rPr>
          <w:rStyle w:val="17"/>
        </w:rPr>
        <w:footnoteRef/>
      </w:r>
      <w:r>
        <w:rPr>
          <w:rFonts w:hint="eastAsia"/>
        </w:rPr>
        <w:t>详见：孟烨. 生前特别赠与及遗产合算制度之构造——以民法典继承编为分析视角[J]. 东方法学, 2021(4):12.</w:t>
      </w:r>
    </w:p>
    <w:p>
      <w:pPr>
        <w:pStyle w:val="8"/>
      </w:pPr>
    </w:p>
  </w:footnote>
  <w:footnote w:id="2">
    <w:p>
      <w:pPr>
        <w:pStyle w:val="8"/>
      </w:pPr>
      <w:r>
        <w:rPr>
          <w:rStyle w:val="17"/>
        </w:rPr>
        <w:footnoteRef/>
      </w:r>
      <w:r>
        <w:rPr>
          <w:rFonts w:hint="eastAsia"/>
        </w:rPr>
        <w:t>详见：</w:t>
      </w:r>
      <w:r>
        <w:t>信息时报 | 记者 陈子垤 通讯员 陈远枝 | 2021-08-13 16:29:30【全国约3亿人单身 其中不婚人群占25%】http://wap.xxsb.com/content/2021-08/13/content_159798.html</w:t>
      </w:r>
      <w:r>
        <w:rPr>
          <w:rFonts w:hint="eastAsia"/>
        </w:rPr>
        <w:t>，2022年5月30日为最后访问日。</w:t>
      </w:r>
    </w:p>
    <w:p>
      <w:pPr>
        <w:pStyle w:val="8"/>
      </w:pPr>
    </w:p>
  </w:footnote>
  <w:footnote w:id="3">
    <w:p>
      <w:pPr>
        <w:pStyle w:val="8"/>
      </w:pPr>
      <w:r>
        <w:rPr>
          <w:rStyle w:val="17"/>
        </w:rPr>
        <w:footnoteRef/>
      </w:r>
      <w:r>
        <w:t xml:space="preserve">  关于遗赠法的理论来源问题[详见:作者:中国社会科学院研究生院翟远见教授,男,北京大学中国政法大学中国社会科学院比较文化法学研究院教授副教授; 关华鹏学者,男,中国政法大学中国政法大学北京大学中意古法史与欧洲罗马法比较研究中心副研究员。来源:效力内涵却要几经嬗变。</w:t>
      </w:r>
    </w:p>
    <w:p>
      <w:pPr>
        <w:pStyle w:val="8"/>
      </w:pPr>
    </w:p>
    <w:p>
      <w:pPr>
        <w:pStyle w:val="8"/>
      </w:pPr>
    </w:p>
  </w:footnote>
  <w:footnote w:id="4">
    <w:p>
      <w:pPr>
        <w:pStyle w:val="8"/>
      </w:pPr>
      <w:r>
        <w:rPr>
          <w:rStyle w:val="17"/>
        </w:rPr>
        <w:footnoteRef/>
      </w:r>
      <w:r>
        <w:rPr>
          <w:rFonts w:hint="eastAsia"/>
        </w:rPr>
        <w:t>刘南征, 张佩霖. 遗赠扶养协议初探[J]. 法学研究, 1985(3):5.</w:t>
      </w:r>
    </w:p>
  </w:footnote>
  <w:footnote w:id="5">
    <w:p>
      <w:pPr>
        <w:pStyle w:val="8"/>
      </w:pPr>
      <w:r>
        <w:rPr>
          <w:rStyle w:val="17"/>
        </w:rPr>
        <w:footnoteRef/>
      </w:r>
      <w:r>
        <w:t>魏琦宗. 我国遗赠扶养协议研究[D].江南大学,2021.DOI:10.27169/d.cnki.gwqgu.2021.000302.</w:t>
      </w:r>
    </w:p>
  </w:footnote>
  <w:footnote w:id="6">
    <w:p>
      <w:pPr>
        <w:pStyle w:val="8"/>
      </w:pPr>
      <w:r>
        <w:rPr>
          <w:rStyle w:val="17"/>
        </w:rPr>
        <w:footnoteRef/>
      </w:r>
      <w:r>
        <w:t xml:space="preserve"> 吴国平,吴锟.论我国大陆地区遗赠主体制度的立法完善——以海峡两岸法律制度比较为视角[J].海峡法学,2013,15(01):46-51.</w:t>
      </w:r>
    </w:p>
  </w:footnote>
  <w:footnote w:id="7">
    <w:p>
      <w:pPr>
        <w:spacing w:before="240" w:after="240"/>
        <w:rPr>
          <w:sz w:val="18"/>
        </w:rPr>
      </w:pPr>
      <w:r>
        <w:rPr>
          <w:rStyle w:val="17"/>
        </w:rPr>
        <w:footnoteRef/>
      </w:r>
      <w:r>
        <w:rPr>
          <w:rFonts w:hint="eastAsia"/>
          <w:sz w:val="18"/>
        </w:rPr>
        <w:t>[鲁瀚阳.试论近年来我国继遗赠扶养协议合同制度功能领域的快速扩张——本文以国外继承抚养费合同制度理念的国外引进研究与制度本土化的改造创新为视角[J].山西青年,017(04):1-3.]维护三方权益</w:t>
      </w:r>
    </w:p>
    <w:p>
      <w:pPr>
        <w:pStyle w:val="8"/>
      </w:pPr>
    </w:p>
  </w:footnote>
  <w:footnote w:id="8">
    <w:p>
      <w:pPr>
        <w:pStyle w:val="8"/>
      </w:pPr>
      <w:r>
        <w:rPr>
          <w:rStyle w:val="17"/>
        </w:rPr>
        <w:footnoteRef/>
      </w:r>
      <w:r>
        <w:rPr>
          <w:rFonts w:hint="eastAsia"/>
        </w:rPr>
        <w:t>详见： 《</w:t>
      </w:r>
      <w:r>
        <w:fldChar w:fldCharType="begin"/>
      </w:r>
      <w:r>
        <w:instrText xml:space="preserve"> HYPERLINK "https://kns.cnki.net/kns8/Detail?sfield=fn&amp;QueryID=68&amp;CurRec=3&amp;DbCode=CMFD&amp;dbname=CMFDTEMP&amp;filename=1021602133.nh" \t "https://kns.cnki.net/kns8/Brief/_blank" </w:instrText>
      </w:r>
      <w:r>
        <w:fldChar w:fldCharType="separate"/>
      </w:r>
      <w:r>
        <w:rPr>
          <w:rFonts w:hint="eastAsia"/>
        </w:rPr>
        <w:t>继承合同制度研究</w:t>
      </w:r>
      <w:r>
        <w:rPr>
          <w:rFonts w:hint="eastAsia"/>
        </w:rPr>
        <w:fldChar w:fldCharType="end"/>
      </w:r>
      <w:r>
        <w:rPr>
          <w:rFonts w:hint="eastAsia"/>
        </w:rPr>
        <w:t>》，</w:t>
      </w:r>
      <w:r>
        <w:fldChar w:fldCharType="begin"/>
      </w:r>
      <w:r>
        <w:instrText xml:space="preserve"> HYPERLINK "https://kns.cnki.net/kns8/Detail?sdb=CDMD&amp;sfield=%e4%bd%9c%e8%80%85&amp;skey=%e5%88%98%e5%ae%97%e8%90%8d&amp;scode=000048037222" \t "https://kns.cnki.net/kns8/Brief/knet" </w:instrText>
      </w:r>
      <w:r>
        <w:fldChar w:fldCharType="separate"/>
      </w:r>
      <w:r>
        <w:rPr>
          <w:rFonts w:hint="eastAsia"/>
        </w:rPr>
        <w:t>刘宗萍</w:t>
      </w:r>
      <w:r>
        <w:rPr>
          <w:rFonts w:hint="eastAsia"/>
        </w:rPr>
        <w:fldChar w:fldCharType="end"/>
      </w:r>
      <w:r>
        <w:rPr>
          <w:rFonts w:hint="eastAsia"/>
        </w:rPr>
        <w:t>，西南政法大学。知网：文献来源：西南政法大学 2021.</w:t>
      </w:r>
    </w:p>
    <w:p>
      <w:pPr>
        <w:pStyle w:val="8"/>
      </w:pPr>
      <w:r>
        <w:rPr>
          <w:rFonts w:hint="eastAsia"/>
        </w:rPr>
        <w:t>2022年5月30日为最后访问日。</w:t>
      </w:r>
    </w:p>
    <w:p>
      <w:pPr>
        <w:pStyle w:val="8"/>
      </w:pPr>
    </w:p>
  </w:footnote>
  <w:footnote w:id="9">
    <w:p>
      <w:pPr>
        <w:pStyle w:val="8"/>
      </w:pPr>
      <w:r>
        <w:rPr>
          <w:rStyle w:val="17"/>
        </w:rPr>
        <w:footnoteRef/>
      </w:r>
      <w:r>
        <w:t xml:space="preserve"> 冯巾纺.继承权公证对保留遗产份额现象的认定与处理[J].中国公证,2009(01):52-53.</w:t>
      </w:r>
    </w:p>
  </w:footnote>
  <w:footnote w:id="10">
    <w:p>
      <w:pPr>
        <w:pStyle w:val="8"/>
      </w:pPr>
      <w:r>
        <w:rPr>
          <w:rStyle w:val="17"/>
        </w:rPr>
        <w:footnoteRef/>
      </w:r>
      <w:r>
        <w:t xml:space="preserve"> 李贝.民法典继承编引入“特留份”制度的合理性追问——兼论现有“必留份”制度之完善[J].法学家,2019(03):83-95+193.DOI:10.16094/j.cnki.1005-0221.2019.03.007.</w:t>
      </w:r>
    </w:p>
  </w:footnote>
  <w:footnote w:id="11">
    <w:p>
      <w:pPr>
        <w:pStyle w:val="8"/>
      </w:pPr>
      <w:r>
        <w:rPr>
          <w:rStyle w:val="17"/>
        </w:rPr>
        <w:footnoteRef/>
      </w:r>
      <w:r>
        <w:rPr>
          <w:rFonts w:hint="eastAsia"/>
        </w:rPr>
        <w:t>全国法院系统第三十三届学术论文会征文：分类对待：社会主义核心价值观融入民事裁判思维的二元模式——基于“规则考量”与“后果考量”的界分，成都市武侯区人民法院唐楠栋。</w:t>
      </w:r>
    </w:p>
  </w:footnote>
  <w:footnote w:id="12">
    <w:p>
      <w:pPr>
        <w:pStyle w:val="8"/>
      </w:pPr>
      <w:r>
        <w:rPr>
          <w:rStyle w:val="17"/>
        </w:rPr>
        <w:footnoteRef/>
      </w:r>
      <w:r>
        <w:rPr>
          <w:rFonts w:hint="eastAsia"/>
        </w:rPr>
        <w:t>如何构建我国多元的养老金融体系，https://mp.weixin.qq.com/s/h7iMHOPQzrgdWv-OJg9d6g</w:t>
      </w:r>
    </w:p>
    <w:p>
      <w:pPr>
        <w:pStyle w:val="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2707EB"/>
    <w:multiLevelType w:val="singleLevel"/>
    <w:tmpl w:val="9A2707EB"/>
    <w:lvl w:ilvl="0" w:tentative="0">
      <w:start w:val="1"/>
      <w:numFmt w:val="chineseCounting"/>
      <w:suff w:val="nothing"/>
      <w:lvlText w:val="（%1）"/>
      <w:lvlJc w:val="left"/>
      <w:rPr>
        <w:rFonts w:hint="eastAsia"/>
      </w:rPr>
    </w:lvl>
  </w:abstractNum>
  <w:abstractNum w:abstractNumId="1">
    <w:nsid w:val="DE61FBAE"/>
    <w:multiLevelType w:val="singleLevel"/>
    <w:tmpl w:val="DE61FBAE"/>
    <w:lvl w:ilvl="0" w:tentative="0">
      <w:start w:val="10"/>
      <w:numFmt w:val="decimal"/>
      <w:lvlText w:val="[%1]"/>
      <w:lvlJc w:val="left"/>
      <w:pPr>
        <w:tabs>
          <w:tab w:val="left" w:pos="312"/>
        </w:tabs>
      </w:pPr>
    </w:lvl>
  </w:abstractNum>
  <w:abstractNum w:abstractNumId="2">
    <w:nsid w:val="E3B5934C"/>
    <w:multiLevelType w:val="singleLevel"/>
    <w:tmpl w:val="E3B5934C"/>
    <w:lvl w:ilvl="0" w:tentative="0">
      <w:start w:val="1"/>
      <w:numFmt w:val="decimal"/>
      <w:suff w:val="space"/>
      <w:lvlText w:val="[%1]"/>
      <w:lvlJc w:val="left"/>
    </w:lvl>
  </w:abstractNum>
  <w:abstractNum w:abstractNumId="3">
    <w:nsid w:val="0BC72EB3"/>
    <w:multiLevelType w:val="singleLevel"/>
    <w:tmpl w:val="0BC72EB3"/>
    <w:lvl w:ilvl="0" w:tentative="0">
      <w:start w:val="2"/>
      <w:numFmt w:val="chineseCounting"/>
      <w:suff w:val="nothing"/>
      <w:lvlText w:val="%1、"/>
      <w:lvlJc w:val="left"/>
      <w:rPr>
        <w:rFonts w:hint="eastAsia"/>
      </w:rPr>
    </w:lvl>
  </w:abstractNum>
  <w:abstractNum w:abstractNumId="4">
    <w:nsid w:val="35D12FF5"/>
    <w:multiLevelType w:val="singleLevel"/>
    <w:tmpl w:val="35D12FF5"/>
    <w:lvl w:ilvl="0" w:tentative="0">
      <w:start w:val="2"/>
      <w:numFmt w:val="chineseCounting"/>
      <w:suff w:val="nothing"/>
      <w:lvlText w:val="（%1）"/>
      <w:lvlJc w:val="left"/>
      <w:rPr>
        <w:rFonts w:hint="eastAsia"/>
      </w:rPr>
    </w:lvl>
  </w:abstractNum>
  <w:abstractNum w:abstractNumId="5">
    <w:nsid w:val="4F6F6359"/>
    <w:multiLevelType w:val="singleLevel"/>
    <w:tmpl w:val="4F6F6359"/>
    <w:lvl w:ilvl="0" w:tentative="0">
      <w:start w:val="1"/>
      <w:numFmt w:val="decimal"/>
      <w:suff w:val="nothing"/>
      <w:lvlText w:val="%1、"/>
      <w:lvlJc w:val="left"/>
      <w:pPr>
        <w:ind w:left="-140"/>
      </w:pPr>
    </w:lvl>
  </w:abstractNum>
  <w:abstractNum w:abstractNumId="6">
    <w:nsid w:val="7FBA671E"/>
    <w:multiLevelType w:val="multilevel"/>
    <w:tmpl w:val="7FBA671E"/>
    <w:lvl w:ilvl="0" w:tentative="0">
      <w:start w:val="1"/>
      <w:numFmt w:val="upperLetter"/>
      <w:pStyle w:val="18"/>
      <w:suff w:val="nothing"/>
      <w:lvlText w:val="附　录　%1"/>
      <w:lvlJc w:val="left"/>
      <w:pPr>
        <w:ind w:left="4320" w:firstLine="0"/>
      </w:pPr>
      <w:rPr>
        <w:rFonts w:hint="eastAsia" w:ascii="黑体" w:hAnsi="Times New Roman" w:eastAsia="黑体"/>
        <w:b w:val="0"/>
        <w:i w:val="0"/>
        <w:sz w:val="21"/>
      </w:rPr>
    </w:lvl>
    <w:lvl w:ilvl="1" w:tentative="0">
      <w:start w:val="1"/>
      <w:numFmt w:val="decimal"/>
      <w:suff w:val="nothing"/>
      <w:lvlText w:val="%1.%2　"/>
      <w:lvlJc w:val="left"/>
      <w:pPr>
        <w:ind w:left="432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4320" w:firstLine="0"/>
      </w:pPr>
      <w:rPr>
        <w:rFonts w:hint="eastAsia" w:ascii="黑体" w:hAnsi="Times New Roman" w:eastAsia="黑体"/>
        <w:b w:val="0"/>
        <w:i w:val="0"/>
        <w:sz w:val="21"/>
      </w:rPr>
    </w:lvl>
    <w:lvl w:ilvl="3" w:tentative="0">
      <w:start w:val="1"/>
      <w:numFmt w:val="decimal"/>
      <w:suff w:val="nothing"/>
      <w:lvlText w:val="%1.%2.%3.%4　"/>
      <w:lvlJc w:val="left"/>
      <w:pPr>
        <w:ind w:left="4320" w:firstLine="0"/>
      </w:pPr>
      <w:rPr>
        <w:rFonts w:hint="eastAsia" w:ascii="黑体" w:hAnsi="Times New Roman" w:eastAsia="黑体"/>
        <w:b w:val="0"/>
        <w:i w:val="0"/>
        <w:sz w:val="21"/>
      </w:rPr>
    </w:lvl>
    <w:lvl w:ilvl="4" w:tentative="0">
      <w:start w:val="1"/>
      <w:numFmt w:val="decimal"/>
      <w:suff w:val="nothing"/>
      <w:lvlText w:val="%1.%2.%3.%4.%5　"/>
      <w:lvlJc w:val="left"/>
      <w:pPr>
        <w:ind w:left="4320" w:firstLine="0"/>
      </w:pPr>
      <w:rPr>
        <w:rFonts w:hint="eastAsia" w:ascii="黑体" w:hAnsi="Times New Roman" w:eastAsia="黑体"/>
        <w:b w:val="0"/>
        <w:i w:val="0"/>
        <w:sz w:val="21"/>
      </w:rPr>
    </w:lvl>
    <w:lvl w:ilvl="5" w:tentative="0">
      <w:start w:val="1"/>
      <w:numFmt w:val="decimal"/>
      <w:suff w:val="nothing"/>
      <w:lvlText w:val="%1.%2.%3.%4.%5.%6　"/>
      <w:lvlJc w:val="left"/>
      <w:pPr>
        <w:ind w:left="4320" w:firstLine="0"/>
      </w:pPr>
      <w:rPr>
        <w:rFonts w:hint="eastAsia" w:ascii="黑体" w:hAnsi="Times New Roman" w:eastAsia="黑体"/>
        <w:b w:val="0"/>
        <w:i w:val="0"/>
        <w:sz w:val="21"/>
      </w:rPr>
    </w:lvl>
    <w:lvl w:ilvl="6" w:tentative="0">
      <w:start w:val="1"/>
      <w:numFmt w:val="decimal"/>
      <w:suff w:val="nothing"/>
      <w:lvlText w:val="%1.%2.%3.%4.%5.%6.%7　"/>
      <w:lvlJc w:val="left"/>
      <w:pPr>
        <w:ind w:left="4320" w:firstLine="0"/>
      </w:pPr>
      <w:rPr>
        <w:rFonts w:hint="eastAsia" w:ascii="黑体" w:hAnsi="Times New Roman" w:eastAsia="黑体"/>
        <w:b w:val="0"/>
        <w:i w:val="0"/>
        <w:sz w:val="21"/>
      </w:rPr>
    </w:lvl>
    <w:lvl w:ilvl="7" w:tentative="0">
      <w:start w:val="1"/>
      <w:numFmt w:val="decimal"/>
      <w:lvlText w:val="%1.%2.%3.%4.%5.%6.%7.%8"/>
      <w:lvlJc w:val="left"/>
      <w:pPr>
        <w:tabs>
          <w:tab w:val="left" w:pos="8714"/>
        </w:tabs>
        <w:ind w:left="8714" w:hanging="1418"/>
      </w:pPr>
      <w:rPr>
        <w:rFonts w:hint="eastAsia"/>
      </w:rPr>
    </w:lvl>
    <w:lvl w:ilvl="8" w:tentative="0">
      <w:start w:val="1"/>
      <w:numFmt w:val="decimal"/>
      <w:lvlText w:val="%1.%2.%3.%4.%5.%6.%7.%8.%9"/>
      <w:lvlJc w:val="left"/>
      <w:pPr>
        <w:tabs>
          <w:tab w:val="left" w:pos="9422"/>
        </w:tabs>
        <w:ind w:left="9422" w:hanging="1700"/>
      </w:pPr>
      <w:rPr>
        <w:rFonts w:hint="eastAsia"/>
      </w:rPr>
    </w:lvl>
  </w:abstractNum>
  <w:num w:numId="1">
    <w:abstractNumId w:val="6"/>
  </w:num>
  <w:num w:numId="2">
    <w:abstractNumId w:val="4"/>
  </w:num>
  <w:num w:numId="3">
    <w:abstractNumId w:val="3"/>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footnotePr>
    <w:numFmt w:val="decimalEnclosedCircleChinese"/>
    <w:footnote w:id="26"/>
    <w:footnote w:id="2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30E"/>
    <w:rsid w:val="00013549"/>
    <w:rsid w:val="0009036F"/>
    <w:rsid w:val="002645F4"/>
    <w:rsid w:val="0031396D"/>
    <w:rsid w:val="00367204"/>
    <w:rsid w:val="003900DC"/>
    <w:rsid w:val="003A335B"/>
    <w:rsid w:val="004715FB"/>
    <w:rsid w:val="00553DAD"/>
    <w:rsid w:val="0058512E"/>
    <w:rsid w:val="00617C0C"/>
    <w:rsid w:val="00704E7B"/>
    <w:rsid w:val="00817AB1"/>
    <w:rsid w:val="00863ED1"/>
    <w:rsid w:val="00871A17"/>
    <w:rsid w:val="00951859"/>
    <w:rsid w:val="00AD22C8"/>
    <w:rsid w:val="00BC2E03"/>
    <w:rsid w:val="00BF5C34"/>
    <w:rsid w:val="00CC530E"/>
    <w:rsid w:val="00D04D2B"/>
    <w:rsid w:val="00D35778"/>
    <w:rsid w:val="00D70C03"/>
    <w:rsid w:val="00E13CAD"/>
    <w:rsid w:val="00F26C0E"/>
    <w:rsid w:val="00F77967"/>
    <w:rsid w:val="01055BCD"/>
    <w:rsid w:val="01176777"/>
    <w:rsid w:val="013B79EB"/>
    <w:rsid w:val="013F502D"/>
    <w:rsid w:val="014B6417"/>
    <w:rsid w:val="014F1C17"/>
    <w:rsid w:val="017B0848"/>
    <w:rsid w:val="018E2A82"/>
    <w:rsid w:val="01AF7352"/>
    <w:rsid w:val="01BC2C40"/>
    <w:rsid w:val="01C4503E"/>
    <w:rsid w:val="01E26089"/>
    <w:rsid w:val="01E4568B"/>
    <w:rsid w:val="020C5EDB"/>
    <w:rsid w:val="021520D8"/>
    <w:rsid w:val="0220040D"/>
    <w:rsid w:val="02493136"/>
    <w:rsid w:val="02A529DC"/>
    <w:rsid w:val="02AE3801"/>
    <w:rsid w:val="02B4343B"/>
    <w:rsid w:val="02B87BDA"/>
    <w:rsid w:val="02D50772"/>
    <w:rsid w:val="02D5119B"/>
    <w:rsid w:val="02DC7F6E"/>
    <w:rsid w:val="03136298"/>
    <w:rsid w:val="031F0787"/>
    <w:rsid w:val="03357B13"/>
    <w:rsid w:val="035E4122"/>
    <w:rsid w:val="037C3CEC"/>
    <w:rsid w:val="038F1D2C"/>
    <w:rsid w:val="0391276E"/>
    <w:rsid w:val="039442EC"/>
    <w:rsid w:val="039D5F5C"/>
    <w:rsid w:val="03A017B8"/>
    <w:rsid w:val="03A10186"/>
    <w:rsid w:val="03B40292"/>
    <w:rsid w:val="03D27ED6"/>
    <w:rsid w:val="03D61459"/>
    <w:rsid w:val="03D61815"/>
    <w:rsid w:val="03D94288"/>
    <w:rsid w:val="03EB711B"/>
    <w:rsid w:val="03FA5FDF"/>
    <w:rsid w:val="03FC2A36"/>
    <w:rsid w:val="041B1326"/>
    <w:rsid w:val="041D163A"/>
    <w:rsid w:val="044D3C0B"/>
    <w:rsid w:val="045E0E3E"/>
    <w:rsid w:val="04A15798"/>
    <w:rsid w:val="04AA5B3C"/>
    <w:rsid w:val="04AE4E1A"/>
    <w:rsid w:val="04B50F35"/>
    <w:rsid w:val="04B542EF"/>
    <w:rsid w:val="04C34EF0"/>
    <w:rsid w:val="04EA22AB"/>
    <w:rsid w:val="05032BF3"/>
    <w:rsid w:val="050C355C"/>
    <w:rsid w:val="052E2E6F"/>
    <w:rsid w:val="055F6553"/>
    <w:rsid w:val="05767EFC"/>
    <w:rsid w:val="05F4653E"/>
    <w:rsid w:val="061A0563"/>
    <w:rsid w:val="06306C9D"/>
    <w:rsid w:val="063367FC"/>
    <w:rsid w:val="06393E96"/>
    <w:rsid w:val="06531A60"/>
    <w:rsid w:val="066F086D"/>
    <w:rsid w:val="06713BF4"/>
    <w:rsid w:val="06776B9C"/>
    <w:rsid w:val="06801C3B"/>
    <w:rsid w:val="06AD0911"/>
    <w:rsid w:val="07015049"/>
    <w:rsid w:val="07020652"/>
    <w:rsid w:val="071868D5"/>
    <w:rsid w:val="07350CBB"/>
    <w:rsid w:val="074E358D"/>
    <w:rsid w:val="07542DDF"/>
    <w:rsid w:val="076D3154"/>
    <w:rsid w:val="077C3F97"/>
    <w:rsid w:val="07AF05C0"/>
    <w:rsid w:val="07B541FB"/>
    <w:rsid w:val="07B87B2B"/>
    <w:rsid w:val="07BD158A"/>
    <w:rsid w:val="07CE478C"/>
    <w:rsid w:val="07D710DB"/>
    <w:rsid w:val="07E00506"/>
    <w:rsid w:val="07F71A65"/>
    <w:rsid w:val="07FA2EBA"/>
    <w:rsid w:val="08072837"/>
    <w:rsid w:val="0854781B"/>
    <w:rsid w:val="08624D9A"/>
    <w:rsid w:val="08B24338"/>
    <w:rsid w:val="08C80316"/>
    <w:rsid w:val="08D86554"/>
    <w:rsid w:val="08E61803"/>
    <w:rsid w:val="090B775B"/>
    <w:rsid w:val="091A1415"/>
    <w:rsid w:val="0935103B"/>
    <w:rsid w:val="095B21A4"/>
    <w:rsid w:val="096F3E1D"/>
    <w:rsid w:val="097E4CF6"/>
    <w:rsid w:val="09856A19"/>
    <w:rsid w:val="09892DAB"/>
    <w:rsid w:val="099E4B40"/>
    <w:rsid w:val="09D02E69"/>
    <w:rsid w:val="09F6663F"/>
    <w:rsid w:val="0A11585F"/>
    <w:rsid w:val="0A1455BE"/>
    <w:rsid w:val="0A2F3905"/>
    <w:rsid w:val="0A5A2E0D"/>
    <w:rsid w:val="0A995180"/>
    <w:rsid w:val="0A9F0C00"/>
    <w:rsid w:val="0AA00727"/>
    <w:rsid w:val="0ABD6CAF"/>
    <w:rsid w:val="0AD9549A"/>
    <w:rsid w:val="0AEC1A78"/>
    <w:rsid w:val="0B01054C"/>
    <w:rsid w:val="0B1215B2"/>
    <w:rsid w:val="0B373D0B"/>
    <w:rsid w:val="0B3F4055"/>
    <w:rsid w:val="0B427ABA"/>
    <w:rsid w:val="0B4A58B0"/>
    <w:rsid w:val="0B65526E"/>
    <w:rsid w:val="0B986F1B"/>
    <w:rsid w:val="0BA24B40"/>
    <w:rsid w:val="0BB70A5C"/>
    <w:rsid w:val="0BD85BCE"/>
    <w:rsid w:val="0BD94AB4"/>
    <w:rsid w:val="0BF75735"/>
    <w:rsid w:val="0BFA36CE"/>
    <w:rsid w:val="0C1F41B4"/>
    <w:rsid w:val="0C603836"/>
    <w:rsid w:val="0C80036F"/>
    <w:rsid w:val="0C84177B"/>
    <w:rsid w:val="0C937E37"/>
    <w:rsid w:val="0C953E4E"/>
    <w:rsid w:val="0C993003"/>
    <w:rsid w:val="0CA5189B"/>
    <w:rsid w:val="0CCB3054"/>
    <w:rsid w:val="0D0378BA"/>
    <w:rsid w:val="0D044184"/>
    <w:rsid w:val="0D42119A"/>
    <w:rsid w:val="0D46469A"/>
    <w:rsid w:val="0D5257AE"/>
    <w:rsid w:val="0D9D5228"/>
    <w:rsid w:val="0DB6768E"/>
    <w:rsid w:val="0DB8799D"/>
    <w:rsid w:val="0DE81F7A"/>
    <w:rsid w:val="0E0F7690"/>
    <w:rsid w:val="0E11342C"/>
    <w:rsid w:val="0E1E7347"/>
    <w:rsid w:val="0E3F5C97"/>
    <w:rsid w:val="0E4247B4"/>
    <w:rsid w:val="0E702E87"/>
    <w:rsid w:val="0E8F13DF"/>
    <w:rsid w:val="0EA72AAD"/>
    <w:rsid w:val="0EAB08C0"/>
    <w:rsid w:val="0EBE5824"/>
    <w:rsid w:val="0ECC1299"/>
    <w:rsid w:val="0EE47351"/>
    <w:rsid w:val="0EF30327"/>
    <w:rsid w:val="0EFE6888"/>
    <w:rsid w:val="0EFF0C00"/>
    <w:rsid w:val="0F1406FF"/>
    <w:rsid w:val="0F630DAA"/>
    <w:rsid w:val="0F651406"/>
    <w:rsid w:val="0F773779"/>
    <w:rsid w:val="0F7A7475"/>
    <w:rsid w:val="0FBD64C1"/>
    <w:rsid w:val="0FBE0C0B"/>
    <w:rsid w:val="1005585E"/>
    <w:rsid w:val="10327454"/>
    <w:rsid w:val="10337681"/>
    <w:rsid w:val="10350DE6"/>
    <w:rsid w:val="107E0E5B"/>
    <w:rsid w:val="10801EF4"/>
    <w:rsid w:val="10860423"/>
    <w:rsid w:val="10966FEF"/>
    <w:rsid w:val="1099442C"/>
    <w:rsid w:val="10BB68B2"/>
    <w:rsid w:val="10E50210"/>
    <w:rsid w:val="10F26947"/>
    <w:rsid w:val="10FC5271"/>
    <w:rsid w:val="110F22B9"/>
    <w:rsid w:val="111E0387"/>
    <w:rsid w:val="11246AA4"/>
    <w:rsid w:val="112C0376"/>
    <w:rsid w:val="11627512"/>
    <w:rsid w:val="116E5327"/>
    <w:rsid w:val="118F58D8"/>
    <w:rsid w:val="11A27345"/>
    <w:rsid w:val="11AA241C"/>
    <w:rsid w:val="11B01B12"/>
    <w:rsid w:val="11B0662D"/>
    <w:rsid w:val="11BD4282"/>
    <w:rsid w:val="12157DC3"/>
    <w:rsid w:val="123A08FB"/>
    <w:rsid w:val="123D2446"/>
    <w:rsid w:val="12457BDF"/>
    <w:rsid w:val="124C1E48"/>
    <w:rsid w:val="12550D5D"/>
    <w:rsid w:val="125D60FE"/>
    <w:rsid w:val="1291496F"/>
    <w:rsid w:val="12AA3E40"/>
    <w:rsid w:val="12CF340E"/>
    <w:rsid w:val="12E72267"/>
    <w:rsid w:val="12F02140"/>
    <w:rsid w:val="12F30329"/>
    <w:rsid w:val="130450DC"/>
    <w:rsid w:val="13144A39"/>
    <w:rsid w:val="132476A9"/>
    <w:rsid w:val="135130E4"/>
    <w:rsid w:val="135D3A4A"/>
    <w:rsid w:val="13706157"/>
    <w:rsid w:val="13D3207F"/>
    <w:rsid w:val="13F63B94"/>
    <w:rsid w:val="13F87AF1"/>
    <w:rsid w:val="140B2E63"/>
    <w:rsid w:val="142400B5"/>
    <w:rsid w:val="14377D2D"/>
    <w:rsid w:val="146F73F2"/>
    <w:rsid w:val="1477744E"/>
    <w:rsid w:val="148A70FB"/>
    <w:rsid w:val="148E2684"/>
    <w:rsid w:val="14A817D7"/>
    <w:rsid w:val="14AA5F4F"/>
    <w:rsid w:val="14D06BAC"/>
    <w:rsid w:val="14D84ECB"/>
    <w:rsid w:val="14ED4141"/>
    <w:rsid w:val="15121BE5"/>
    <w:rsid w:val="15235A33"/>
    <w:rsid w:val="153C053C"/>
    <w:rsid w:val="15467415"/>
    <w:rsid w:val="154850B8"/>
    <w:rsid w:val="155F56BF"/>
    <w:rsid w:val="159A0A24"/>
    <w:rsid w:val="15AA7CD3"/>
    <w:rsid w:val="15D77DDC"/>
    <w:rsid w:val="15EF575A"/>
    <w:rsid w:val="16024FA6"/>
    <w:rsid w:val="16046C75"/>
    <w:rsid w:val="16184363"/>
    <w:rsid w:val="1620002E"/>
    <w:rsid w:val="16500C23"/>
    <w:rsid w:val="165C760E"/>
    <w:rsid w:val="168529B2"/>
    <w:rsid w:val="169D7F27"/>
    <w:rsid w:val="16BD2889"/>
    <w:rsid w:val="16F65873"/>
    <w:rsid w:val="170674B2"/>
    <w:rsid w:val="17234CDB"/>
    <w:rsid w:val="177D0E99"/>
    <w:rsid w:val="17854E6D"/>
    <w:rsid w:val="17B7495D"/>
    <w:rsid w:val="17C64CA9"/>
    <w:rsid w:val="17D15CA1"/>
    <w:rsid w:val="17D9460A"/>
    <w:rsid w:val="17E021D8"/>
    <w:rsid w:val="18736D2E"/>
    <w:rsid w:val="18A45ACF"/>
    <w:rsid w:val="18AE388D"/>
    <w:rsid w:val="19146F42"/>
    <w:rsid w:val="193B5696"/>
    <w:rsid w:val="19520BBE"/>
    <w:rsid w:val="19522B41"/>
    <w:rsid w:val="19B41E18"/>
    <w:rsid w:val="19BB3579"/>
    <w:rsid w:val="19CB3966"/>
    <w:rsid w:val="19EA5BB3"/>
    <w:rsid w:val="19F8501A"/>
    <w:rsid w:val="1A163E4E"/>
    <w:rsid w:val="1A32583F"/>
    <w:rsid w:val="1A525084"/>
    <w:rsid w:val="1A6527B8"/>
    <w:rsid w:val="1A6F5088"/>
    <w:rsid w:val="1A990499"/>
    <w:rsid w:val="1ABC0284"/>
    <w:rsid w:val="1AF93FDF"/>
    <w:rsid w:val="1AFC60B0"/>
    <w:rsid w:val="1B0F3377"/>
    <w:rsid w:val="1B23244F"/>
    <w:rsid w:val="1B2A2CF4"/>
    <w:rsid w:val="1B49668F"/>
    <w:rsid w:val="1B6579C6"/>
    <w:rsid w:val="1B6B735C"/>
    <w:rsid w:val="1B7C0D7E"/>
    <w:rsid w:val="1B946582"/>
    <w:rsid w:val="1BA223A9"/>
    <w:rsid w:val="1BF56B16"/>
    <w:rsid w:val="1C125BFE"/>
    <w:rsid w:val="1C1A05E8"/>
    <w:rsid w:val="1C2B42FF"/>
    <w:rsid w:val="1C4F5EE0"/>
    <w:rsid w:val="1C5D76C3"/>
    <w:rsid w:val="1C9F5C6A"/>
    <w:rsid w:val="1CE77294"/>
    <w:rsid w:val="1D1540E7"/>
    <w:rsid w:val="1D1965F0"/>
    <w:rsid w:val="1D2823F5"/>
    <w:rsid w:val="1D416B31"/>
    <w:rsid w:val="1D5D6044"/>
    <w:rsid w:val="1D606A5D"/>
    <w:rsid w:val="1D641600"/>
    <w:rsid w:val="1D7E63F9"/>
    <w:rsid w:val="1D924F61"/>
    <w:rsid w:val="1DA27417"/>
    <w:rsid w:val="1DA520C0"/>
    <w:rsid w:val="1DAB0E5F"/>
    <w:rsid w:val="1DAB7532"/>
    <w:rsid w:val="1DAD0340"/>
    <w:rsid w:val="1DBE3B9D"/>
    <w:rsid w:val="1DC409B9"/>
    <w:rsid w:val="1DE11343"/>
    <w:rsid w:val="1DE12D3F"/>
    <w:rsid w:val="1DFE3BC7"/>
    <w:rsid w:val="1E171FFF"/>
    <w:rsid w:val="1E202D18"/>
    <w:rsid w:val="1E515EEE"/>
    <w:rsid w:val="1EB471BA"/>
    <w:rsid w:val="1EDB5ECF"/>
    <w:rsid w:val="1EDF1570"/>
    <w:rsid w:val="1EE31306"/>
    <w:rsid w:val="1EF06EEE"/>
    <w:rsid w:val="1EF5065B"/>
    <w:rsid w:val="1F0002F2"/>
    <w:rsid w:val="1F0D376B"/>
    <w:rsid w:val="1F0E6A09"/>
    <w:rsid w:val="1F1A0D5F"/>
    <w:rsid w:val="1F375291"/>
    <w:rsid w:val="1F3B14AB"/>
    <w:rsid w:val="1F416631"/>
    <w:rsid w:val="1F6063FE"/>
    <w:rsid w:val="1F6748DF"/>
    <w:rsid w:val="1F6F2338"/>
    <w:rsid w:val="1F722092"/>
    <w:rsid w:val="1F854C07"/>
    <w:rsid w:val="1F8C3FD2"/>
    <w:rsid w:val="1F923CA7"/>
    <w:rsid w:val="1F9D3B35"/>
    <w:rsid w:val="1FAB1338"/>
    <w:rsid w:val="1FBD13B7"/>
    <w:rsid w:val="1FC03218"/>
    <w:rsid w:val="1FC0690A"/>
    <w:rsid w:val="1FE70B41"/>
    <w:rsid w:val="1FEA13D1"/>
    <w:rsid w:val="20073B68"/>
    <w:rsid w:val="20167375"/>
    <w:rsid w:val="20420687"/>
    <w:rsid w:val="20707100"/>
    <w:rsid w:val="20AC239D"/>
    <w:rsid w:val="20D35182"/>
    <w:rsid w:val="20DB5EE6"/>
    <w:rsid w:val="20DF0703"/>
    <w:rsid w:val="20E073A8"/>
    <w:rsid w:val="20E91FBC"/>
    <w:rsid w:val="20FA6CB1"/>
    <w:rsid w:val="211D2351"/>
    <w:rsid w:val="2120168C"/>
    <w:rsid w:val="21516B6C"/>
    <w:rsid w:val="216402B6"/>
    <w:rsid w:val="216F2E62"/>
    <w:rsid w:val="217D4004"/>
    <w:rsid w:val="21A44D10"/>
    <w:rsid w:val="21BC366C"/>
    <w:rsid w:val="21C46174"/>
    <w:rsid w:val="2218796B"/>
    <w:rsid w:val="222C50ED"/>
    <w:rsid w:val="223D404C"/>
    <w:rsid w:val="22414B69"/>
    <w:rsid w:val="22942140"/>
    <w:rsid w:val="22AD44C1"/>
    <w:rsid w:val="22B138CE"/>
    <w:rsid w:val="22CD2EAF"/>
    <w:rsid w:val="22CE10E1"/>
    <w:rsid w:val="230456D1"/>
    <w:rsid w:val="23251567"/>
    <w:rsid w:val="23670352"/>
    <w:rsid w:val="23697593"/>
    <w:rsid w:val="23710C7F"/>
    <w:rsid w:val="237B39BE"/>
    <w:rsid w:val="238E57C8"/>
    <w:rsid w:val="239303EB"/>
    <w:rsid w:val="2397095B"/>
    <w:rsid w:val="239F7809"/>
    <w:rsid w:val="23D2295E"/>
    <w:rsid w:val="23D61A4A"/>
    <w:rsid w:val="23DD2123"/>
    <w:rsid w:val="23E91C7A"/>
    <w:rsid w:val="240A68BC"/>
    <w:rsid w:val="240F6DB9"/>
    <w:rsid w:val="241560C1"/>
    <w:rsid w:val="24671A85"/>
    <w:rsid w:val="248A7E41"/>
    <w:rsid w:val="24911A8D"/>
    <w:rsid w:val="249C0B48"/>
    <w:rsid w:val="24BA0755"/>
    <w:rsid w:val="24BA7EBD"/>
    <w:rsid w:val="24C66DE4"/>
    <w:rsid w:val="24D17079"/>
    <w:rsid w:val="24DB542D"/>
    <w:rsid w:val="24F5421D"/>
    <w:rsid w:val="24F761DF"/>
    <w:rsid w:val="252B4EB1"/>
    <w:rsid w:val="25347B6E"/>
    <w:rsid w:val="25717C0B"/>
    <w:rsid w:val="258341EB"/>
    <w:rsid w:val="25922695"/>
    <w:rsid w:val="25994DC2"/>
    <w:rsid w:val="25AF3EFA"/>
    <w:rsid w:val="25C50FFF"/>
    <w:rsid w:val="25CF22BE"/>
    <w:rsid w:val="25D60C57"/>
    <w:rsid w:val="25D87666"/>
    <w:rsid w:val="25DA7CEB"/>
    <w:rsid w:val="25E639F3"/>
    <w:rsid w:val="25E95D97"/>
    <w:rsid w:val="26033DD0"/>
    <w:rsid w:val="260D7B6B"/>
    <w:rsid w:val="263B55FF"/>
    <w:rsid w:val="265F7A55"/>
    <w:rsid w:val="267F4762"/>
    <w:rsid w:val="268168F5"/>
    <w:rsid w:val="268C7FEF"/>
    <w:rsid w:val="269567C6"/>
    <w:rsid w:val="26A871CA"/>
    <w:rsid w:val="26AF12B9"/>
    <w:rsid w:val="26BB269D"/>
    <w:rsid w:val="26F24465"/>
    <w:rsid w:val="26F930E3"/>
    <w:rsid w:val="27050F4A"/>
    <w:rsid w:val="273874D1"/>
    <w:rsid w:val="273947EA"/>
    <w:rsid w:val="27472F6A"/>
    <w:rsid w:val="27540EFF"/>
    <w:rsid w:val="2777365D"/>
    <w:rsid w:val="27925B95"/>
    <w:rsid w:val="27994B13"/>
    <w:rsid w:val="27A90D84"/>
    <w:rsid w:val="27AE27FE"/>
    <w:rsid w:val="27C0385B"/>
    <w:rsid w:val="27CB3CB6"/>
    <w:rsid w:val="27E81C8F"/>
    <w:rsid w:val="27F9530C"/>
    <w:rsid w:val="28023FD2"/>
    <w:rsid w:val="28274718"/>
    <w:rsid w:val="282C564C"/>
    <w:rsid w:val="283F204F"/>
    <w:rsid w:val="2846247A"/>
    <w:rsid w:val="28577E91"/>
    <w:rsid w:val="28710505"/>
    <w:rsid w:val="28AD3F3D"/>
    <w:rsid w:val="28B100D1"/>
    <w:rsid w:val="28B42836"/>
    <w:rsid w:val="28D52FC4"/>
    <w:rsid w:val="28D60FF0"/>
    <w:rsid w:val="290C1027"/>
    <w:rsid w:val="291B21C9"/>
    <w:rsid w:val="292467E8"/>
    <w:rsid w:val="293B13A0"/>
    <w:rsid w:val="293B7369"/>
    <w:rsid w:val="294066E7"/>
    <w:rsid w:val="295A08B5"/>
    <w:rsid w:val="295A6DB3"/>
    <w:rsid w:val="29600E25"/>
    <w:rsid w:val="29686738"/>
    <w:rsid w:val="29890B53"/>
    <w:rsid w:val="299675D8"/>
    <w:rsid w:val="299824CF"/>
    <w:rsid w:val="299B53C4"/>
    <w:rsid w:val="299F6196"/>
    <w:rsid w:val="29A92AAE"/>
    <w:rsid w:val="29B65C30"/>
    <w:rsid w:val="29EA596F"/>
    <w:rsid w:val="2A627FCB"/>
    <w:rsid w:val="2A766DA7"/>
    <w:rsid w:val="2A7A3395"/>
    <w:rsid w:val="2AC26999"/>
    <w:rsid w:val="2AE51D2B"/>
    <w:rsid w:val="2AF6281E"/>
    <w:rsid w:val="2AF81F76"/>
    <w:rsid w:val="2AF95E57"/>
    <w:rsid w:val="2AFA6A4A"/>
    <w:rsid w:val="2AFD41DA"/>
    <w:rsid w:val="2B1C1033"/>
    <w:rsid w:val="2B3258EE"/>
    <w:rsid w:val="2B3C725C"/>
    <w:rsid w:val="2B4A5DB6"/>
    <w:rsid w:val="2B5B2027"/>
    <w:rsid w:val="2B902A6A"/>
    <w:rsid w:val="2B9D1617"/>
    <w:rsid w:val="2BA24770"/>
    <w:rsid w:val="2BE06AD0"/>
    <w:rsid w:val="2BE97D6A"/>
    <w:rsid w:val="2BF3247A"/>
    <w:rsid w:val="2C1371E7"/>
    <w:rsid w:val="2C205613"/>
    <w:rsid w:val="2C360062"/>
    <w:rsid w:val="2C6A1C62"/>
    <w:rsid w:val="2C773B73"/>
    <w:rsid w:val="2C7B541A"/>
    <w:rsid w:val="2C821B6F"/>
    <w:rsid w:val="2C9E2F78"/>
    <w:rsid w:val="2CA10FA1"/>
    <w:rsid w:val="2CA6480B"/>
    <w:rsid w:val="2CA81283"/>
    <w:rsid w:val="2CB651E2"/>
    <w:rsid w:val="2CBD4115"/>
    <w:rsid w:val="2CC02DFA"/>
    <w:rsid w:val="2CC317A2"/>
    <w:rsid w:val="2CCC4A0F"/>
    <w:rsid w:val="2CEA3D50"/>
    <w:rsid w:val="2D02129C"/>
    <w:rsid w:val="2D075151"/>
    <w:rsid w:val="2D1A4899"/>
    <w:rsid w:val="2D25043B"/>
    <w:rsid w:val="2D2A70E6"/>
    <w:rsid w:val="2D387B17"/>
    <w:rsid w:val="2D3C39B4"/>
    <w:rsid w:val="2D9B107E"/>
    <w:rsid w:val="2DE55DFE"/>
    <w:rsid w:val="2DE60FFA"/>
    <w:rsid w:val="2DFF0809"/>
    <w:rsid w:val="2E4E40B4"/>
    <w:rsid w:val="2E6049A6"/>
    <w:rsid w:val="2E6D6899"/>
    <w:rsid w:val="2E6E3734"/>
    <w:rsid w:val="2E911827"/>
    <w:rsid w:val="2EC65A88"/>
    <w:rsid w:val="2ED52BE4"/>
    <w:rsid w:val="2EF56500"/>
    <w:rsid w:val="2F13391D"/>
    <w:rsid w:val="2F405918"/>
    <w:rsid w:val="2F4E609D"/>
    <w:rsid w:val="2F5E1DC0"/>
    <w:rsid w:val="2F66032C"/>
    <w:rsid w:val="2FA40807"/>
    <w:rsid w:val="2FAC71B5"/>
    <w:rsid w:val="2FCA7D92"/>
    <w:rsid w:val="3007179C"/>
    <w:rsid w:val="300E4D16"/>
    <w:rsid w:val="304325E9"/>
    <w:rsid w:val="30550E74"/>
    <w:rsid w:val="306334BD"/>
    <w:rsid w:val="30634EC3"/>
    <w:rsid w:val="30996EC2"/>
    <w:rsid w:val="30BA00E7"/>
    <w:rsid w:val="30C501E4"/>
    <w:rsid w:val="30F10342"/>
    <w:rsid w:val="30F871AE"/>
    <w:rsid w:val="310720AF"/>
    <w:rsid w:val="31132320"/>
    <w:rsid w:val="311E7621"/>
    <w:rsid w:val="3121096C"/>
    <w:rsid w:val="31921505"/>
    <w:rsid w:val="31A106BA"/>
    <w:rsid w:val="31A93F81"/>
    <w:rsid w:val="31DA41C2"/>
    <w:rsid w:val="31DB5C10"/>
    <w:rsid w:val="31EF72BA"/>
    <w:rsid w:val="31F85288"/>
    <w:rsid w:val="32160E0F"/>
    <w:rsid w:val="321F2EF4"/>
    <w:rsid w:val="32885184"/>
    <w:rsid w:val="329C1090"/>
    <w:rsid w:val="32AE3AA5"/>
    <w:rsid w:val="32AE5B93"/>
    <w:rsid w:val="32B9349C"/>
    <w:rsid w:val="32C600DD"/>
    <w:rsid w:val="32F366A3"/>
    <w:rsid w:val="330C06DB"/>
    <w:rsid w:val="3311642A"/>
    <w:rsid w:val="331F371F"/>
    <w:rsid w:val="33205B0F"/>
    <w:rsid w:val="332C3DA3"/>
    <w:rsid w:val="33504B0A"/>
    <w:rsid w:val="335A365C"/>
    <w:rsid w:val="337A1C3C"/>
    <w:rsid w:val="33A3077D"/>
    <w:rsid w:val="33AB3002"/>
    <w:rsid w:val="33BC22D5"/>
    <w:rsid w:val="33C3481F"/>
    <w:rsid w:val="33CD2DF5"/>
    <w:rsid w:val="33E433B2"/>
    <w:rsid w:val="33F4303A"/>
    <w:rsid w:val="341403AC"/>
    <w:rsid w:val="343267BE"/>
    <w:rsid w:val="343B38C1"/>
    <w:rsid w:val="343D14BD"/>
    <w:rsid w:val="344A1B2B"/>
    <w:rsid w:val="34521C16"/>
    <w:rsid w:val="34862D54"/>
    <w:rsid w:val="34896EDA"/>
    <w:rsid w:val="34AE0087"/>
    <w:rsid w:val="34CA69CF"/>
    <w:rsid w:val="34D26ACF"/>
    <w:rsid w:val="34E077C4"/>
    <w:rsid w:val="34EB4431"/>
    <w:rsid w:val="350115C2"/>
    <w:rsid w:val="3504657F"/>
    <w:rsid w:val="350C13AC"/>
    <w:rsid w:val="35164C6B"/>
    <w:rsid w:val="352567C3"/>
    <w:rsid w:val="354E10E4"/>
    <w:rsid w:val="35696E34"/>
    <w:rsid w:val="35731767"/>
    <w:rsid w:val="35766065"/>
    <w:rsid w:val="35860ADC"/>
    <w:rsid w:val="35C82DC6"/>
    <w:rsid w:val="35D0151C"/>
    <w:rsid w:val="35EC6EF3"/>
    <w:rsid w:val="35F50371"/>
    <w:rsid w:val="35FC6B2C"/>
    <w:rsid w:val="36015ECF"/>
    <w:rsid w:val="3602509D"/>
    <w:rsid w:val="36142D55"/>
    <w:rsid w:val="361808CF"/>
    <w:rsid w:val="362159D2"/>
    <w:rsid w:val="36731EA8"/>
    <w:rsid w:val="36864C6F"/>
    <w:rsid w:val="369575C7"/>
    <w:rsid w:val="36C05DB8"/>
    <w:rsid w:val="36C47048"/>
    <w:rsid w:val="36CA110D"/>
    <w:rsid w:val="36CC7E9F"/>
    <w:rsid w:val="370247F8"/>
    <w:rsid w:val="371039F3"/>
    <w:rsid w:val="37131185"/>
    <w:rsid w:val="3713358D"/>
    <w:rsid w:val="3733510F"/>
    <w:rsid w:val="37730441"/>
    <w:rsid w:val="37792E44"/>
    <w:rsid w:val="380C67F6"/>
    <w:rsid w:val="38511C2E"/>
    <w:rsid w:val="38850053"/>
    <w:rsid w:val="388D3192"/>
    <w:rsid w:val="388E58DA"/>
    <w:rsid w:val="38B478F4"/>
    <w:rsid w:val="38C22801"/>
    <w:rsid w:val="38D45047"/>
    <w:rsid w:val="38DB5D34"/>
    <w:rsid w:val="38F54615"/>
    <w:rsid w:val="38FD2DC7"/>
    <w:rsid w:val="39167705"/>
    <w:rsid w:val="391F23E2"/>
    <w:rsid w:val="3943477E"/>
    <w:rsid w:val="3967465F"/>
    <w:rsid w:val="397A65D5"/>
    <w:rsid w:val="3987173C"/>
    <w:rsid w:val="39B617EC"/>
    <w:rsid w:val="39B911C4"/>
    <w:rsid w:val="39BD43AD"/>
    <w:rsid w:val="39CA40A2"/>
    <w:rsid w:val="39FA2D21"/>
    <w:rsid w:val="3A032B8D"/>
    <w:rsid w:val="3A124356"/>
    <w:rsid w:val="3A2E377E"/>
    <w:rsid w:val="3A36754A"/>
    <w:rsid w:val="3A4A230A"/>
    <w:rsid w:val="3A4B7D84"/>
    <w:rsid w:val="3A801265"/>
    <w:rsid w:val="3A994FFE"/>
    <w:rsid w:val="3A9D129D"/>
    <w:rsid w:val="3A9E575F"/>
    <w:rsid w:val="3AAC5CA3"/>
    <w:rsid w:val="3AB731E2"/>
    <w:rsid w:val="3B025020"/>
    <w:rsid w:val="3B092C87"/>
    <w:rsid w:val="3B0979C7"/>
    <w:rsid w:val="3B164235"/>
    <w:rsid w:val="3B332617"/>
    <w:rsid w:val="3B3C29E8"/>
    <w:rsid w:val="3B4C20E4"/>
    <w:rsid w:val="3B5A5CAA"/>
    <w:rsid w:val="3B5D1693"/>
    <w:rsid w:val="3B6543CA"/>
    <w:rsid w:val="3B7B3AA5"/>
    <w:rsid w:val="3B9E5EF7"/>
    <w:rsid w:val="3BA268EA"/>
    <w:rsid w:val="3BB5613C"/>
    <w:rsid w:val="3BBA4661"/>
    <w:rsid w:val="3BD16ADF"/>
    <w:rsid w:val="3BD37ED0"/>
    <w:rsid w:val="3BE95658"/>
    <w:rsid w:val="3BFB6EB2"/>
    <w:rsid w:val="3C1E458B"/>
    <w:rsid w:val="3C23327B"/>
    <w:rsid w:val="3C2D50DA"/>
    <w:rsid w:val="3C406160"/>
    <w:rsid w:val="3C590A58"/>
    <w:rsid w:val="3C606CAF"/>
    <w:rsid w:val="3C6B72C4"/>
    <w:rsid w:val="3C71461A"/>
    <w:rsid w:val="3C99373B"/>
    <w:rsid w:val="3C9D6924"/>
    <w:rsid w:val="3CCA7A9F"/>
    <w:rsid w:val="3CCF3A33"/>
    <w:rsid w:val="3CDB3759"/>
    <w:rsid w:val="3D033BAB"/>
    <w:rsid w:val="3D1C5C58"/>
    <w:rsid w:val="3D231F7F"/>
    <w:rsid w:val="3D2C2DCC"/>
    <w:rsid w:val="3D2F7913"/>
    <w:rsid w:val="3D502603"/>
    <w:rsid w:val="3D707E21"/>
    <w:rsid w:val="3D8F0C2A"/>
    <w:rsid w:val="3D9460F7"/>
    <w:rsid w:val="3DA5756A"/>
    <w:rsid w:val="3DF32D1D"/>
    <w:rsid w:val="3DFE4923"/>
    <w:rsid w:val="3E0B017E"/>
    <w:rsid w:val="3E164A21"/>
    <w:rsid w:val="3E1E644F"/>
    <w:rsid w:val="3E21304B"/>
    <w:rsid w:val="3E216145"/>
    <w:rsid w:val="3E2404EE"/>
    <w:rsid w:val="3E26340A"/>
    <w:rsid w:val="3E2713F6"/>
    <w:rsid w:val="3E4044E7"/>
    <w:rsid w:val="3E411BF1"/>
    <w:rsid w:val="3E480249"/>
    <w:rsid w:val="3E4A2890"/>
    <w:rsid w:val="3E5234F9"/>
    <w:rsid w:val="3E591F8A"/>
    <w:rsid w:val="3E78660C"/>
    <w:rsid w:val="3E7F2CB7"/>
    <w:rsid w:val="3ECD753F"/>
    <w:rsid w:val="3ECE4212"/>
    <w:rsid w:val="3ED7643F"/>
    <w:rsid w:val="3EDC120E"/>
    <w:rsid w:val="3EE01B10"/>
    <w:rsid w:val="3EEB554C"/>
    <w:rsid w:val="3EF84F94"/>
    <w:rsid w:val="3F8A6AC3"/>
    <w:rsid w:val="3FDD45CD"/>
    <w:rsid w:val="3FF60466"/>
    <w:rsid w:val="40121B04"/>
    <w:rsid w:val="40137ED6"/>
    <w:rsid w:val="401D01C9"/>
    <w:rsid w:val="40291401"/>
    <w:rsid w:val="404E0A8A"/>
    <w:rsid w:val="40643E55"/>
    <w:rsid w:val="407E046C"/>
    <w:rsid w:val="408523B0"/>
    <w:rsid w:val="408925E8"/>
    <w:rsid w:val="40C15795"/>
    <w:rsid w:val="40D0422A"/>
    <w:rsid w:val="40FF5633"/>
    <w:rsid w:val="41040F65"/>
    <w:rsid w:val="41233B54"/>
    <w:rsid w:val="413E6CE2"/>
    <w:rsid w:val="414204AF"/>
    <w:rsid w:val="414900F9"/>
    <w:rsid w:val="414A26DB"/>
    <w:rsid w:val="415028AF"/>
    <w:rsid w:val="417E39D8"/>
    <w:rsid w:val="41954A51"/>
    <w:rsid w:val="41B30EB4"/>
    <w:rsid w:val="41BB234D"/>
    <w:rsid w:val="41F37333"/>
    <w:rsid w:val="41F54154"/>
    <w:rsid w:val="41F8729E"/>
    <w:rsid w:val="41FB7DAA"/>
    <w:rsid w:val="420B64D6"/>
    <w:rsid w:val="421054FE"/>
    <w:rsid w:val="42106405"/>
    <w:rsid w:val="421439E7"/>
    <w:rsid w:val="426951B3"/>
    <w:rsid w:val="427E6706"/>
    <w:rsid w:val="429851E7"/>
    <w:rsid w:val="42A15086"/>
    <w:rsid w:val="42AA70CD"/>
    <w:rsid w:val="42B25263"/>
    <w:rsid w:val="42C40475"/>
    <w:rsid w:val="4314767E"/>
    <w:rsid w:val="431D0233"/>
    <w:rsid w:val="432C4AED"/>
    <w:rsid w:val="43311D15"/>
    <w:rsid w:val="433966F3"/>
    <w:rsid w:val="434541D2"/>
    <w:rsid w:val="43466A17"/>
    <w:rsid w:val="43554737"/>
    <w:rsid w:val="435D4C09"/>
    <w:rsid w:val="435D5787"/>
    <w:rsid w:val="436A1617"/>
    <w:rsid w:val="4379077E"/>
    <w:rsid w:val="43920D35"/>
    <w:rsid w:val="439A1ECB"/>
    <w:rsid w:val="43AA47AF"/>
    <w:rsid w:val="44067190"/>
    <w:rsid w:val="44102A03"/>
    <w:rsid w:val="443D69F7"/>
    <w:rsid w:val="44417F20"/>
    <w:rsid w:val="44442CF1"/>
    <w:rsid w:val="44470533"/>
    <w:rsid w:val="446373A9"/>
    <w:rsid w:val="447B31CC"/>
    <w:rsid w:val="448231B9"/>
    <w:rsid w:val="4491423D"/>
    <w:rsid w:val="44A14BB1"/>
    <w:rsid w:val="44B32291"/>
    <w:rsid w:val="44B334A0"/>
    <w:rsid w:val="44BF69E2"/>
    <w:rsid w:val="44C50713"/>
    <w:rsid w:val="44D01B9D"/>
    <w:rsid w:val="44EF0217"/>
    <w:rsid w:val="44F73158"/>
    <w:rsid w:val="44F738B0"/>
    <w:rsid w:val="45071852"/>
    <w:rsid w:val="45332BA8"/>
    <w:rsid w:val="454B0D82"/>
    <w:rsid w:val="456A554F"/>
    <w:rsid w:val="45741F6F"/>
    <w:rsid w:val="45807845"/>
    <w:rsid w:val="458B630B"/>
    <w:rsid w:val="458E3756"/>
    <w:rsid w:val="4603147D"/>
    <w:rsid w:val="461307E2"/>
    <w:rsid w:val="461A58DE"/>
    <w:rsid w:val="46255D74"/>
    <w:rsid w:val="4627697E"/>
    <w:rsid w:val="46477E93"/>
    <w:rsid w:val="464C3D11"/>
    <w:rsid w:val="469B5E07"/>
    <w:rsid w:val="46A75DD8"/>
    <w:rsid w:val="46C86211"/>
    <w:rsid w:val="46CD6CE5"/>
    <w:rsid w:val="474D6EE2"/>
    <w:rsid w:val="4756216B"/>
    <w:rsid w:val="47625F30"/>
    <w:rsid w:val="47666F1B"/>
    <w:rsid w:val="47892459"/>
    <w:rsid w:val="478A419C"/>
    <w:rsid w:val="479C4302"/>
    <w:rsid w:val="47AB1CC1"/>
    <w:rsid w:val="47C9525C"/>
    <w:rsid w:val="47CA4DB1"/>
    <w:rsid w:val="47D0690B"/>
    <w:rsid w:val="47D5281A"/>
    <w:rsid w:val="47F65178"/>
    <w:rsid w:val="480F59FB"/>
    <w:rsid w:val="4824712F"/>
    <w:rsid w:val="48277E51"/>
    <w:rsid w:val="484D27E7"/>
    <w:rsid w:val="486D2985"/>
    <w:rsid w:val="48717919"/>
    <w:rsid w:val="488F2CF9"/>
    <w:rsid w:val="48AD62A9"/>
    <w:rsid w:val="48C04F1A"/>
    <w:rsid w:val="48C13F2B"/>
    <w:rsid w:val="48D42656"/>
    <w:rsid w:val="48EF1592"/>
    <w:rsid w:val="490A4BB1"/>
    <w:rsid w:val="49193575"/>
    <w:rsid w:val="4919707B"/>
    <w:rsid w:val="49210AC4"/>
    <w:rsid w:val="494E014B"/>
    <w:rsid w:val="49526C9E"/>
    <w:rsid w:val="495D36E0"/>
    <w:rsid w:val="498B7666"/>
    <w:rsid w:val="499B51C7"/>
    <w:rsid w:val="49AF4E5B"/>
    <w:rsid w:val="49F827D4"/>
    <w:rsid w:val="49FC1281"/>
    <w:rsid w:val="4A007BF5"/>
    <w:rsid w:val="4A185C9A"/>
    <w:rsid w:val="4A380756"/>
    <w:rsid w:val="4A653C86"/>
    <w:rsid w:val="4A746DD4"/>
    <w:rsid w:val="4A7645B2"/>
    <w:rsid w:val="4A7A1D20"/>
    <w:rsid w:val="4A8B0809"/>
    <w:rsid w:val="4A9B6238"/>
    <w:rsid w:val="4AAA179E"/>
    <w:rsid w:val="4AB95A6B"/>
    <w:rsid w:val="4ACB08FE"/>
    <w:rsid w:val="4ADE682D"/>
    <w:rsid w:val="4B0428A9"/>
    <w:rsid w:val="4B1111E7"/>
    <w:rsid w:val="4B1372DD"/>
    <w:rsid w:val="4B303601"/>
    <w:rsid w:val="4B4A6684"/>
    <w:rsid w:val="4B4B7FC1"/>
    <w:rsid w:val="4B4F00BD"/>
    <w:rsid w:val="4B6D6B2E"/>
    <w:rsid w:val="4B7C7019"/>
    <w:rsid w:val="4B887E14"/>
    <w:rsid w:val="4B8C0560"/>
    <w:rsid w:val="4B94643F"/>
    <w:rsid w:val="4B9B3565"/>
    <w:rsid w:val="4BD25077"/>
    <w:rsid w:val="4BF80515"/>
    <w:rsid w:val="4C2F674D"/>
    <w:rsid w:val="4C5D0ACB"/>
    <w:rsid w:val="4C680F7E"/>
    <w:rsid w:val="4C6A69F4"/>
    <w:rsid w:val="4C7E63A6"/>
    <w:rsid w:val="4CE1086F"/>
    <w:rsid w:val="4D0513B5"/>
    <w:rsid w:val="4D4D43F4"/>
    <w:rsid w:val="4D5640A8"/>
    <w:rsid w:val="4D584C85"/>
    <w:rsid w:val="4D601FE5"/>
    <w:rsid w:val="4D617F26"/>
    <w:rsid w:val="4D7867AB"/>
    <w:rsid w:val="4DC21917"/>
    <w:rsid w:val="4DD050B0"/>
    <w:rsid w:val="4DF504A4"/>
    <w:rsid w:val="4DF72E34"/>
    <w:rsid w:val="4E1975A8"/>
    <w:rsid w:val="4E512BD3"/>
    <w:rsid w:val="4E542A45"/>
    <w:rsid w:val="4E5846F2"/>
    <w:rsid w:val="4E7D3524"/>
    <w:rsid w:val="4E852DE2"/>
    <w:rsid w:val="4EAC3B58"/>
    <w:rsid w:val="4EB30A7E"/>
    <w:rsid w:val="4EC97F7E"/>
    <w:rsid w:val="4EE22C09"/>
    <w:rsid w:val="4EE92165"/>
    <w:rsid w:val="4EF11E81"/>
    <w:rsid w:val="4EF93BDC"/>
    <w:rsid w:val="4EFA33BE"/>
    <w:rsid w:val="4F340EF3"/>
    <w:rsid w:val="4F4252D8"/>
    <w:rsid w:val="4F501B90"/>
    <w:rsid w:val="4F631B0B"/>
    <w:rsid w:val="4F895732"/>
    <w:rsid w:val="4F9C4E75"/>
    <w:rsid w:val="4FA8210F"/>
    <w:rsid w:val="4FB64CA1"/>
    <w:rsid w:val="4FB666FE"/>
    <w:rsid w:val="4FBF5DD7"/>
    <w:rsid w:val="50064745"/>
    <w:rsid w:val="500E3100"/>
    <w:rsid w:val="505D5F1E"/>
    <w:rsid w:val="50640574"/>
    <w:rsid w:val="5069328E"/>
    <w:rsid w:val="50775C95"/>
    <w:rsid w:val="50A10CE0"/>
    <w:rsid w:val="50B27206"/>
    <w:rsid w:val="50B53EAA"/>
    <w:rsid w:val="50CC7514"/>
    <w:rsid w:val="50D836EA"/>
    <w:rsid w:val="5111167C"/>
    <w:rsid w:val="51116025"/>
    <w:rsid w:val="5119387B"/>
    <w:rsid w:val="512655F8"/>
    <w:rsid w:val="512F180F"/>
    <w:rsid w:val="515C49DA"/>
    <w:rsid w:val="517B4F1C"/>
    <w:rsid w:val="51803C18"/>
    <w:rsid w:val="51A178CA"/>
    <w:rsid w:val="51A41E6C"/>
    <w:rsid w:val="51A851BD"/>
    <w:rsid w:val="51BB3147"/>
    <w:rsid w:val="51BC54F4"/>
    <w:rsid w:val="51D039A1"/>
    <w:rsid w:val="51DB2C1A"/>
    <w:rsid w:val="51E901EF"/>
    <w:rsid w:val="51F5331A"/>
    <w:rsid w:val="51F9400A"/>
    <w:rsid w:val="51FF38B6"/>
    <w:rsid w:val="520228DA"/>
    <w:rsid w:val="520F4727"/>
    <w:rsid w:val="52145C0B"/>
    <w:rsid w:val="5216147E"/>
    <w:rsid w:val="521A4B1B"/>
    <w:rsid w:val="524C326F"/>
    <w:rsid w:val="526D0410"/>
    <w:rsid w:val="528E0E08"/>
    <w:rsid w:val="52EF4B6D"/>
    <w:rsid w:val="52F06CF8"/>
    <w:rsid w:val="5302794C"/>
    <w:rsid w:val="53094D82"/>
    <w:rsid w:val="53120BE4"/>
    <w:rsid w:val="532B4778"/>
    <w:rsid w:val="53394106"/>
    <w:rsid w:val="534D25C6"/>
    <w:rsid w:val="535A23A2"/>
    <w:rsid w:val="535D5BF4"/>
    <w:rsid w:val="536457B3"/>
    <w:rsid w:val="53750B61"/>
    <w:rsid w:val="53B63851"/>
    <w:rsid w:val="53C4290D"/>
    <w:rsid w:val="53D05C11"/>
    <w:rsid w:val="53D74823"/>
    <w:rsid w:val="53D75ABE"/>
    <w:rsid w:val="540F3E82"/>
    <w:rsid w:val="540F6CFE"/>
    <w:rsid w:val="541139F8"/>
    <w:rsid w:val="541C3DFE"/>
    <w:rsid w:val="542307FC"/>
    <w:rsid w:val="5424483C"/>
    <w:rsid w:val="542B5E78"/>
    <w:rsid w:val="544A5E0F"/>
    <w:rsid w:val="546B1CC0"/>
    <w:rsid w:val="549018FB"/>
    <w:rsid w:val="54947ED2"/>
    <w:rsid w:val="54B349C5"/>
    <w:rsid w:val="54C649D3"/>
    <w:rsid w:val="54E11456"/>
    <w:rsid w:val="54EC70F2"/>
    <w:rsid w:val="54FD062A"/>
    <w:rsid w:val="5551629C"/>
    <w:rsid w:val="556662E3"/>
    <w:rsid w:val="55734CE0"/>
    <w:rsid w:val="559055F2"/>
    <w:rsid w:val="55A075EC"/>
    <w:rsid w:val="55AA7B55"/>
    <w:rsid w:val="55B10610"/>
    <w:rsid w:val="55C01F8E"/>
    <w:rsid w:val="55C45842"/>
    <w:rsid w:val="55C56C18"/>
    <w:rsid w:val="55C74DF8"/>
    <w:rsid w:val="55D2177F"/>
    <w:rsid w:val="55FF0CCC"/>
    <w:rsid w:val="560400A0"/>
    <w:rsid w:val="56267C04"/>
    <w:rsid w:val="56292903"/>
    <w:rsid w:val="567075CC"/>
    <w:rsid w:val="56901774"/>
    <w:rsid w:val="569C157F"/>
    <w:rsid w:val="569E798E"/>
    <w:rsid w:val="56A8500A"/>
    <w:rsid w:val="56B25C78"/>
    <w:rsid w:val="56B61653"/>
    <w:rsid w:val="56CC0C95"/>
    <w:rsid w:val="56F028DD"/>
    <w:rsid w:val="56FA1BF7"/>
    <w:rsid w:val="571016E6"/>
    <w:rsid w:val="57156C12"/>
    <w:rsid w:val="572B59F2"/>
    <w:rsid w:val="575F0854"/>
    <w:rsid w:val="576C4CAC"/>
    <w:rsid w:val="57756E05"/>
    <w:rsid w:val="57912283"/>
    <w:rsid w:val="57AC05F2"/>
    <w:rsid w:val="57B24F3A"/>
    <w:rsid w:val="57F37A10"/>
    <w:rsid w:val="580E7A16"/>
    <w:rsid w:val="58145C1E"/>
    <w:rsid w:val="581B6954"/>
    <w:rsid w:val="5845563F"/>
    <w:rsid w:val="584679EA"/>
    <w:rsid w:val="585F2D77"/>
    <w:rsid w:val="58602415"/>
    <w:rsid w:val="58B66DF7"/>
    <w:rsid w:val="58C81585"/>
    <w:rsid w:val="58D11AE3"/>
    <w:rsid w:val="58D13F85"/>
    <w:rsid w:val="58DA25EB"/>
    <w:rsid w:val="58EF6B3C"/>
    <w:rsid w:val="59063D3B"/>
    <w:rsid w:val="591E4C5E"/>
    <w:rsid w:val="59313CEA"/>
    <w:rsid w:val="5946426C"/>
    <w:rsid w:val="59534554"/>
    <w:rsid w:val="596E36D1"/>
    <w:rsid w:val="597626AC"/>
    <w:rsid w:val="59855423"/>
    <w:rsid w:val="598B232A"/>
    <w:rsid w:val="59AF0F47"/>
    <w:rsid w:val="59C03520"/>
    <w:rsid w:val="59D54150"/>
    <w:rsid w:val="59FD22DC"/>
    <w:rsid w:val="5A082E73"/>
    <w:rsid w:val="5A091C08"/>
    <w:rsid w:val="5A0E586E"/>
    <w:rsid w:val="5A4A0A5F"/>
    <w:rsid w:val="5A5D082C"/>
    <w:rsid w:val="5A5F3E1E"/>
    <w:rsid w:val="5A911210"/>
    <w:rsid w:val="5AAE5462"/>
    <w:rsid w:val="5AE619B4"/>
    <w:rsid w:val="5AF2179B"/>
    <w:rsid w:val="5AF25090"/>
    <w:rsid w:val="5B0F75BE"/>
    <w:rsid w:val="5B2C77A4"/>
    <w:rsid w:val="5B5E5C0F"/>
    <w:rsid w:val="5BB616E1"/>
    <w:rsid w:val="5BBB0A68"/>
    <w:rsid w:val="5BBF4A5D"/>
    <w:rsid w:val="5BDA5C36"/>
    <w:rsid w:val="5BDB2AEE"/>
    <w:rsid w:val="5BDE7963"/>
    <w:rsid w:val="5C040F23"/>
    <w:rsid w:val="5C054297"/>
    <w:rsid w:val="5C605736"/>
    <w:rsid w:val="5C714938"/>
    <w:rsid w:val="5C7B2AF0"/>
    <w:rsid w:val="5C802381"/>
    <w:rsid w:val="5CB701DB"/>
    <w:rsid w:val="5CEE5B6F"/>
    <w:rsid w:val="5CF6343E"/>
    <w:rsid w:val="5D167E5F"/>
    <w:rsid w:val="5D244FBD"/>
    <w:rsid w:val="5D2E1B71"/>
    <w:rsid w:val="5D2F4467"/>
    <w:rsid w:val="5D487773"/>
    <w:rsid w:val="5D7F0409"/>
    <w:rsid w:val="5D824B2C"/>
    <w:rsid w:val="5D877D40"/>
    <w:rsid w:val="5D8C284E"/>
    <w:rsid w:val="5DDF5873"/>
    <w:rsid w:val="5DE423EE"/>
    <w:rsid w:val="5E004CF1"/>
    <w:rsid w:val="5E3429FB"/>
    <w:rsid w:val="5E3C2194"/>
    <w:rsid w:val="5E6A4501"/>
    <w:rsid w:val="5E7E754E"/>
    <w:rsid w:val="5E8403DC"/>
    <w:rsid w:val="5E8D3A9A"/>
    <w:rsid w:val="5E95758F"/>
    <w:rsid w:val="5E9D3A8C"/>
    <w:rsid w:val="5EA11E90"/>
    <w:rsid w:val="5EA70567"/>
    <w:rsid w:val="5EB7665E"/>
    <w:rsid w:val="5EC61A32"/>
    <w:rsid w:val="5ECE595F"/>
    <w:rsid w:val="5ED7416B"/>
    <w:rsid w:val="5EDB6489"/>
    <w:rsid w:val="5EE944C0"/>
    <w:rsid w:val="5EEF50BF"/>
    <w:rsid w:val="5F0F2791"/>
    <w:rsid w:val="5F124EF9"/>
    <w:rsid w:val="5F1378BE"/>
    <w:rsid w:val="5F231808"/>
    <w:rsid w:val="5F2C4BDA"/>
    <w:rsid w:val="5F426DA7"/>
    <w:rsid w:val="5F4B1CF8"/>
    <w:rsid w:val="5F680AB9"/>
    <w:rsid w:val="5F842BE1"/>
    <w:rsid w:val="5F986955"/>
    <w:rsid w:val="5FCD5339"/>
    <w:rsid w:val="600D4804"/>
    <w:rsid w:val="60116F22"/>
    <w:rsid w:val="601F36D6"/>
    <w:rsid w:val="60486545"/>
    <w:rsid w:val="60555866"/>
    <w:rsid w:val="606A3556"/>
    <w:rsid w:val="607A0F6D"/>
    <w:rsid w:val="608117C1"/>
    <w:rsid w:val="608B35F1"/>
    <w:rsid w:val="60BA173E"/>
    <w:rsid w:val="60DC3530"/>
    <w:rsid w:val="610351AF"/>
    <w:rsid w:val="61784182"/>
    <w:rsid w:val="61801E79"/>
    <w:rsid w:val="6181703B"/>
    <w:rsid w:val="61830A38"/>
    <w:rsid w:val="619C5BE7"/>
    <w:rsid w:val="61B96ED8"/>
    <w:rsid w:val="61EA55FD"/>
    <w:rsid w:val="62097C76"/>
    <w:rsid w:val="62492287"/>
    <w:rsid w:val="625D2843"/>
    <w:rsid w:val="628C71A7"/>
    <w:rsid w:val="629E1C3F"/>
    <w:rsid w:val="62AA52CD"/>
    <w:rsid w:val="62C47A2D"/>
    <w:rsid w:val="62CA5409"/>
    <w:rsid w:val="62D568C0"/>
    <w:rsid w:val="62E6336B"/>
    <w:rsid w:val="62FB5B3D"/>
    <w:rsid w:val="630D2E49"/>
    <w:rsid w:val="632D73EF"/>
    <w:rsid w:val="633028B4"/>
    <w:rsid w:val="63473C03"/>
    <w:rsid w:val="6356040A"/>
    <w:rsid w:val="63596A6C"/>
    <w:rsid w:val="63E73E3B"/>
    <w:rsid w:val="63E84553"/>
    <w:rsid w:val="63FF08ED"/>
    <w:rsid w:val="64033A27"/>
    <w:rsid w:val="642633E7"/>
    <w:rsid w:val="644B424D"/>
    <w:rsid w:val="645B7BAF"/>
    <w:rsid w:val="646000A8"/>
    <w:rsid w:val="646759D6"/>
    <w:rsid w:val="647F730D"/>
    <w:rsid w:val="64891316"/>
    <w:rsid w:val="649C1AA7"/>
    <w:rsid w:val="64AA1A39"/>
    <w:rsid w:val="64AA32B0"/>
    <w:rsid w:val="64C824D9"/>
    <w:rsid w:val="64CE3F87"/>
    <w:rsid w:val="64ED5382"/>
    <w:rsid w:val="64F44A1A"/>
    <w:rsid w:val="65397AC7"/>
    <w:rsid w:val="653E4783"/>
    <w:rsid w:val="6557715D"/>
    <w:rsid w:val="656D62D0"/>
    <w:rsid w:val="6571592B"/>
    <w:rsid w:val="65743033"/>
    <w:rsid w:val="6587407C"/>
    <w:rsid w:val="65D265D3"/>
    <w:rsid w:val="66247A78"/>
    <w:rsid w:val="6640755D"/>
    <w:rsid w:val="668422D4"/>
    <w:rsid w:val="66B32934"/>
    <w:rsid w:val="66BC315B"/>
    <w:rsid w:val="66C54B48"/>
    <w:rsid w:val="66D04B7D"/>
    <w:rsid w:val="66E1286A"/>
    <w:rsid w:val="671B1741"/>
    <w:rsid w:val="671B611E"/>
    <w:rsid w:val="67261E93"/>
    <w:rsid w:val="674330A2"/>
    <w:rsid w:val="674850CB"/>
    <w:rsid w:val="67540BEB"/>
    <w:rsid w:val="678705D1"/>
    <w:rsid w:val="67B82C0C"/>
    <w:rsid w:val="67D062CC"/>
    <w:rsid w:val="68146E8E"/>
    <w:rsid w:val="681E3572"/>
    <w:rsid w:val="68395525"/>
    <w:rsid w:val="683D487D"/>
    <w:rsid w:val="68520C18"/>
    <w:rsid w:val="685B7D47"/>
    <w:rsid w:val="6877263B"/>
    <w:rsid w:val="68880316"/>
    <w:rsid w:val="68970403"/>
    <w:rsid w:val="68B71DBD"/>
    <w:rsid w:val="68D0416D"/>
    <w:rsid w:val="68F61126"/>
    <w:rsid w:val="691959FB"/>
    <w:rsid w:val="69424E96"/>
    <w:rsid w:val="6947611B"/>
    <w:rsid w:val="69663B64"/>
    <w:rsid w:val="6A027BE9"/>
    <w:rsid w:val="6A0E0211"/>
    <w:rsid w:val="6A0F06FE"/>
    <w:rsid w:val="6A450BCC"/>
    <w:rsid w:val="6A461176"/>
    <w:rsid w:val="6A4A3DCA"/>
    <w:rsid w:val="6A5D6B33"/>
    <w:rsid w:val="6A6D77DF"/>
    <w:rsid w:val="6A925819"/>
    <w:rsid w:val="6A9326C0"/>
    <w:rsid w:val="6A9537D3"/>
    <w:rsid w:val="6A973843"/>
    <w:rsid w:val="6A9D5EA2"/>
    <w:rsid w:val="6AA53658"/>
    <w:rsid w:val="6AC17B95"/>
    <w:rsid w:val="6ADF643C"/>
    <w:rsid w:val="6AE30A68"/>
    <w:rsid w:val="6AEF1D8E"/>
    <w:rsid w:val="6B13110F"/>
    <w:rsid w:val="6B1547BC"/>
    <w:rsid w:val="6B327181"/>
    <w:rsid w:val="6B3A6D03"/>
    <w:rsid w:val="6B3C34E4"/>
    <w:rsid w:val="6B5A786E"/>
    <w:rsid w:val="6B654730"/>
    <w:rsid w:val="6B6963C1"/>
    <w:rsid w:val="6B6E3E28"/>
    <w:rsid w:val="6BB93570"/>
    <w:rsid w:val="6BC11534"/>
    <w:rsid w:val="6BE412FC"/>
    <w:rsid w:val="6C176A02"/>
    <w:rsid w:val="6C262216"/>
    <w:rsid w:val="6C3E0ECC"/>
    <w:rsid w:val="6C5A4C7B"/>
    <w:rsid w:val="6C5D3175"/>
    <w:rsid w:val="6C694DA1"/>
    <w:rsid w:val="6C8E4F7F"/>
    <w:rsid w:val="6C8E6426"/>
    <w:rsid w:val="6CDC12C1"/>
    <w:rsid w:val="6D225C94"/>
    <w:rsid w:val="6D27322D"/>
    <w:rsid w:val="6D4479CE"/>
    <w:rsid w:val="6D510070"/>
    <w:rsid w:val="6D553980"/>
    <w:rsid w:val="6D993360"/>
    <w:rsid w:val="6DB87EEF"/>
    <w:rsid w:val="6DB9712B"/>
    <w:rsid w:val="6DBF2403"/>
    <w:rsid w:val="6DC56897"/>
    <w:rsid w:val="6DCB1EBA"/>
    <w:rsid w:val="6DD302BD"/>
    <w:rsid w:val="6DD5133E"/>
    <w:rsid w:val="6DF27B18"/>
    <w:rsid w:val="6E373B29"/>
    <w:rsid w:val="6E435893"/>
    <w:rsid w:val="6E5045F6"/>
    <w:rsid w:val="6E6C7200"/>
    <w:rsid w:val="6E847148"/>
    <w:rsid w:val="6E8A6324"/>
    <w:rsid w:val="6EA05303"/>
    <w:rsid w:val="6EBE3D0C"/>
    <w:rsid w:val="6EFD3CF8"/>
    <w:rsid w:val="6F013ADB"/>
    <w:rsid w:val="6FA015D9"/>
    <w:rsid w:val="6FF50F79"/>
    <w:rsid w:val="6FFA072E"/>
    <w:rsid w:val="6FFC017C"/>
    <w:rsid w:val="70155FA0"/>
    <w:rsid w:val="70215F93"/>
    <w:rsid w:val="70483B44"/>
    <w:rsid w:val="706D573E"/>
    <w:rsid w:val="708D544F"/>
    <w:rsid w:val="70987CB4"/>
    <w:rsid w:val="709E0C69"/>
    <w:rsid w:val="70D042A3"/>
    <w:rsid w:val="71344EBD"/>
    <w:rsid w:val="718B5BF3"/>
    <w:rsid w:val="71A42339"/>
    <w:rsid w:val="71EE7B9E"/>
    <w:rsid w:val="71F12A36"/>
    <w:rsid w:val="721E2163"/>
    <w:rsid w:val="725264E2"/>
    <w:rsid w:val="729032CB"/>
    <w:rsid w:val="729D6082"/>
    <w:rsid w:val="72D90424"/>
    <w:rsid w:val="72E713B6"/>
    <w:rsid w:val="72F24950"/>
    <w:rsid w:val="72F30BCF"/>
    <w:rsid w:val="732D787D"/>
    <w:rsid w:val="735C0D01"/>
    <w:rsid w:val="7360182A"/>
    <w:rsid w:val="736270D9"/>
    <w:rsid w:val="737A4749"/>
    <w:rsid w:val="73C216D1"/>
    <w:rsid w:val="740952C5"/>
    <w:rsid w:val="740C7765"/>
    <w:rsid w:val="741B098E"/>
    <w:rsid w:val="741D6288"/>
    <w:rsid w:val="7479071B"/>
    <w:rsid w:val="74C12A72"/>
    <w:rsid w:val="74C47922"/>
    <w:rsid w:val="74CF1D4E"/>
    <w:rsid w:val="751727AE"/>
    <w:rsid w:val="75327703"/>
    <w:rsid w:val="75446148"/>
    <w:rsid w:val="755B649A"/>
    <w:rsid w:val="756C2992"/>
    <w:rsid w:val="756C484D"/>
    <w:rsid w:val="757A2967"/>
    <w:rsid w:val="75907ECA"/>
    <w:rsid w:val="75A12718"/>
    <w:rsid w:val="75A67F73"/>
    <w:rsid w:val="75B62930"/>
    <w:rsid w:val="75F72A73"/>
    <w:rsid w:val="75F7589A"/>
    <w:rsid w:val="76201CA6"/>
    <w:rsid w:val="7632296E"/>
    <w:rsid w:val="76455B76"/>
    <w:rsid w:val="764D3ECC"/>
    <w:rsid w:val="76505B86"/>
    <w:rsid w:val="76737029"/>
    <w:rsid w:val="768D2928"/>
    <w:rsid w:val="769040C8"/>
    <w:rsid w:val="76D60B4F"/>
    <w:rsid w:val="76DB1486"/>
    <w:rsid w:val="76E876FE"/>
    <w:rsid w:val="773707A8"/>
    <w:rsid w:val="77397964"/>
    <w:rsid w:val="77567500"/>
    <w:rsid w:val="77966548"/>
    <w:rsid w:val="77BA133B"/>
    <w:rsid w:val="77BC3205"/>
    <w:rsid w:val="77C27994"/>
    <w:rsid w:val="77D56706"/>
    <w:rsid w:val="77E21119"/>
    <w:rsid w:val="77E35E88"/>
    <w:rsid w:val="77F314EF"/>
    <w:rsid w:val="77FA7AF0"/>
    <w:rsid w:val="780134E4"/>
    <w:rsid w:val="7802679E"/>
    <w:rsid w:val="78195742"/>
    <w:rsid w:val="78541665"/>
    <w:rsid w:val="78570020"/>
    <w:rsid w:val="78622BBA"/>
    <w:rsid w:val="7870617A"/>
    <w:rsid w:val="7883324D"/>
    <w:rsid w:val="78C7566B"/>
    <w:rsid w:val="78CE3662"/>
    <w:rsid w:val="78DA7833"/>
    <w:rsid w:val="791E4653"/>
    <w:rsid w:val="791F7E4E"/>
    <w:rsid w:val="79774102"/>
    <w:rsid w:val="797C6051"/>
    <w:rsid w:val="79B24CCB"/>
    <w:rsid w:val="79C06EC3"/>
    <w:rsid w:val="79D75C1A"/>
    <w:rsid w:val="79E11CA0"/>
    <w:rsid w:val="79FC5FDC"/>
    <w:rsid w:val="7A195C52"/>
    <w:rsid w:val="7A1E734A"/>
    <w:rsid w:val="7A383ED1"/>
    <w:rsid w:val="7A4205E2"/>
    <w:rsid w:val="7A526B38"/>
    <w:rsid w:val="7A761546"/>
    <w:rsid w:val="7A966FC2"/>
    <w:rsid w:val="7AA933A9"/>
    <w:rsid w:val="7AB5657C"/>
    <w:rsid w:val="7AB66891"/>
    <w:rsid w:val="7ACE7C52"/>
    <w:rsid w:val="7AE36D8C"/>
    <w:rsid w:val="7AF71452"/>
    <w:rsid w:val="7B075CC0"/>
    <w:rsid w:val="7B245443"/>
    <w:rsid w:val="7B55009F"/>
    <w:rsid w:val="7B7435C5"/>
    <w:rsid w:val="7B8F7E3A"/>
    <w:rsid w:val="7BCF4939"/>
    <w:rsid w:val="7BDD4260"/>
    <w:rsid w:val="7BF5303D"/>
    <w:rsid w:val="7BF74F51"/>
    <w:rsid w:val="7C0603CA"/>
    <w:rsid w:val="7C117408"/>
    <w:rsid w:val="7C2F311C"/>
    <w:rsid w:val="7C6343A9"/>
    <w:rsid w:val="7C735482"/>
    <w:rsid w:val="7C7417F6"/>
    <w:rsid w:val="7C9E4508"/>
    <w:rsid w:val="7CB3002E"/>
    <w:rsid w:val="7CBF52BB"/>
    <w:rsid w:val="7CD571C7"/>
    <w:rsid w:val="7CF11F1A"/>
    <w:rsid w:val="7D1F5781"/>
    <w:rsid w:val="7D2711EE"/>
    <w:rsid w:val="7D575C05"/>
    <w:rsid w:val="7D804BCB"/>
    <w:rsid w:val="7D97435C"/>
    <w:rsid w:val="7E085057"/>
    <w:rsid w:val="7E1A732B"/>
    <w:rsid w:val="7E2F0C0E"/>
    <w:rsid w:val="7E4131E0"/>
    <w:rsid w:val="7E4B73CD"/>
    <w:rsid w:val="7E5F2AB1"/>
    <w:rsid w:val="7E635D4F"/>
    <w:rsid w:val="7E8238E2"/>
    <w:rsid w:val="7E881FBA"/>
    <w:rsid w:val="7E8E6F00"/>
    <w:rsid w:val="7E9215B9"/>
    <w:rsid w:val="7EB65E0A"/>
    <w:rsid w:val="7EDF47CA"/>
    <w:rsid w:val="7EE47A0C"/>
    <w:rsid w:val="7EEF0297"/>
    <w:rsid w:val="7F270CCF"/>
    <w:rsid w:val="7F577007"/>
    <w:rsid w:val="7F5B4CC3"/>
    <w:rsid w:val="7F964FD2"/>
    <w:rsid w:val="7F9F481C"/>
    <w:rsid w:val="7FAB3931"/>
    <w:rsid w:val="7FB8584F"/>
    <w:rsid w:val="7FB875FF"/>
    <w:rsid w:val="7FBF0152"/>
    <w:rsid w:val="7FC87FC1"/>
    <w:rsid w:val="7FD03881"/>
    <w:rsid w:val="7FDB231D"/>
    <w:rsid w:val="7FF573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20"/>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next w:val="1"/>
    <w:semiHidden/>
    <w:qFormat/>
    <w:uiPriority w:val="0"/>
    <w:pPr>
      <w:tabs>
        <w:tab w:val="right" w:leader="dot" w:pos="9345"/>
      </w:tabs>
      <w:spacing w:line="360" w:lineRule="auto"/>
      <w:jc w:val="both"/>
    </w:pPr>
    <w:rPr>
      <w:rFonts w:ascii="宋体" w:hAnsi="Times New Roman" w:eastAsia="宋体" w:cs="Times New Roman"/>
      <w:sz w:val="21"/>
      <w:lang w:val="en-US" w:eastAsia="zh-CN" w:bidi="ar-SA"/>
    </w:rPr>
  </w:style>
  <w:style w:type="paragraph" w:styleId="8">
    <w:name w:val="footnote text"/>
    <w:basedOn w:val="1"/>
    <w:qFormat/>
    <w:uiPriority w:val="0"/>
    <w:pPr>
      <w:snapToGrid w:val="0"/>
      <w:jc w:val="left"/>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page number"/>
    <w:basedOn w:val="12"/>
    <w:qFormat/>
    <w:uiPriority w:val="0"/>
  </w:style>
  <w:style w:type="character" w:styleId="15">
    <w:name w:val="Emphasis"/>
    <w:basedOn w:val="12"/>
    <w:qFormat/>
    <w:uiPriority w:val="0"/>
    <w:rPr>
      <w:i/>
    </w:rPr>
  </w:style>
  <w:style w:type="character" w:styleId="16">
    <w:name w:val="Hyperlink"/>
    <w:basedOn w:val="12"/>
    <w:qFormat/>
    <w:uiPriority w:val="0"/>
    <w:rPr>
      <w:color w:val="0000FF"/>
      <w:u w:val="single"/>
    </w:rPr>
  </w:style>
  <w:style w:type="character" w:styleId="17">
    <w:name w:val="footnote reference"/>
    <w:basedOn w:val="12"/>
    <w:qFormat/>
    <w:uiPriority w:val="0"/>
    <w:rPr>
      <w:vertAlign w:val="superscript"/>
    </w:rPr>
  </w:style>
  <w:style w:type="paragraph" w:customStyle="1" w:styleId="18">
    <w:name w:val="附录标识"/>
    <w:basedOn w:val="1"/>
    <w:qFormat/>
    <w:uiPriority w:val="0"/>
    <w:pPr>
      <w:widowControl/>
      <w:numPr>
        <w:ilvl w:val="0"/>
        <w:numId w:val="1"/>
      </w:numPr>
      <w:shd w:val="clear" w:color="FFFFFF" w:fill="FFFFFF"/>
      <w:tabs>
        <w:tab w:val="left" w:pos="6405"/>
      </w:tabs>
      <w:spacing w:before="640" w:after="200"/>
      <w:jc w:val="center"/>
      <w:outlineLvl w:val="0"/>
    </w:pPr>
    <w:rPr>
      <w:rFonts w:ascii="黑体" w:eastAsia="黑体"/>
      <w:kern w:val="0"/>
      <w:szCs w:val="20"/>
    </w:rPr>
  </w:style>
  <w:style w:type="paragraph" w:customStyle="1" w:styleId="1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0">
    <w:name w:val="批注框文本 Char"/>
    <w:basedOn w:val="12"/>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单身中不婚人群占比</a:t>
            </a:r>
          </a:p>
        </c:rich>
      </c:tx>
      <c:layout>
        <c:manualLayout>
          <c:xMode val="edge"/>
          <c:yMode val="edge"/>
          <c:x val="0.129558345784211"/>
          <c:y val="0.0582443947658051"/>
        </c:manualLayout>
      </c:layout>
      <c:overlay val="0"/>
      <c:spPr>
        <a:noFill/>
        <a:ln>
          <a:noFill/>
        </a:ln>
        <a:effectLst/>
      </c:spPr>
    </c:title>
    <c:autoTitleDeleted val="0"/>
    <c:plotArea>
      <c:layout>
        <c:manualLayout>
          <c:layoutTarget val="inner"/>
          <c:xMode val="edge"/>
          <c:yMode val="edge"/>
          <c:x val="0.300459674049312"/>
          <c:y val="0.25974025974026"/>
          <c:w val="0.408552723220505"/>
          <c:h val="0.692561983471074"/>
        </c:manualLayout>
      </c:layout>
      <c:pieChart>
        <c:varyColors val="1"/>
        <c:ser>
          <c:idx val="0"/>
          <c:order val="0"/>
          <c:tx>
            <c:strRef>
              <c:f>Sheet1!$B$1</c:f>
              <c:strCache>
                <c:ptCount val="1"/>
                <c:pt idx="0">
                  <c:v>不婚人群</c:v>
                </c:pt>
              </c:strCache>
            </c:strRef>
          </c:tx>
          <c:spPr>
            <a:solidFill>
              <a:srgbClr val="859949"/>
            </a:solidFill>
            <a:ln w="31750">
              <a:solidFill>
                <a:schemeClr val="bg1">
                  <a:alpha val="42000"/>
                </a:schemeClr>
              </a:solidFill>
            </a:ln>
          </c:spPr>
          <c:explosion val="0"/>
          <c:dPt>
            <c:idx val="0"/>
            <c:bubble3D val="0"/>
            <c:spPr>
              <a:solidFill>
                <a:srgbClr val="365B7C"/>
              </a:solidFill>
              <a:ln w="31750">
                <a:solidFill>
                  <a:schemeClr val="bg1">
                    <a:alpha val="42000"/>
                  </a:schemeClr>
                </a:solidFill>
              </a:ln>
              <a:effectLst/>
            </c:spPr>
          </c:dPt>
          <c:dPt>
            <c:idx val="1"/>
            <c:bubble3D val="0"/>
            <c:spPr>
              <a:solidFill>
                <a:srgbClr val="966480"/>
              </a:solidFill>
              <a:ln w="31750">
                <a:solidFill>
                  <a:schemeClr val="bg1">
                    <a:alpha val="42000"/>
                  </a:schemeClr>
                </a:solidFill>
              </a:ln>
              <a:effectLst/>
            </c:spPr>
          </c:dPt>
          <c:dPt>
            <c:idx val="2"/>
            <c:bubble3D val="0"/>
            <c:spPr>
              <a:solidFill>
                <a:srgbClr val="D06F83"/>
              </a:solidFill>
              <a:ln w="31750">
                <a:solidFill>
                  <a:schemeClr val="bg1">
                    <a:alpha val="42000"/>
                  </a:schemeClr>
                </a:solidFill>
              </a:ln>
              <a:effectLst/>
            </c:spPr>
          </c:dPt>
          <c:dPt>
            <c:idx val="3"/>
            <c:bubble3D val="0"/>
            <c:spPr>
              <a:solidFill>
                <a:srgbClr val="DD5F71"/>
              </a:solidFill>
              <a:ln w="31750">
                <a:solidFill>
                  <a:schemeClr val="bg1">
                    <a:alpha val="42000"/>
                  </a:schemeClr>
                </a:solidFill>
              </a:ln>
              <a:effectLst/>
            </c:spPr>
          </c:dPt>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不婚人群</c:v>
                </c:pt>
                <c:pt idx="1">
                  <c:v>计划结婚人群</c:v>
                </c:pt>
              </c:strCache>
            </c:strRef>
          </c:cat>
          <c:val>
            <c:numRef>
              <c:f>Sheet1!$B$2:$B$5</c:f>
              <c:numCache>
                <c:formatCode>General</c:formatCode>
                <c:ptCount val="4"/>
                <c:pt idx="0">
                  <c:v>25</c:v>
                </c:pt>
                <c:pt idx="1">
                  <c:v>75</c:v>
                </c:pt>
              </c:numCache>
            </c:numRef>
          </c:val>
        </c:ser>
        <c:ser>
          <c:idx val="1"/>
          <c:order val="1"/>
          <c:tx>
            <c:strRef>
              <c:f>Sheet1!$C$1</c:f>
              <c:strCache>
                <c:ptCount val="1"/>
                <c:pt idx="0">
                  <c:v/>
                </c:pt>
              </c:strCache>
            </c:strRef>
          </c:tx>
          <c:spPr>
            <a:solidFill>
              <a:srgbClr val="859949"/>
            </a:solidFill>
            <a:ln w="31750">
              <a:solidFill>
                <a:schemeClr val="bg1">
                  <a:alpha val="42000"/>
                </a:schemeClr>
              </a:solidFill>
            </a:ln>
          </c:spPr>
          <c:explosion val="0"/>
          <c:dPt>
            <c:idx val="0"/>
            <c:bubble3D val="0"/>
            <c:spPr>
              <a:solidFill>
                <a:srgbClr val="365B7C"/>
              </a:solidFill>
              <a:ln w="31750">
                <a:solidFill>
                  <a:schemeClr val="bg1">
                    <a:alpha val="42000"/>
                  </a:schemeClr>
                </a:solidFill>
              </a:ln>
              <a:effectLst/>
            </c:spPr>
          </c:dPt>
          <c:dPt>
            <c:idx val="1"/>
            <c:bubble3D val="0"/>
            <c:spPr>
              <a:solidFill>
                <a:srgbClr val="966480"/>
              </a:solidFill>
              <a:ln w="31750">
                <a:solidFill>
                  <a:schemeClr val="bg1">
                    <a:alpha val="42000"/>
                  </a:schemeClr>
                </a:solidFill>
              </a:ln>
              <a:effectLst/>
            </c:spPr>
          </c:dPt>
          <c:dPt>
            <c:idx val="2"/>
            <c:bubble3D val="0"/>
            <c:spPr>
              <a:solidFill>
                <a:srgbClr val="D06F83"/>
              </a:solidFill>
              <a:ln w="31750">
                <a:solidFill>
                  <a:schemeClr val="bg1">
                    <a:alpha val="42000"/>
                  </a:schemeClr>
                </a:solidFill>
              </a:ln>
              <a:effectLst/>
            </c:spPr>
          </c:dPt>
          <c:dPt>
            <c:idx val="3"/>
            <c:bubble3D val="0"/>
            <c:spPr>
              <a:solidFill>
                <a:srgbClr val="DD5F71"/>
              </a:solidFill>
              <a:ln w="31750">
                <a:solidFill>
                  <a:schemeClr val="bg1">
                    <a:alpha val="42000"/>
                  </a:schemeClr>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不婚人群</c:v>
                </c:pt>
                <c:pt idx="1">
                  <c:v>计划结婚人群</c:v>
                </c:pt>
              </c:strCache>
            </c:strRef>
          </c:cat>
          <c:val>
            <c:numRef>
              <c:f>Sheet1!$C$2:$C$5</c:f>
              <c:numCache>
                <c:formatCode>General</c:formatCode>
                <c:ptCount val="4"/>
              </c:numCache>
            </c:numRef>
          </c:val>
        </c:ser>
        <c:ser>
          <c:idx val="2"/>
          <c:order val="2"/>
          <c:tx>
            <c:strRef>
              <c:f>Sheet1!$D$1</c:f>
              <c:strCache>
                <c:ptCount val="1"/>
                <c:pt idx="0">
                  <c:v/>
                </c:pt>
              </c:strCache>
            </c:strRef>
          </c:tx>
          <c:spPr>
            <a:solidFill>
              <a:srgbClr val="859949"/>
            </a:solidFill>
            <a:ln w="31750">
              <a:solidFill>
                <a:schemeClr val="bg1">
                  <a:alpha val="42000"/>
                </a:schemeClr>
              </a:solidFill>
            </a:ln>
          </c:spPr>
          <c:explosion val="0"/>
          <c:dPt>
            <c:idx val="0"/>
            <c:bubble3D val="0"/>
            <c:spPr>
              <a:solidFill>
                <a:srgbClr val="365B7C"/>
              </a:solidFill>
              <a:ln w="31750">
                <a:solidFill>
                  <a:schemeClr val="bg1">
                    <a:alpha val="42000"/>
                  </a:schemeClr>
                </a:solidFill>
              </a:ln>
              <a:effectLst/>
            </c:spPr>
          </c:dPt>
          <c:dPt>
            <c:idx val="1"/>
            <c:bubble3D val="0"/>
            <c:spPr>
              <a:solidFill>
                <a:srgbClr val="966480"/>
              </a:solidFill>
              <a:ln w="31750">
                <a:solidFill>
                  <a:schemeClr val="bg1">
                    <a:alpha val="42000"/>
                  </a:schemeClr>
                </a:solidFill>
              </a:ln>
              <a:effectLst/>
            </c:spPr>
          </c:dPt>
          <c:dPt>
            <c:idx val="2"/>
            <c:bubble3D val="0"/>
            <c:spPr>
              <a:solidFill>
                <a:srgbClr val="D06F83"/>
              </a:solidFill>
              <a:ln w="31750">
                <a:solidFill>
                  <a:schemeClr val="bg1">
                    <a:alpha val="42000"/>
                  </a:schemeClr>
                </a:solidFill>
              </a:ln>
              <a:effectLst/>
            </c:spPr>
          </c:dPt>
          <c:dPt>
            <c:idx val="3"/>
            <c:bubble3D val="0"/>
            <c:spPr>
              <a:solidFill>
                <a:srgbClr val="DD5F71"/>
              </a:solidFill>
              <a:ln w="31750">
                <a:solidFill>
                  <a:schemeClr val="bg1">
                    <a:alpha val="42000"/>
                  </a:schemeClr>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不婚人群</c:v>
                </c:pt>
                <c:pt idx="1">
                  <c:v>计划结婚人群</c:v>
                </c:pt>
              </c:strCache>
            </c:strRef>
          </c:cat>
          <c:val>
            <c:numRef>
              <c:f>Sheet1!$D$2:$D$5</c:f>
              <c:numCache>
                <c:formatCode>General</c:formatCode>
                <c:ptCount val="4"/>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t"/>
      <c:legendEntry>
        <c:idx val="2"/>
        <c:delete val="1"/>
      </c:legendEntry>
      <c:legendEntry>
        <c:idx val="3"/>
        <c:delete val="1"/>
      </c:legendEntry>
      <c:layout>
        <c:manualLayout>
          <c:xMode val="edge"/>
          <c:yMode val="edge"/>
          <c:x val="0.344060362740443"/>
          <c:y val="0.226909974244907"/>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a:lstStyle/>
    <a:p>
      <a:pPr>
        <a:defRPr lang="zh-CN">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不婚年龄人群占比</a:t>
            </a:r>
          </a:p>
        </c:rich>
      </c:tx>
      <c:layout>
        <c:manualLayout>
          <c:xMode val="edge"/>
          <c:yMode val="edge"/>
          <c:x val="0.188493667475074"/>
          <c:y val="0.0349912521869533"/>
        </c:manualLayout>
      </c:layout>
      <c:overlay val="0"/>
      <c:spPr>
        <a:noFill/>
        <a:ln>
          <a:noFill/>
        </a:ln>
        <a:effectLst/>
      </c:spPr>
    </c:title>
    <c:autoTitleDeleted val="0"/>
    <c:plotArea>
      <c:layout>
        <c:manualLayout>
          <c:layoutTarget val="inner"/>
          <c:xMode val="edge"/>
          <c:yMode val="edge"/>
          <c:x val="0.300459674049312"/>
          <c:y val="0.25974025974026"/>
          <c:w val="0.408552723220505"/>
          <c:h val="0.692561983471074"/>
        </c:manualLayout>
      </c:layout>
      <c:pieChart>
        <c:varyColors val="1"/>
        <c:ser>
          <c:idx val="0"/>
          <c:order val="0"/>
          <c:tx>
            <c:strRef>
              <c:f>Sheet1!$B$1</c:f>
              <c:strCache>
                <c:ptCount val="1"/>
                <c:pt idx="0">
                  <c:v>系列 1</c:v>
                </c:pt>
              </c:strCache>
            </c:strRef>
          </c:tx>
          <c:spPr>
            <a:solidFill>
              <a:srgbClr val="859949"/>
            </a:solidFill>
            <a:ln w="31750">
              <a:solidFill>
                <a:schemeClr val="bg1">
                  <a:alpha val="42000"/>
                </a:schemeClr>
              </a:solidFill>
            </a:ln>
          </c:spPr>
          <c:explosion val="0"/>
          <c:dPt>
            <c:idx val="0"/>
            <c:bubble3D val="0"/>
            <c:spPr>
              <a:solidFill>
                <a:srgbClr val="365B7C"/>
              </a:solidFill>
              <a:ln w="31750">
                <a:solidFill>
                  <a:schemeClr val="bg1">
                    <a:alpha val="42000"/>
                  </a:schemeClr>
                </a:solidFill>
              </a:ln>
              <a:effectLst/>
            </c:spPr>
          </c:dPt>
          <c:dPt>
            <c:idx val="1"/>
            <c:bubble3D val="0"/>
            <c:spPr>
              <a:solidFill>
                <a:srgbClr val="966480"/>
              </a:solidFill>
              <a:ln w="31750">
                <a:solidFill>
                  <a:schemeClr val="bg1">
                    <a:alpha val="42000"/>
                  </a:schemeClr>
                </a:solidFill>
              </a:ln>
              <a:effectLst/>
            </c:spPr>
          </c:dPt>
          <c:dPt>
            <c:idx val="2"/>
            <c:bubble3D val="0"/>
            <c:spPr>
              <a:solidFill>
                <a:srgbClr val="D06F83"/>
              </a:solidFill>
              <a:ln w="31750">
                <a:solidFill>
                  <a:schemeClr val="bg1">
                    <a:alpha val="42000"/>
                  </a:schemeClr>
                </a:solidFill>
              </a:ln>
              <a:effectLst/>
            </c:spPr>
          </c:dPt>
          <c:dPt>
            <c:idx val="3"/>
            <c:bubble3D val="0"/>
            <c:spPr>
              <a:solidFill>
                <a:srgbClr val="DD5F71"/>
              </a:solidFill>
              <a:ln w="31750">
                <a:solidFill>
                  <a:schemeClr val="bg1">
                    <a:alpha val="42000"/>
                  </a:schemeClr>
                </a:solidFill>
              </a:ln>
              <a:effectLst/>
            </c:spPr>
          </c:dPt>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30岁以上</c:v>
                </c:pt>
                <c:pt idx="1">
                  <c:v>30岁以下</c:v>
                </c:pt>
                <c:pt idx="2">
                  <c:v>其他</c:v>
                </c:pt>
              </c:strCache>
            </c:strRef>
          </c:cat>
          <c:val>
            <c:numRef>
              <c:f>Sheet1!$B$2:$B$5</c:f>
              <c:numCache>
                <c:formatCode>General</c:formatCode>
                <c:ptCount val="4"/>
                <c:pt idx="0">
                  <c:v>52</c:v>
                </c:pt>
                <c:pt idx="1">
                  <c:v>46</c:v>
                </c:pt>
                <c:pt idx="2">
                  <c:v>2</c:v>
                </c:pt>
              </c:numCache>
            </c:numRef>
          </c:val>
        </c:ser>
        <c:ser>
          <c:idx val="1"/>
          <c:order val="1"/>
          <c:tx>
            <c:strRef>
              <c:f>Sheet1!$C$1</c:f>
              <c:strCache>
                <c:ptCount val="1"/>
                <c:pt idx="0">
                  <c:v/>
                </c:pt>
              </c:strCache>
            </c:strRef>
          </c:tx>
          <c:spPr>
            <a:solidFill>
              <a:srgbClr val="859949"/>
            </a:solidFill>
            <a:ln w="31750">
              <a:solidFill>
                <a:schemeClr val="bg1">
                  <a:alpha val="42000"/>
                </a:schemeClr>
              </a:solidFill>
            </a:ln>
          </c:spPr>
          <c:explosion val="0"/>
          <c:dPt>
            <c:idx val="0"/>
            <c:bubble3D val="0"/>
            <c:spPr>
              <a:solidFill>
                <a:srgbClr val="365B7C"/>
              </a:solidFill>
              <a:ln w="31750">
                <a:solidFill>
                  <a:schemeClr val="bg1">
                    <a:alpha val="42000"/>
                  </a:schemeClr>
                </a:solidFill>
              </a:ln>
              <a:effectLst/>
            </c:spPr>
          </c:dPt>
          <c:dPt>
            <c:idx val="1"/>
            <c:bubble3D val="0"/>
            <c:spPr>
              <a:solidFill>
                <a:srgbClr val="966480"/>
              </a:solidFill>
              <a:ln w="31750">
                <a:solidFill>
                  <a:schemeClr val="bg1">
                    <a:alpha val="42000"/>
                  </a:schemeClr>
                </a:solidFill>
              </a:ln>
              <a:effectLst/>
            </c:spPr>
          </c:dPt>
          <c:dPt>
            <c:idx val="2"/>
            <c:bubble3D val="0"/>
            <c:spPr>
              <a:solidFill>
                <a:srgbClr val="D06F83"/>
              </a:solidFill>
              <a:ln w="31750">
                <a:solidFill>
                  <a:schemeClr val="bg1">
                    <a:alpha val="42000"/>
                  </a:schemeClr>
                </a:solidFill>
              </a:ln>
              <a:effectLst/>
            </c:spPr>
          </c:dPt>
          <c:dPt>
            <c:idx val="3"/>
            <c:bubble3D val="0"/>
            <c:spPr>
              <a:solidFill>
                <a:srgbClr val="DD5F71"/>
              </a:solidFill>
              <a:ln w="31750">
                <a:solidFill>
                  <a:schemeClr val="bg1">
                    <a:alpha val="42000"/>
                  </a:schemeClr>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30岁以上</c:v>
                </c:pt>
                <c:pt idx="1">
                  <c:v>30岁以下</c:v>
                </c:pt>
                <c:pt idx="2">
                  <c:v>其他</c:v>
                </c:pt>
              </c:strCache>
            </c:strRef>
          </c:cat>
          <c:val>
            <c:numRef>
              <c:f>Sheet1!$C$2:$C$5</c:f>
              <c:numCache>
                <c:formatCode>General</c:formatCode>
                <c:ptCount val="4"/>
              </c:numCache>
            </c:numRef>
          </c:val>
        </c:ser>
        <c:ser>
          <c:idx val="2"/>
          <c:order val="2"/>
          <c:tx>
            <c:strRef>
              <c:f>Sheet1!$D$1</c:f>
              <c:strCache>
                <c:ptCount val="1"/>
                <c:pt idx="0">
                  <c:v/>
                </c:pt>
              </c:strCache>
            </c:strRef>
          </c:tx>
          <c:spPr>
            <a:solidFill>
              <a:srgbClr val="859949"/>
            </a:solidFill>
            <a:ln w="31750">
              <a:solidFill>
                <a:schemeClr val="bg1">
                  <a:alpha val="42000"/>
                </a:schemeClr>
              </a:solidFill>
            </a:ln>
          </c:spPr>
          <c:explosion val="0"/>
          <c:dPt>
            <c:idx val="0"/>
            <c:bubble3D val="0"/>
            <c:spPr>
              <a:solidFill>
                <a:srgbClr val="365B7C"/>
              </a:solidFill>
              <a:ln w="31750">
                <a:solidFill>
                  <a:schemeClr val="bg1">
                    <a:alpha val="42000"/>
                  </a:schemeClr>
                </a:solidFill>
              </a:ln>
              <a:effectLst/>
            </c:spPr>
          </c:dPt>
          <c:dPt>
            <c:idx val="1"/>
            <c:bubble3D val="0"/>
            <c:spPr>
              <a:solidFill>
                <a:srgbClr val="966480"/>
              </a:solidFill>
              <a:ln w="31750">
                <a:solidFill>
                  <a:schemeClr val="bg1">
                    <a:alpha val="42000"/>
                  </a:schemeClr>
                </a:solidFill>
              </a:ln>
              <a:effectLst/>
            </c:spPr>
          </c:dPt>
          <c:dPt>
            <c:idx val="2"/>
            <c:bubble3D val="0"/>
            <c:spPr>
              <a:solidFill>
                <a:srgbClr val="D06F83"/>
              </a:solidFill>
              <a:ln w="31750">
                <a:solidFill>
                  <a:schemeClr val="bg1">
                    <a:alpha val="42000"/>
                  </a:schemeClr>
                </a:solidFill>
              </a:ln>
              <a:effectLst/>
            </c:spPr>
          </c:dPt>
          <c:dPt>
            <c:idx val="3"/>
            <c:bubble3D val="0"/>
            <c:spPr>
              <a:solidFill>
                <a:srgbClr val="DD5F71"/>
              </a:solidFill>
              <a:ln w="31750">
                <a:solidFill>
                  <a:schemeClr val="bg1">
                    <a:alpha val="42000"/>
                  </a:schemeClr>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30岁以上</c:v>
                </c:pt>
                <c:pt idx="1">
                  <c:v>30岁以下</c:v>
                </c:pt>
                <c:pt idx="2">
                  <c:v>其他</c:v>
                </c:pt>
              </c:strCache>
            </c:strRef>
          </c:cat>
          <c:val>
            <c:numRef>
              <c:f>Sheet1!$D$2:$D$5</c:f>
              <c:numCache>
                <c:formatCode>General</c:formatCode>
                <c:ptCount val="4"/>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t"/>
      <c:legendEntry>
        <c:idx val="3"/>
        <c:delete val="1"/>
      </c:legendEntry>
      <c:layout>
        <c:manualLayout>
          <c:xMode val="edge"/>
          <c:yMode val="edge"/>
          <c:x val="0.156696308272703"/>
          <c:y val="0.221194701324669"/>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a:lstStyle/>
    <a:p>
      <a:pPr>
        <a:defRPr lang="zh-CN">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1704</Words>
  <Characters>9717</Characters>
  <Lines>80</Lines>
  <Paragraphs>22</Paragraphs>
  <TotalTime>1</TotalTime>
  <ScaleCrop>false</ScaleCrop>
  <LinksUpToDate>false</LinksUpToDate>
  <CharactersWithSpaces>11399</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2022-03-10T01:50:00Z</dcterms:created>
  <dc:creator>Administrator</dc:creator>
  <cp:lastModifiedBy>Administrator</cp:lastModifiedBy>
  <cp:lastPrinted>2022-07-08T03:20:00Z</cp:lastPrinted>
  <dcterms:modified xsi:type="dcterms:W3CDTF">2024-05-28T03:26:24Z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DFDE1FAD3E614A1EA1E6633666C9E474</vt:lpwstr>
  </property>
</Properties>
</file>