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2023</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2522.85</w:t>
            </w:r>
          </w:p>
        </w:tc>
        <w:tc>
          <w:tcPr>
            <w:tcW w:w="4535" w:type="dxa"/>
            <w:vAlign w:val="center"/>
          </w:tcPr>
          <w:p>
            <w:pPr>
              <w:pStyle w:val="14"/>
            </w:pPr>
            <w:r>
              <w:rPr>
                <w:rFonts w:hint="eastAsia"/>
              </w:rP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r>
              <w:t>1971.57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287.87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141.41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r>
              <w:t>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rPr>
                <w:rFonts w:hint="eastAsia"/>
              </w:rPr>
              <w:t>本年收入合计</w:t>
            </w:r>
          </w:p>
        </w:tc>
        <w:tc>
          <w:tcPr>
            <w:tcW w:w="2126" w:type="dxa"/>
            <w:vAlign w:val="center"/>
          </w:tcPr>
          <w:p>
            <w:pPr>
              <w:pStyle w:val="17"/>
            </w:pPr>
            <w:r>
              <w:t>2522.85</w:t>
            </w:r>
          </w:p>
        </w:tc>
        <w:tc>
          <w:tcPr>
            <w:tcW w:w="4535" w:type="dxa"/>
            <w:vAlign w:val="center"/>
          </w:tcPr>
          <w:p>
            <w:pPr>
              <w:pStyle w:val="16"/>
            </w:pPr>
            <w:r>
              <w:rPr>
                <w:rFonts w:hint="eastAsia"/>
              </w:rPr>
              <w:t>本年支出合计</w:t>
            </w:r>
          </w:p>
        </w:tc>
        <w:tc>
          <w:tcPr>
            <w:tcW w:w="2126" w:type="dxa"/>
            <w:vAlign w:val="center"/>
          </w:tcPr>
          <w:p>
            <w:pPr>
              <w:pStyle w:val="17"/>
            </w:pPr>
            <w:r>
              <w:t>2522.85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rPr>
                <w:rFonts w:hint="eastAsia"/>
              </w:rPr>
              <w:t>收入总计</w:t>
            </w:r>
          </w:p>
        </w:tc>
        <w:tc>
          <w:tcPr>
            <w:tcW w:w="2126" w:type="dxa"/>
            <w:vAlign w:val="center"/>
          </w:tcPr>
          <w:p>
            <w:pPr>
              <w:pStyle w:val="17"/>
            </w:pPr>
            <w:r>
              <w:t>2522.85</w:t>
            </w:r>
          </w:p>
        </w:tc>
        <w:tc>
          <w:tcPr>
            <w:tcW w:w="4535" w:type="dxa"/>
            <w:vAlign w:val="center"/>
          </w:tcPr>
          <w:p>
            <w:pPr>
              <w:pStyle w:val="16"/>
            </w:pPr>
            <w:r>
              <w:rPr>
                <w:rFonts w:hint="eastAsia"/>
              </w:rPr>
              <w:t>支出总计</w:t>
            </w:r>
          </w:p>
        </w:tc>
        <w:tc>
          <w:tcPr>
            <w:tcW w:w="2126" w:type="dxa"/>
            <w:vAlign w:val="center"/>
          </w:tcPr>
          <w:p>
            <w:pPr>
              <w:pStyle w:val="17"/>
            </w:pPr>
            <w:r>
              <w:t>2522.85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2522.85</w:t>
            </w:r>
          </w:p>
        </w:tc>
        <w:tc>
          <w:tcPr>
            <w:tcW w:w="1134" w:type="dxa"/>
            <w:vAlign w:val="center"/>
          </w:tcPr>
          <w:p>
            <w:pPr>
              <w:pStyle w:val="17"/>
            </w:pPr>
            <w:r>
              <w:t>2522.85</w:t>
            </w:r>
          </w:p>
        </w:tc>
        <w:tc>
          <w:tcPr>
            <w:tcW w:w="1134" w:type="dxa"/>
            <w:vAlign w:val="center"/>
          </w:tcPr>
          <w:p>
            <w:pPr>
              <w:pStyle w:val="17"/>
            </w:pPr>
            <w:r>
              <w:t>2522.85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rPr>
                <w:rFonts w:hint="eastAsia"/>
              </w:rPr>
              <w:t>公共安全支出</w:t>
            </w:r>
          </w:p>
        </w:tc>
        <w:tc>
          <w:tcPr>
            <w:tcW w:w="1134" w:type="dxa"/>
            <w:vAlign w:val="center"/>
          </w:tcPr>
          <w:p>
            <w:pPr>
              <w:pStyle w:val="13"/>
            </w:pPr>
            <w:r>
              <w:t>1971.57</w:t>
            </w:r>
          </w:p>
        </w:tc>
        <w:tc>
          <w:tcPr>
            <w:tcW w:w="1134" w:type="dxa"/>
            <w:vAlign w:val="center"/>
          </w:tcPr>
          <w:p>
            <w:pPr>
              <w:pStyle w:val="13"/>
            </w:pPr>
            <w:r>
              <w:t>1971.57</w:t>
            </w:r>
          </w:p>
        </w:tc>
        <w:tc>
          <w:tcPr>
            <w:tcW w:w="1134" w:type="dxa"/>
            <w:vAlign w:val="center"/>
          </w:tcPr>
          <w:p>
            <w:pPr>
              <w:pStyle w:val="13"/>
            </w:pPr>
            <w:r>
              <w:t>1971.57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20405</w:t>
            </w:r>
          </w:p>
        </w:tc>
        <w:tc>
          <w:tcPr>
            <w:tcW w:w="1559" w:type="dxa"/>
            <w:vAlign w:val="center"/>
          </w:tcPr>
          <w:p>
            <w:pPr>
              <w:pStyle w:val="14"/>
            </w:pPr>
            <w:r>
              <w:rPr>
                <w:rFonts w:hint="eastAsia"/>
              </w:rPr>
              <w:t>法院</w:t>
            </w:r>
          </w:p>
        </w:tc>
        <w:tc>
          <w:tcPr>
            <w:tcW w:w="1134" w:type="dxa"/>
            <w:vAlign w:val="center"/>
          </w:tcPr>
          <w:p>
            <w:pPr>
              <w:pStyle w:val="13"/>
            </w:pPr>
            <w:r>
              <w:t>1971.57</w:t>
            </w:r>
          </w:p>
        </w:tc>
        <w:tc>
          <w:tcPr>
            <w:tcW w:w="1134" w:type="dxa"/>
            <w:vAlign w:val="center"/>
          </w:tcPr>
          <w:p>
            <w:pPr>
              <w:pStyle w:val="13"/>
            </w:pPr>
            <w:r>
              <w:t>1971.57</w:t>
            </w:r>
          </w:p>
        </w:tc>
        <w:tc>
          <w:tcPr>
            <w:tcW w:w="1134" w:type="dxa"/>
            <w:vAlign w:val="center"/>
          </w:tcPr>
          <w:p>
            <w:pPr>
              <w:pStyle w:val="13"/>
            </w:pPr>
            <w:r>
              <w:t>1971.57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2040501</w:t>
            </w:r>
          </w:p>
        </w:tc>
        <w:tc>
          <w:tcPr>
            <w:tcW w:w="1559" w:type="dxa"/>
            <w:vAlign w:val="center"/>
          </w:tcPr>
          <w:p>
            <w:pPr>
              <w:pStyle w:val="14"/>
            </w:pPr>
            <w:r>
              <w:rPr>
                <w:rFonts w:hint="eastAsia"/>
              </w:rPr>
              <w:t>行政运行</w:t>
            </w:r>
          </w:p>
        </w:tc>
        <w:tc>
          <w:tcPr>
            <w:tcW w:w="1134" w:type="dxa"/>
            <w:vAlign w:val="center"/>
          </w:tcPr>
          <w:p>
            <w:pPr>
              <w:pStyle w:val="13"/>
            </w:pPr>
            <w:r>
              <w:t>1677.57</w:t>
            </w:r>
          </w:p>
        </w:tc>
        <w:tc>
          <w:tcPr>
            <w:tcW w:w="1134" w:type="dxa"/>
            <w:vAlign w:val="center"/>
          </w:tcPr>
          <w:p>
            <w:pPr>
              <w:pStyle w:val="13"/>
            </w:pPr>
            <w:r>
              <w:t>1677.57</w:t>
            </w:r>
          </w:p>
        </w:tc>
        <w:tc>
          <w:tcPr>
            <w:tcW w:w="1134" w:type="dxa"/>
            <w:vAlign w:val="center"/>
          </w:tcPr>
          <w:p>
            <w:pPr>
              <w:pStyle w:val="13"/>
            </w:pPr>
            <w:r>
              <w:t>1677.57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2040502</w:t>
            </w:r>
          </w:p>
        </w:tc>
        <w:tc>
          <w:tcPr>
            <w:tcW w:w="1559" w:type="dxa"/>
            <w:vAlign w:val="center"/>
          </w:tcPr>
          <w:p>
            <w:pPr>
              <w:pStyle w:val="14"/>
            </w:pPr>
            <w:r>
              <w:rPr>
                <w:rFonts w:hint="eastAsia"/>
              </w:rPr>
              <w:t>一般行政管理事务</w:t>
            </w:r>
          </w:p>
        </w:tc>
        <w:tc>
          <w:tcPr>
            <w:tcW w:w="1134" w:type="dxa"/>
            <w:vAlign w:val="center"/>
          </w:tcPr>
          <w:p>
            <w:pPr>
              <w:pStyle w:val="13"/>
            </w:pPr>
            <w:r>
              <w:t>294.00</w:t>
            </w:r>
          </w:p>
        </w:tc>
        <w:tc>
          <w:tcPr>
            <w:tcW w:w="1134" w:type="dxa"/>
            <w:vAlign w:val="center"/>
          </w:tcPr>
          <w:p>
            <w:pPr>
              <w:pStyle w:val="13"/>
            </w:pPr>
            <w:r>
              <w:t>294.00</w:t>
            </w:r>
          </w:p>
        </w:tc>
        <w:tc>
          <w:tcPr>
            <w:tcW w:w="1134" w:type="dxa"/>
            <w:vAlign w:val="center"/>
          </w:tcPr>
          <w:p>
            <w:pPr>
              <w:pStyle w:val="13"/>
            </w:pPr>
            <w:r>
              <w:t>294.00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287.87</w:t>
            </w:r>
          </w:p>
        </w:tc>
        <w:tc>
          <w:tcPr>
            <w:tcW w:w="1134" w:type="dxa"/>
            <w:vAlign w:val="center"/>
          </w:tcPr>
          <w:p>
            <w:pPr>
              <w:pStyle w:val="13"/>
            </w:pPr>
            <w:r>
              <w:t>287.87</w:t>
            </w:r>
          </w:p>
        </w:tc>
        <w:tc>
          <w:tcPr>
            <w:tcW w:w="1134" w:type="dxa"/>
            <w:vAlign w:val="center"/>
          </w:tcPr>
          <w:p>
            <w:pPr>
              <w:pStyle w:val="13"/>
            </w:pPr>
            <w:r>
              <w:t>287.87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287.87</w:t>
            </w:r>
          </w:p>
        </w:tc>
        <w:tc>
          <w:tcPr>
            <w:tcW w:w="1134" w:type="dxa"/>
            <w:vAlign w:val="center"/>
          </w:tcPr>
          <w:p>
            <w:pPr>
              <w:pStyle w:val="13"/>
            </w:pPr>
            <w:r>
              <w:t>287.87</w:t>
            </w:r>
          </w:p>
        </w:tc>
        <w:tc>
          <w:tcPr>
            <w:tcW w:w="1134" w:type="dxa"/>
            <w:vAlign w:val="center"/>
          </w:tcPr>
          <w:p>
            <w:pPr>
              <w:pStyle w:val="13"/>
            </w:pPr>
            <w:r>
              <w:t>287.87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146.87</w:t>
            </w:r>
          </w:p>
        </w:tc>
        <w:tc>
          <w:tcPr>
            <w:tcW w:w="1134" w:type="dxa"/>
            <w:vAlign w:val="center"/>
          </w:tcPr>
          <w:p>
            <w:pPr>
              <w:pStyle w:val="13"/>
            </w:pPr>
            <w:r>
              <w:t>146.87</w:t>
            </w:r>
          </w:p>
        </w:tc>
        <w:tc>
          <w:tcPr>
            <w:tcW w:w="1134" w:type="dxa"/>
            <w:vAlign w:val="center"/>
          </w:tcPr>
          <w:p>
            <w:pPr>
              <w:pStyle w:val="13"/>
            </w:pPr>
            <w:r>
              <w:t>146.87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141.00</w:t>
            </w:r>
          </w:p>
        </w:tc>
        <w:tc>
          <w:tcPr>
            <w:tcW w:w="1134" w:type="dxa"/>
            <w:vAlign w:val="center"/>
          </w:tcPr>
          <w:p>
            <w:pPr>
              <w:pStyle w:val="13"/>
            </w:pPr>
            <w:r>
              <w:t>141.00</w:t>
            </w:r>
          </w:p>
        </w:tc>
        <w:tc>
          <w:tcPr>
            <w:tcW w:w="1134" w:type="dxa"/>
            <w:vAlign w:val="center"/>
          </w:tcPr>
          <w:p>
            <w:pPr>
              <w:pStyle w:val="13"/>
            </w:pPr>
            <w:r>
              <w:t>141.00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141.41</w:t>
            </w:r>
          </w:p>
        </w:tc>
        <w:tc>
          <w:tcPr>
            <w:tcW w:w="1134" w:type="dxa"/>
            <w:vAlign w:val="center"/>
          </w:tcPr>
          <w:p>
            <w:pPr>
              <w:pStyle w:val="13"/>
            </w:pPr>
            <w:r>
              <w:t>141.41</w:t>
            </w:r>
          </w:p>
        </w:tc>
        <w:tc>
          <w:tcPr>
            <w:tcW w:w="1134" w:type="dxa"/>
            <w:vAlign w:val="center"/>
          </w:tcPr>
          <w:p>
            <w:pPr>
              <w:pStyle w:val="13"/>
            </w:pPr>
            <w:r>
              <w:t>141.41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w:t>
            </w:r>
          </w:p>
        </w:tc>
        <w:tc>
          <w:tcPr>
            <w:tcW w:w="1559" w:type="dxa"/>
            <w:vAlign w:val="center"/>
          </w:tcPr>
          <w:p>
            <w:pPr>
              <w:pStyle w:val="14"/>
            </w:pPr>
            <w:r>
              <w:rPr>
                <w:rFonts w:hint="eastAsia"/>
              </w:rPr>
              <w:t>行政事业单位医疗</w:t>
            </w:r>
          </w:p>
        </w:tc>
        <w:tc>
          <w:tcPr>
            <w:tcW w:w="1134" w:type="dxa"/>
            <w:vAlign w:val="center"/>
          </w:tcPr>
          <w:p>
            <w:pPr>
              <w:pStyle w:val="13"/>
            </w:pPr>
            <w:r>
              <w:t>141.41</w:t>
            </w:r>
          </w:p>
        </w:tc>
        <w:tc>
          <w:tcPr>
            <w:tcW w:w="1134" w:type="dxa"/>
            <w:vAlign w:val="center"/>
          </w:tcPr>
          <w:p>
            <w:pPr>
              <w:pStyle w:val="13"/>
            </w:pPr>
            <w:r>
              <w:t>141.41</w:t>
            </w:r>
          </w:p>
        </w:tc>
        <w:tc>
          <w:tcPr>
            <w:tcW w:w="1134" w:type="dxa"/>
            <w:vAlign w:val="center"/>
          </w:tcPr>
          <w:p>
            <w:pPr>
              <w:pStyle w:val="13"/>
            </w:pPr>
            <w:r>
              <w:t>141.41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2101101</w:t>
            </w:r>
          </w:p>
        </w:tc>
        <w:tc>
          <w:tcPr>
            <w:tcW w:w="1559" w:type="dxa"/>
            <w:vAlign w:val="center"/>
          </w:tcPr>
          <w:p>
            <w:pPr>
              <w:pStyle w:val="14"/>
            </w:pPr>
            <w:r>
              <w:rPr>
                <w:rFonts w:hint="eastAsia"/>
              </w:rPr>
              <w:t>行政单位医疗</w:t>
            </w:r>
          </w:p>
        </w:tc>
        <w:tc>
          <w:tcPr>
            <w:tcW w:w="1134" w:type="dxa"/>
            <w:vAlign w:val="center"/>
          </w:tcPr>
          <w:p>
            <w:pPr>
              <w:pStyle w:val="13"/>
            </w:pPr>
            <w:r>
              <w:t>141.41</w:t>
            </w:r>
          </w:p>
        </w:tc>
        <w:tc>
          <w:tcPr>
            <w:tcW w:w="1134" w:type="dxa"/>
            <w:vAlign w:val="center"/>
          </w:tcPr>
          <w:p>
            <w:pPr>
              <w:pStyle w:val="13"/>
            </w:pPr>
            <w:r>
              <w:t>141.41</w:t>
            </w:r>
          </w:p>
        </w:tc>
        <w:tc>
          <w:tcPr>
            <w:tcW w:w="1134" w:type="dxa"/>
            <w:vAlign w:val="center"/>
          </w:tcPr>
          <w:p>
            <w:pPr>
              <w:pStyle w:val="13"/>
            </w:pPr>
            <w:r>
              <w:t>141.41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rPr>
                <w:rFonts w:hint="eastAsia"/>
              </w:rPr>
              <w:t>住房保障支出</w:t>
            </w:r>
          </w:p>
        </w:tc>
        <w:tc>
          <w:tcPr>
            <w:tcW w:w="1134" w:type="dxa"/>
            <w:vAlign w:val="center"/>
          </w:tcPr>
          <w:p>
            <w:pPr>
              <w:pStyle w:val="13"/>
            </w:pPr>
            <w:r>
              <w:t>122.00</w:t>
            </w:r>
          </w:p>
        </w:tc>
        <w:tc>
          <w:tcPr>
            <w:tcW w:w="1134" w:type="dxa"/>
            <w:vAlign w:val="center"/>
          </w:tcPr>
          <w:p>
            <w:pPr>
              <w:pStyle w:val="13"/>
            </w:pPr>
            <w:r>
              <w:t>122.00</w:t>
            </w:r>
          </w:p>
        </w:tc>
        <w:tc>
          <w:tcPr>
            <w:tcW w:w="1134" w:type="dxa"/>
            <w:vAlign w:val="center"/>
          </w:tcPr>
          <w:p>
            <w:pPr>
              <w:pStyle w:val="13"/>
            </w:pPr>
            <w:r>
              <w:t>122.00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rPr>
                <w:rFonts w:hint="eastAsia"/>
              </w:rPr>
              <w:t>住房改革支出</w:t>
            </w:r>
          </w:p>
        </w:tc>
        <w:tc>
          <w:tcPr>
            <w:tcW w:w="1134" w:type="dxa"/>
            <w:vAlign w:val="center"/>
          </w:tcPr>
          <w:p>
            <w:pPr>
              <w:pStyle w:val="13"/>
            </w:pPr>
            <w:r>
              <w:t>122.00</w:t>
            </w:r>
          </w:p>
        </w:tc>
        <w:tc>
          <w:tcPr>
            <w:tcW w:w="1134" w:type="dxa"/>
            <w:vAlign w:val="center"/>
          </w:tcPr>
          <w:p>
            <w:pPr>
              <w:pStyle w:val="13"/>
            </w:pPr>
            <w:r>
              <w:t>122.00</w:t>
            </w:r>
          </w:p>
        </w:tc>
        <w:tc>
          <w:tcPr>
            <w:tcW w:w="1134" w:type="dxa"/>
            <w:vAlign w:val="center"/>
          </w:tcPr>
          <w:p>
            <w:pPr>
              <w:pStyle w:val="13"/>
            </w:pPr>
            <w:r>
              <w:t>122.00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rPr>
                <w:rFonts w:hint="eastAsia"/>
              </w:rPr>
              <w:t>住房公积金</w:t>
            </w:r>
          </w:p>
        </w:tc>
        <w:tc>
          <w:tcPr>
            <w:tcW w:w="1134" w:type="dxa"/>
            <w:vAlign w:val="center"/>
          </w:tcPr>
          <w:p>
            <w:pPr>
              <w:pStyle w:val="13"/>
            </w:pPr>
            <w:r>
              <w:t>122.00</w:t>
            </w:r>
          </w:p>
        </w:tc>
        <w:tc>
          <w:tcPr>
            <w:tcW w:w="1134" w:type="dxa"/>
            <w:vAlign w:val="center"/>
          </w:tcPr>
          <w:p>
            <w:pPr>
              <w:pStyle w:val="13"/>
            </w:pPr>
            <w:r>
              <w:t>122.00</w:t>
            </w:r>
          </w:p>
        </w:tc>
        <w:tc>
          <w:tcPr>
            <w:tcW w:w="1134" w:type="dxa"/>
            <w:vAlign w:val="center"/>
          </w:tcPr>
          <w:p>
            <w:pPr>
              <w:pStyle w:val="13"/>
            </w:pPr>
            <w:r>
              <w:t>122.00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2522.85</w:t>
            </w:r>
          </w:p>
        </w:tc>
        <w:tc>
          <w:tcPr>
            <w:tcW w:w="1361" w:type="dxa"/>
            <w:vAlign w:val="center"/>
          </w:tcPr>
          <w:p>
            <w:pPr>
              <w:pStyle w:val="17"/>
            </w:pPr>
            <w:r>
              <w:t>2228.85</w:t>
            </w:r>
          </w:p>
        </w:tc>
        <w:tc>
          <w:tcPr>
            <w:tcW w:w="1361" w:type="dxa"/>
            <w:vAlign w:val="center"/>
          </w:tcPr>
          <w:p>
            <w:pPr>
              <w:pStyle w:val="17"/>
            </w:pPr>
            <w:r>
              <w:t>294.00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rPr>
                <w:rFonts w:hint="eastAsia"/>
              </w:rPr>
              <w:t>公共安全支出</w:t>
            </w:r>
          </w:p>
        </w:tc>
        <w:tc>
          <w:tcPr>
            <w:tcW w:w="1361" w:type="dxa"/>
            <w:vAlign w:val="center"/>
          </w:tcPr>
          <w:p>
            <w:pPr>
              <w:pStyle w:val="13"/>
            </w:pPr>
            <w:r>
              <w:t>1971.57</w:t>
            </w:r>
          </w:p>
        </w:tc>
        <w:tc>
          <w:tcPr>
            <w:tcW w:w="1361" w:type="dxa"/>
            <w:vAlign w:val="center"/>
          </w:tcPr>
          <w:p>
            <w:pPr>
              <w:pStyle w:val="13"/>
            </w:pPr>
            <w:r>
              <w:t>1677.57</w:t>
            </w:r>
          </w:p>
        </w:tc>
        <w:tc>
          <w:tcPr>
            <w:tcW w:w="1361" w:type="dxa"/>
            <w:vAlign w:val="center"/>
          </w:tcPr>
          <w:p>
            <w:pPr>
              <w:pStyle w:val="13"/>
            </w:pPr>
            <w:r>
              <w:t>294.00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20405</w:t>
            </w:r>
          </w:p>
        </w:tc>
        <w:tc>
          <w:tcPr>
            <w:tcW w:w="4535" w:type="dxa"/>
            <w:vAlign w:val="center"/>
          </w:tcPr>
          <w:p>
            <w:pPr>
              <w:pStyle w:val="14"/>
            </w:pPr>
            <w:r>
              <w:rPr>
                <w:rFonts w:hint="eastAsia"/>
              </w:rPr>
              <w:t>法院</w:t>
            </w:r>
          </w:p>
        </w:tc>
        <w:tc>
          <w:tcPr>
            <w:tcW w:w="1361" w:type="dxa"/>
            <w:vAlign w:val="center"/>
          </w:tcPr>
          <w:p>
            <w:pPr>
              <w:pStyle w:val="13"/>
            </w:pPr>
            <w:r>
              <w:t>1971.57</w:t>
            </w:r>
          </w:p>
        </w:tc>
        <w:tc>
          <w:tcPr>
            <w:tcW w:w="1361" w:type="dxa"/>
            <w:vAlign w:val="center"/>
          </w:tcPr>
          <w:p>
            <w:pPr>
              <w:pStyle w:val="13"/>
            </w:pPr>
            <w:r>
              <w:t>1677.57</w:t>
            </w:r>
          </w:p>
        </w:tc>
        <w:tc>
          <w:tcPr>
            <w:tcW w:w="1361" w:type="dxa"/>
            <w:vAlign w:val="center"/>
          </w:tcPr>
          <w:p>
            <w:pPr>
              <w:pStyle w:val="13"/>
            </w:pPr>
            <w:r>
              <w:t>294.00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2040501</w:t>
            </w:r>
          </w:p>
        </w:tc>
        <w:tc>
          <w:tcPr>
            <w:tcW w:w="4535" w:type="dxa"/>
            <w:vAlign w:val="center"/>
          </w:tcPr>
          <w:p>
            <w:pPr>
              <w:pStyle w:val="14"/>
            </w:pPr>
            <w:r>
              <w:rPr>
                <w:rFonts w:hint="eastAsia"/>
              </w:rPr>
              <w:t>行政运行</w:t>
            </w:r>
          </w:p>
        </w:tc>
        <w:tc>
          <w:tcPr>
            <w:tcW w:w="1361" w:type="dxa"/>
            <w:vAlign w:val="center"/>
          </w:tcPr>
          <w:p>
            <w:pPr>
              <w:pStyle w:val="13"/>
            </w:pPr>
            <w:r>
              <w:t>1677.57</w:t>
            </w:r>
          </w:p>
        </w:tc>
        <w:tc>
          <w:tcPr>
            <w:tcW w:w="1361" w:type="dxa"/>
            <w:vAlign w:val="center"/>
          </w:tcPr>
          <w:p>
            <w:pPr>
              <w:pStyle w:val="13"/>
            </w:pPr>
            <w:r>
              <w:t>1677.57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2040502</w:t>
            </w:r>
          </w:p>
        </w:tc>
        <w:tc>
          <w:tcPr>
            <w:tcW w:w="4535" w:type="dxa"/>
            <w:vAlign w:val="center"/>
          </w:tcPr>
          <w:p>
            <w:pPr>
              <w:pStyle w:val="14"/>
            </w:pPr>
            <w:r>
              <w:rPr>
                <w:rFonts w:hint="eastAsia"/>
              </w:rPr>
              <w:t>一般行政管理事务</w:t>
            </w:r>
          </w:p>
        </w:tc>
        <w:tc>
          <w:tcPr>
            <w:tcW w:w="1361" w:type="dxa"/>
            <w:vAlign w:val="center"/>
          </w:tcPr>
          <w:p>
            <w:pPr>
              <w:pStyle w:val="13"/>
            </w:pPr>
            <w:r>
              <w:t>294.00</w:t>
            </w:r>
          </w:p>
        </w:tc>
        <w:tc>
          <w:tcPr>
            <w:tcW w:w="1361" w:type="dxa"/>
            <w:vAlign w:val="center"/>
          </w:tcPr>
          <w:p>
            <w:pPr>
              <w:pStyle w:val="13"/>
            </w:pPr>
          </w:p>
        </w:tc>
        <w:tc>
          <w:tcPr>
            <w:tcW w:w="1361" w:type="dxa"/>
            <w:vAlign w:val="center"/>
          </w:tcPr>
          <w:p>
            <w:pPr>
              <w:pStyle w:val="13"/>
            </w:pPr>
            <w:r>
              <w:t>294.00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287.87</w:t>
            </w:r>
          </w:p>
        </w:tc>
        <w:tc>
          <w:tcPr>
            <w:tcW w:w="1361" w:type="dxa"/>
            <w:vAlign w:val="center"/>
          </w:tcPr>
          <w:p>
            <w:pPr>
              <w:pStyle w:val="13"/>
            </w:pPr>
            <w:r>
              <w:t>287.87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287.87</w:t>
            </w:r>
          </w:p>
        </w:tc>
        <w:tc>
          <w:tcPr>
            <w:tcW w:w="1361" w:type="dxa"/>
            <w:vAlign w:val="center"/>
          </w:tcPr>
          <w:p>
            <w:pPr>
              <w:pStyle w:val="13"/>
            </w:pPr>
            <w:r>
              <w:t>287.87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146.87</w:t>
            </w:r>
          </w:p>
        </w:tc>
        <w:tc>
          <w:tcPr>
            <w:tcW w:w="1361" w:type="dxa"/>
            <w:vAlign w:val="center"/>
          </w:tcPr>
          <w:p>
            <w:pPr>
              <w:pStyle w:val="13"/>
            </w:pPr>
            <w:r>
              <w:t>146.87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141.00</w:t>
            </w:r>
          </w:p>
        </w:tc>
        <w:tc>
          <w:tcPr>
            <w:tcW w:w="1361" w:type="dxa"/>
            <w:vAlign w:val="center"/>
          </w:tcPr>
          <w:p>
            <w:pPr>
              <w:pStyle w:val="13"/>
            </w:pPr>
            <w:r>
              <w:t>141.00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141.41</w:t>
            </w:r>
          </w:p>
        </w:tc>
        <w:tc>
          <w:tcPr>
            <w:tcW w:w="1361" w:type="dxa"/>
            <w:vAlign w:val="center"/>
          </w:tcPr>
          <w:p>
            <w:pPr>
              <w:pStyle w:val="13"/>
            </w:pPr>
            <w:r>
              <w:t>141.41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w:t>
            </w:r>
          </w:p>
        </w:tc>
        <w:tc>
          <w:tcPr>
            <w:tcW w:w="4535" w:type="dxa"/>
            <w:vAlign w:val="center"/>
          </w:tcPr>
          <w:p>
            <w:pPr>
              <w:pStyle w:val="14"/>
            </w:pPr>
            <w:r>
              <w:rPr>
                <w:rFonts w:hint="eastAsia"/>
              </w:rPr>
              <w:t>行政事业单位医疗</w:t>
            </w:r>
          </w:p>
        </w:tc>
        <w:tc>
          <w:tcPr>
            <w:tcW w:w="1361" w:type="dxa"/>
            <w:vAlign w:val="center"/>
          </w:tcPr>
          <w:p>
            <w:pPr>
              <w:pStyle w:val="13"/>
            </w:pPr>
            <w:r>
              <w:t>141.41</w:t>
            </w:r>
          </w:p>
        </w:tc>
        <w:tc>
          <w:tcPr>
            <w:tcW w:w="1361" w:type="dxa"/>
            <w:vAlign w:val="center"/>
          </w:tcPr>
          <w:p>
            <w:pPr>
              <w:pStyle w:val="13"/>
            </w:pPr>
            <w:r>
              <w:t>141.41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2101101</w:t>
            </w:r>
          </w:p>
        </w:tc>
        <w:tc>
          <w:tcPr>
            <w:tcW w:w="4535" w:type="dxa"/>
            <w:vAlign w:val="center"/>
          </w:tcPr>
          <w:p>
            <w:pPr>
              <w:pStyle w:val="14"/>
            </w:pPr>
            <w:r>
              <w:rPr>
                <w:rFonts w:hint="eastAsia"/>
              </w:rPr>
              <w:t>行政单位医疗</w:t>
            </w:r>
          </w:p>
        </w:tc>
        <w:tc>
          <w:tcPr>
            <w:tcW w:w="1361" w:type="dxa"/>
            <w:vAlign w:val="center"/>
          </w:tcPr>
          <w:p>
            <w:pPr>
              <w:pStyle w:val="13"/>
            </w:pPr>
            <w:r>
              <w:t>141.41</w:t>
            </w:r>
          </w:p>
        </w:tc>
        <w:tc>
          <w:tcPr>
            <w:tcW w:w="1361" w:type="dxa"/>
            <w:vAlign w:val="center"/>
          </w:tcPr>
          <w:p>
            <w:pPr>
              <w:pStyle w:val="13"/>
            </w:pPr>
            <w:r>
              <w:t>141.41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rPr>
                <w:rFonts w:hint="eastAsia"/>
              </w:rPr>
              <w:t>住房保障支出</w:t>
            </w:r>
          </w:p>
        </w:tc>
        <w:tc>
          <w:tcPr>
            <w:tcW w:w="1361" w:type="dxa"/>
            <w:vAlign w:val="center"/>
          </w:tcPr>
          <w:p>
            <w:pPr>
              <w:pStyle w:val="13"/>
            </w:pPr>
            <w:r>
              <w:t>122.00</w:t>
            </w:r>
          </w:p>
        </w:tc>
        <w:tc>
          <w:tcPr>
            <w:tcW w:w="1361" w:type="dxa"/>
            <w:vAlign w:val="center"/>
          </w:tcPr>
          <w:p>
            <w:pPr>
              <w:pStyle w:val="13"/>
            </w:pPr>
            <w:r>
              <w:t>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rPr>
                <w:rFonts w:hint="eastAsia"/>
              </w:rPr>
              <w:t>住房改革支出</w:t>
            </w:r>
          </w:p>
        </w:tc>
        <w:tc>
          <w:tcPr>
            <w:tcW w:w="1361" w:type="dxa"/>
            <w:vAlign w:val="center"/>
          </w:tcPr>
          <w:p>
            <w:pPr>
              <w:pStyle w:val="13"/>
            </w:pPr>
            <w:r>
              <w:t>122.00</w:t>
            </w:r>
          </w:p>
        </w:tc>
        <w:tc>
          <w:tcPr>
            <w:tcW w:w="1361" w:type="dxa"/>
            <w:vAlign w:val="center"/>
          </w:tcPr>
          <w:p>
            <w:pPr>
              <w:pStyle w:val="13"/>
            </w:pPr>
            <w:r>
              <w:t>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rPr>
                <w:rFonts w:hint="eastAsia"/>
              </w:rPr>
              <w:t>住房公积金</w:t>
            </w:r>
          </w:p>
        </w:tc>
        <w:tc>
          <w:tcPr>
            <w:tcW w:w="1361" w:type="dxa"/>
            <w:vAlign w:val="center"/>
          </w:tcPr>
          <w:p>
            <w:pPr>
              <w:pStyle w:val="13"/>
            </w:pPr>
            <w:r>
              <w:t>122.00</w:t>
            </w:r>
          </w:p>
        </w:tc>
        <w:tc>
          <w:tcPr>
            <w:tcW w:w="1361" w:type="dxa"/>
            <w:vAlign w:val="center"/>
          </w:tcPr>
          <w:p>
            <w:pPr>
              <w:pStyle w:val="13"/>
            </w:pPr>
            <w:r>
              <w:t>122.00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2522.85</w:t>
            </w:r>
          </w:p>
        </w:tc>
        <w:tc>
          <w:tcPr>
            <w:tcW w:w="3402" w:type="dxa"/>
            <w:vAlign w:val="center"/>
          </w:tcPr>
          <w:p>
            <w:pPr>
              <w:pStyle w:val="14"/>
            </w:pPr>
            <w:r>
              <w:rPr>
                <w:rFonts w:hint="eastAsia"/>
              </w:rP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r>
              <w:t>1971.57</w:t>
            </w:r>
          </w:p>
        </w:tc>
        <w:tc>
          <w:tcPr>
            <w:tcW w:w="1474" w:type="dxa"/>
            <w:vAlign w:val="center"/>
          </w:tcPr>
          <w:p>
            <w:pPr>
              <w:pStyle w:val="13"/>
            </w:pPr>
            <w:r>
              <w:t>1971.57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287.87</w:t>
            </w:r>
          </w:p>
        </w:tc>
        <w:tc>
          <w:tcPr>
            <w:tcW w:w="1474" w:type="dxa"/>
            <w:vAlign w:val="center"/>
          </w:tcPr>
          <w:p>
            <w:pPr>
              <w:pStyle w:val="13"/>
            </w:pPr>
            <w:r>
              <w:t>287.87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141.41</w:t>
            </w:r>
          </w:p>
        </w:tc>
        <w:tc>
          <w:tcPr>
            <w:tcW w:w="1474" w:type="dxa"/>
            <w:vAlign w:val="center"/>
          </w:tcPr>
          <w:p>
            <w:pPr>
              <w:pStyle w:val="13"/>
            </w:pPr>
            <w:r>
              <w:t>141.41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r>
              <w:t>122.00</w:t>
            </w:r>
          </w:p>
        </w:tc>
        <w:tc>
          <w:tcPr>
            <w:tcW w:w="1474" w:type="dxa"/>
            <w:vAlign w:val="center"/>
          </w:tcPr>
          <w:p>
            <w:pPr>
              <w:pStyle w:val="13"/>
            </w:pPr>
            <w:r>
              <w:t>122.00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rPr>
                <w:rFonts w:hint="eastAsia"/>
              </w:rPr>
              <w:t>本年收入合计</w:t>
            </w:r>
          </w:p>
        </w:tc>
        <w:tc>
          <w:tcPr>
            <w:tcW w:w="1474" w:type="dxa"/>
            <w:vAlign w:val="center"/>
          </w:tcPr>
          <w:p>
            <w:pPr>
              <w:pStyle w:val="17"/>
            </w:pPr>
            <w:r>
              <w:t>2522.85</w:t>
            </w:r>
          </w:p>
        </w:tc>
        <w:tc>
          <w:tcPr>
            <w:tcW w:w="3402" w:type="dxa"/>
            <w:vAlign w:val="center"/>
          </w:tcPr>
          <w:p>
            <w:pPr>
              <w:pStyle w:val="16"/>
            </w:pPr>
            <w:r>
              <w:rPr>
                <w:rFonts w:hint="eastAsia"/>
              </w:rPr>
              <w:t>本年支出合计</w:t>
            </w:r>
          </w:p>
        </w:tc>
        <w:tc>
          <w:tcPr>
            <w:tcW w:w="1474" w:type="dxa"/>
            <w:vAlign w:val="center"/>
          </w:tcPr>
          <w:p>
            <w:pPr>
              <w:pStyle w:val="17"/>
            </w:pPr>
            <w:r>
              <w:t>2522.85</w:t>
            </w:r>
          </w:p>
        </w:tc>
        <w:tc>
          <w:tcPr>
            <w:tcW w:w="1474" w:type="dxa"/>
            <w:vAlign w:val="center"/>
          </w:tcPr>
          <w:p>
            <w:pPr>
              <w:pStyle w:val="17"/>
            </w:pPr>
            <w:r>
              <w:t>2522.85</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rPr>
                <w:rFonts w:hint="eastAsia"/>
              </w:rPr>
              <w:t>收入总计</w:t>
            </w:r>
          </w:p>
        </w:tc>
        <w:tc>
          <w:tcPr>
            <w:tcW w:w="1474" w:type="dxa"/>
            <w:vAlign w:val="center"/>
          </w:tcPr>
          <w:p>
            <w:pPr>
              <w:pStyle w:val="17"/>
            </w:pPr>
            <w:r>
              <w:t>2522.85</w:t>
            </w:r>
          </w:p>
        </w:tc>
        <w:tc>
          <w:tcPr>
            <w:tcW w:w="3402" w:type="dxa"/>
            <w:vAlign w:val="center"/>
          </w:tcPr>
          <w:p>
            <w:pPr>
              <w:pStyle w:val="16"/>
            </w:pPr>
            <w:r>
              <w:rPr>
                <w:rFonts w:hint="eastAsia"/>
              </w:rPr>
              <w:t>支出总计</w:t>
            </w:r>
          </w:p>
        </w:tc>
        <w:tc>
          <w:tcPr>
            <w:tcW w:w="1474" w:type="dxa"/>
            <w:vAlign w:val="center"/>
          </w:tcPr>
          <w:p>
            <w:pPr>
              <w:pStyle w:val="17"/>
            </w:pPr>
            <w:r>
              <w:t>2522.85</w:t>
            </w:r>
          </w:p>
        </w:tc>
        <w:tc>
          <w:tcPr>
            <w:tcW w:w="1474" w:type="dxa"/>
            <w:vAlign w:val="center"/>
          </w:tcPr>
          <w:p>
            <w:pPr>
              <w:pStyle w:val="17"/>
            </w:pPr>
            <w:r>
              <w:t>2522.85</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2522.85</w:t>
            </w:r>
          </w:p>
        </w:tc>
        <w:tc>
          <w:tcPr>
            <w:tcW w:w="2551" w:type="dxa"/>
            <w:vAlign w:val="center"/>
          </w:tcPr>
          <w:p>
            <w:pPr>
              <w:pStyle w:val="17"/>
            </w:pPr>
            <w:r>
              <w:t>2228.85</w:t>
            </w:r>
          </w:p>
        </w:tc>
        <w:tc>
          <w:tcPr>
            <w:tcW w:w="2551" w:type="dxa"/>
            <w:vAlign w:val="center"/>
          </w:tcPr>
          <w:p>
            <w:pPr>
              <w:pStyle w:val="17"/>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rPr>
                <w:rFonts w:hint="eastAsia"/>
              </w:rPr>
              <w:t>公共安全支出</w:t>
            </w:r>
          </w:p>
        </w:tc>
        <w:tc>
          <w:tcPr>
            <w:tcW w:w="2551" w:type="dxa"/>
            <w:vAlign w:val="center"/>
          </w:tcPr>
          <w:p>
            <w:pPr>
              <w:pStyle w:val="13"/>
            </w:pPr>
            <w:r>
              <w:t>1971.57</w:t>
            </w:r>
          </w:p>
        </w:tc>
        <w:tc>
          <w:tcPr>
            <w:tcW w:w="2551" w:type="dxa"/>
            <w:vAlign w:val="center"/>
          </w:tcPr>
          <w:p>
            <w:pPr>
              <w:pStyle w:val="13"/>
            </w:pPr>
            <w:r>
              <w:t>1677.57</w:t>
            </w:r>
          </w:p>
        </w:tc>
        <w:tc>
          <w:tcPr>
            <w:tcW w:w="2551" w:type="dxa"/>
            <w:vAlign w:val="center"/>
          </w:tcPr>
          <w:p>
            <w:pPr>
              <w:pStyle w:val="13"/>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20405</w:t>
            </w:r>
          </w:p>
        </w:tc>
        <w:tc>
          <w:tcPr>
            <w:tcW w:w="4535" w:type="dxa"/>
            <w:vAlign w:val="center"/>
          </w:tcPr>
          <w:p>
            <w:pPr>
              <w:pStyle w:val="14"/>
            </w:pPr>
            <w:r>
              <w:rPr>
                <w:rFonts w:hint="eastAsia"/>
              </w:rPr>
              <w:t>法院</w:t>
            </w:r>
          </w:p>
        </w:tc>
        <w:tc>
          <w:tcPr>
            <w:tcW w:w="2551" w:type="dxa"/>
            <w:vAlign w:val="center"/>
          </w:tcPr>
          <w:p>
            <w:pPr>
              <w:pStyle w:val="13"/>
            </w:pPr>
            <w:r>
              <w:t>1971.57</w:t>
            </w:r>
          </w:p>
        </w:tc>
        <w:tc>
          <w:tcPr>
            <w:tcW w:w="2551" w:type="dxa"/>
            <w:vAlign w:val="center"/>
          </w:tcPr>
          <w:p>
            <w:pPr>
              <w:pStyle w:val="13"/>
            </w:pPr>
            <w:r>
              <w:t>1677.57</w:t>
            </w:r>
          </w:p>
        </w:tc>
        <w:tc>
          <w:tcPr>
            <w:tcW w:w="2551" w:type="dxa"/>
            <w:vAlign w:val="center"/>
          </w:tcPr>
          <w:p>
            <w:pPr>
              <w:pStyle w:val="13"/>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2040501</w:t>
            </w:r>
          </w:p>
        </w:tc>
        <w:tc>
          <w:tcPr>
            <w:tcW w:w="4535" w:type="dxa"/>
            <w:vAlign w:val="center"/>
          </w:tcPr>
          <w:p>
            <w:pPr>
              <w:pStyle w:val="14"/>
            </w:pPr>
            <w:r>
              <w:rPr>
                <w:rFonts w:hint="eastAsia"/>
              </w:rPr>
              <w:t>行政运行</w:t>
            </w:r>
          </w:p>
        </w:tc>
        <w:tc>
          <w:tcPr>
            <w:tcW w:w="2551" w:type="dxa"/>
            <w:vAlign w:val="center"/>
          </w:tcPr>
          <w:p>
            <w:pPr>
              <w:pStyle w:val="13"/>
            </w:pPr>
            <w:r>
              <w:t>1677.57</w:t>
            </w:r>
          </w:p>
        </w:tc>
        <w:tc>
          <w:tcPr>
            <w:tcW w:w="2551" w:type="dxa"/>
            <w:vAlign w:val="center"/>
          </w:tcPr>
          <w:p>
            <w:pPr>
              <w:pStyle w:val="13"/>
            </w:pPr>
            <w:r>
              <w:t>1677.57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2040502</w:t>
            </w:r>
          </w:p>
        </w:tc>
        <w:tc>
          <w:tcPr>
            <w:tcW w:w="4535" w:type="dxa"/>
            <w:vAlign w:val="center"/>
          </w:tcPr>
          <w:p>
            <w:pPr>
              <w:pStyle w:val="14"/>
            </w:pPr>
            <w:r>
              <w:rPr>
                <w:rFonts w:hint="eastAsia"/>
              </w:rPr>
              <w:t>一般行政管理事务</w:t>
            </w:r>
          </w:p>
        </w:tc>
        <w:tc>
          <w:tcPr>
            <w:tcW w:w="2551" w:type="dxa"/>
            <w:vAlign w:val="center"/>
          </w:tcPr>
          <w:p>
            <w:pPr>
              <w:pStyle w:val="13"/>
            </w:pPr>
            <w:r>
              <w:t>294.00</w:t>
            </w:r>
          </w:p>
        </w:tc>
        <w:tc>
          <w:tcPr>
            <w:tcW w:w="2551" w:type="dxa"/>
            <w:vAlign w:val="center"/>
          </w:tcPr>
          <w:p>
            <w:pPr>
              <w:pStyle w:val="13"/>
            </w:pPr>
          </w:p>
        </w:tc>
        <w:tc>
          <w:tcPr>
            <w:tcW w:w="2551" w:type="dxa"/>
            <w:vAlign w:val="center"/>
          </w:tcPr>
          <w:p>
            <w:pPr>
              <w:pStyle w:val="13"/>
            </w:pPr>
            <w:r>
              <w:t>294.00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287.87</w:t>
            </w:r>
          </w:p>
        </w:tc>
        <w:tc>
          <w:tcPr>
            <w:tcW w:w="2551" w:type="dxa"/>
            <w:vAlign w:val="center"/>
          </w:tcPr>
          <w:p>
            <w:pPr>
              <w:pStyle w:val="13"/>
            </w:pPr>
            <w:r>
              <w:t>287.87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287.87</w:t>
            </w:r>
          </w:p>
        </w:tc>
        <w:tc>
          <w:tcPr>
            <w:tcW w:w="2551" w:type="dxa"/>
            <w:vAlign w:val="center"/>
          </w:tcPr>
          <w:p>
            <w:pPr>
              <w:pStyle w:val="13"/>
            </w:pPr>
            <w:r>
              <w:t>287.87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146.87</w:t>
            </w:r>
          </w:p>
        </w:tc>
        <w:tc>
          <w:tcPr>
            <w:tcW w:w="2551" w:type="dxa"/>
            <w:vAlign w:val="center"/>
          </w:tcPr>
          <w:p>
            <w:pPr>
              <w:pStyle w:val="13"/>
            </w:pPr>
            <w:r>
              <w:t>146.87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141.00</w:t>
            </w:r>
          </w:p>
        </w:tc>
        <w:tc>
          <w:tcPr>
            <w:tcW w:w="2551" w:type="dxa"/>
            <w:vAlign w:val="center"/>
          </w:tcPr>
          <w:p>
            <w:pPr>
              <w:pStyle w:val="13"/>
            </w:pPr>
            <w:r>
              <w:t>141.00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141.41</w:t>
            </w:r>
          </w:p>
        </w:tc>
        <w:tc>
          <w:tcPr>
            <w:tcW w:w="2551" w:type="dxa"/>
            <w:vAlign w:val="center"/>
          </w:tcPr>
          <w:p>
            <w:pPr>
              <w:pStyle w:val="13"/>
            </w:pPr>
            <w:r>
              <w:t>141.41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w:t>
            </w:r>
          </w:p>
        </w:tc>
        <w:tc>
          <w:tcPr>
            <w:tcW w:w="4535" w:type="dxa"/>
            <w:vAlign w:val="center"/>
          </w:tcPr>
          <w:p>
            <w:pPr>
              <w:pStyle w:val="14"/>
            </w:pPr>
            <w:r>
              <w:rPr>
                <w:rFonts w:hint="eastAsia"/>
              </w:rPr>
              <w:t>行政事业单位医疗</w:t>
            </w:r>
          </w:p>
        </w:tc>
        <w:tc>
          <w:tcPr>
            <w:tcW w:w="2551" w:type="dxa"/>
            <w:vAlign w:val="center"/>
          </w:tcPr>
          <w:p>
            <w:pPr>
              <w:pStyle w:val="13"/>
            </w:pPr>
            <w:r>
              <w:t>141.41</w:t>
            </w:r>
          </w:p>
        </w:tc>
        <w:tc>
          <w:tcPr>
            <w:tcW w:w="2551" w:type="dxa"/>
            <w:vAlign w:val="center"/>
          </w:tcPr>
          <w:p>
            <w:pPr>
              <w:pStyle w:val="13"/>
            </w:pPr>
            <w:r>
              <w:t>141.41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2101101</w:t>
            </w:r>
          </w:p>
        </w:tc>
        <w:tc>
          <w:tcPr>
            <w:tcW w:w="4535" w:type="dxa"/>
            <w:vAlign w:val="center"/>
          </w:tcPr>
          <w:p>
            <w:pPr>
              <w:pStyle w:val="14"/>
            </w:pPr>
            <w:r>
              <w:rPr>
                <w:rFonts w:hint="eastAsia"/>
              </w:rPr>
              <w:t>行政单位医疗</w:t>
            </w:r>
          </w:p>
        </w:tc>
        <w:tc>
          <w:tcPr>
            <w:tcW w:w="2551" w:type="dxa"/>
            <w:vAlign w:val="center"/>
          </w:tcPr>
          <w:p>
            <w:pPr>
              <w:pStyle w:val="13"/>
            </w:pPr>
            <w:r>
              <w:t>141.41</w:t>
            </w:r>
          </w:p>
        </w:tc>
        <w:tc>
          <w:tcPr>
            <w:tcW w:w="2551" w:type="dxa"/>
            <w:vAlign w:val="center"/>
          </w:tcPr>
          <w:p>
            <w:pPr>
              <w:pStyle w:val="13"/>
            </w:pPr>
            <w:r>
              <w:t>141.41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rPr>
                <w:rFonts w:hint="eastAsia"/>
              </w:rPr>
              <w:t>住房保障支出</w:t>
            </w:r>
          </w:p>
        </w:tc>
        <w:tc>
          <w:tcPr>
            <w:tcW w:w="2551" w:type="dxa"/>
            <w:vAlign w:val="center"/>
          </w:tcPr>
          <w:p>
            <w:pPr>
              <w:pStyle w:val="13"/>
            </w:pPr>
            <w:r>
              <w:t>122.00</w:t>
            </w:r>
          </w:p>
        </w:tc>
        <w:tc>
          <w:tcPr>
            <w:tcW w:w="2551" w:type="dxa"/>
            <w:vAlign w:val="center"/>
          </w:tcPr>
          <w:p>
            <w:pPr>
              <w:pStyle w:val="13"/>
            </w:pPr>
            <w:r>
              <w:t>122.00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rPr>
                <w:rFonts w:hint="eastAsia"/>
              </w:rPr>
              <w:t>住房改革支出</w:t>
            </w:r>
          </w:p>
        </w:tc>
        <w:tc>
          <w:tcPr>
            <w:tcW w:w="2551" w:type="dxa"/>
            <w:vAlign w:val="center"/>
          </w:tcPr>
          <w:p>
            <w:pPr>
              <w:pStyle w:val="13"/>
            </w:pPr>
            <w:r>
              <w:t>122.00</w:t>
            </w:r>
          </w:p>
        </w:tc>
        <w:tc>
          <w:tcPr>
            <w:tcW w:w="2551" w:type="dxa"/>
            <w:vAlign w:val="center"/>
          </w:tcPr>
          <w:p>
            <w:pPr>
              <w:pStyle w:val="13"/>
            </w:pPr>
            <w:r>
              <w:t>122.00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rPr>
                <w:rFonts w:hint="eastAsia"/>
              </w:rPr>
              <w:t>住房公积金</w:t>
            </w:r>
          </w:p>
        </w:tc>
        <w:tc>
          <w:tcPr>
            <w:tcW w:w="2551" w:type="dxa"/>
            <w:vAlign w:val="center"/>
          </w:tcPr>
          <w:p>
            <w:pPr>
              <w:pStyle w:val="13"/>
            </w:pPr>
            <w:r>
              <w:t>122.00</w:t>
            </w:r>
          </w:p>
        </w:tc>
        <w:tc>
          <w:tcPr>
            <w:tcW w:w="2551" w:type="dxa"/>
            <w:vAlign w:val="center"/>
          </w:tcPr>
          <w:p>
            <w:pPr>
              <w:pStyle w:val="13"/>
            </w:pPr>
            <w:r>
              <w:t>122.00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2228.85</w:t>
            </w:r>
          </w:p>
        </w:tc>
        <w:tc>
          <w:tcPr>
            <w:tcW w:w="2551" w:type="dxa"/>
            <w:vAlign w:val="center"/>
          </w:tcPr>
          <w:p>
            <w:pPr>
              <w:pStyle w:val="17"/>
            </w:pPr>
            <w:r>
              <w:t>1838.78</w:t>
            </w:r>
          </w:p>
        </w:tc>
        <w:tc>
          <w:tcPr>
            <w:tcW w:w="2551" w:type="dxa"/>
            <w:vAlign w:val="center"/>
          </w:tcPr>
          <w:p>
            <w:pPr>
              <w:pStyle w:val="17"/>
            </w:pPr>
            <w:r>
              <w:t>390.07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1690.92</w:t>
            </w:r>
          </w:p>
        </w:tc>
        <w:tc>
          <w:tcPr>
            <w:tcW w:w="2551" w:type="dxa"/>
            <w:vAlign w:val="center"/>
          </w:tcPr>
          <w:p>
            <w:pPr>
              <w:pStyle w:val="13"/>
            </w:pPr>
            <w:r>
              <w:t>1690.92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370.74</w:t>
            </w:r>
          </w:p>
        </w:tc>
        <w:tc>
          <w:tcPr>
            <w:tcW w:w="2551" w:type="dxa"/>
            <w:vAlign w:val="center"/>
          </w:tcPr>
          <w:p>
            <w:pPr>
              <w:pStyle w:val="13"/>
            </w:pPr>
            <w:r>
              <w:t>370.74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456.46</w:t>
            </w:r>
          </w:p>
        </w:tc>
        <w:tc>
          <w:tcPr>
            <w:tcW w:w="2551" w:type="dxa"/>
            <w:vAlign w:val="center"/>
          </w:tcPr>
          <w:p>
            <w:pPr>
              <w:pStyle w:val="13"/>
            </w:pPr>
            <w:r>
              <w:t>456.46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243.76</w:t>
            </w:r>
          </w:p>
        </w:tc>
        <w:tc>
          <w:tcPr>
            <w:tcW w:w="2551" w:type="dxa"/>
            <w:vAlign w:val="center"/>
          </w:tcPr>
          <w:p>
            <w:pPr>
              <w:pStyle w:val="13"/>
            </w:pPr>
            <w:r>
              <w:t>243.76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rPr>
                <w:rFonts w:hint="eastAsia"/>
              </w:rPr>
              <w:t>绩效工资</w:t>
            </w:r>
          </w:p>
        </w:tc>
        <w:tc>
          <w:tcPr>
            <w:tcW w:w="2551" w:type="dxa"/>
            <w:vAlign w:val="center"/>
          </w:tcPr>
          <w:p>
            <w:pPr>
              <w:pStyle w:val="13"/>
            </w:pPr>
            <w:r>
              <w:t>10.35</w:t>
            </w:r>
          </w:p>
        </w:tc>
        <w:tc>
          <w:tcPr>
            <w:tcW w:w="2551" w:type="dxa"/>
            <w:vAlign w:val="center"/>
          </w:tcPr>
          <w:p>
            <w:pPr>
              <w:pStyle w:val="13"/>
            </w:pPr>
            <w:r>
              <w:t>10.35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141.00</w:t>
            </w:r>
          </w:p>
        </w:tc>
        <w:tc>
          <w:tcPr>
            <w:tcW w:w="2551" w:type="dxa"/>
            <w:vAlign w:val="center"/>
          </w:tcPr>
          <w:p>
            <w:pPr>
              <w:pStyle w:val="13"/>
            </w:pPr>
            <w:r>
              <w:t>141.00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74.88</w:t>
            </w:r>
          </w:p>
        </w:tc>
        <w:tc>
          <w:tcPr>
            <w:tcW w:w="2551" w:type="dxa"/>
            <w:vAlign w:val="center"/>
          </w:tcPr>
          <w:p>
            <w:pPr>
              <w:pStyle w:val="13"/>
            </w:pPr>
            <w:r>
              <w:t>74.88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30111</w:t>
            </w:r>
          </w:p>
        </w:tc>
        <w:tc>
          <w:tcPr>
            <w:tcW w:w="4535" w:type="dxa"/>
            <w:vAlign w:val="center"/>
          </w:tcPr>
          <w:p>
            <w:pPr>
              <w:pStyle w:val="14"/>
            </w:pPr>
            <w:r>
              <w:rPr>
                <w:rFonts w:hint="eastAsia"/>
              </w:rPr>
              <w:t>公务员医疗补助缴费</w:t>
            </w:r>
          </w:p>
        </w:tc>
        <w:tc>
          <w:tcPr>
            <w:tcW w:w="2551" w:type="dxa"/>
            <w:vAlign w:val="center"/>
          </w:tcPr>
          <w:p>
            <w:pPr>
              <w:pStyle w:val="13"/>
            </w:pPr>
            <w:r>
              <w:t>63.36</w:t>
            </w:r>
          </w:p>
        </w:tc>
        <w:tc>
          <w:tcPr>
            <w:tcW w:w="2551" w:type="dxa"/>
            <w:vAlign w:val="center"/>
          </w:tcPr>
          <w:p>
            <w:pPr>
              <w:pStyle w:val="13"/>
            </w:pPr>
            <w:r>
              <w:t>63.36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rPr>
                <w:rFonts w:hint="eastAsia"/>
              </w:rPr>
              <w:t>其他社会保障缴费</w:t>
            </w:r>
          </w:p>
        </w:tc>
        <w:tc>
          <w:tcPr>
            <w:tcW w:w="2551" w:type="dxa"/>
            <w:vAlign w:val="center"/>
          </w:tcPr>
          <w:p>
            <w:pPr>
              <w:pStyle w:val="13"/>
            </w:pPr>
            <w:r>
              <w:t>7.37</w:t>
            </w:r>
          </w:p>
        </w:tc>
        <w:tc>
          <w:tcPr>
            <w:tcW w:w="2551" w:type="dxa"/>
            <w:vAlign w:val="center"/>
          </w:tcPr>
          <w:p>
            <w:pPr>
              <w:pStyle w:val="13"/>
            </w:pPr>
            <w:r>
              <w:t>7.37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rPr>
                <w:rFonts w:hint="eastAsia"/>
              </w:rPr>
              <w:t>住房公积金</w:t>
            </w:r>
          </w:p>
        </w:tc>
        <w:tc>
          <w:tcPr>
            <w:tcW w:w="2551" w:type="dxa"/>
            <w:vAlign w:val="center"/>
          </w:tcPr>
          <w:p>
            <w:pPr>
              <w:pStyle w:val="13"/>
            </w:pPr>
            <w:r>
              <w:t>122.00</w:t>
            </w:r>
          </w:p>
        </w:tc>
        <w:tc>
          <w:tcPr>
            <w:tcW w:w="2551" w:type="dxa"/>
            <w:vAlign w:val="center"/>
          </w:tcPr>
          <w:p>
            <w:pPr>
              <w:pStyle w:val="13"/>
            </w:pPr>
            <w:r>
              <w:t>122.00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201.00</w:t>
            </w:r>
          </w:p>
        </w:tc>
        <w:tc>
          <w:tcPr>
            <w:tcW w:w="2551" w:type="dxa"/>
            <w:vAlign w:val="center"/>
          </w:tcPr>
          <w:p>
            <w:pPr>
              <w:pStyle w:val="13"/>
            </w:pPr>
            <w:r>
              <w:t>201.00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390.07</w:t>
            </w:r>
          </w:p>
        </w:tc>
        <w:tc>
          <w:tcPr>
            <w:tcW w:w="2551" w:type="dxa"/>
            <w:vAlign w:val="center"/>
          </w:tcPr>
          <w:p>
            <w:pPr>
              <w:pStyle w:val="13"/>
            </w:pPr>
          </w:p>
        </w:tc>
        <w:tc>
          <w:tcPr>
            <w:tcW w:w="2551" w:type="dxa"/>
            <w:vAlign w:val="center"/>
          </w:tcPr>
          <w:p>
            <w:pPr>
              <w:pStyle w:val="13"/>
            </w:pPr>
            <w:r>
              <w:t>390.07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89.02</w:t>
            </w:r>
          </w:p>
        </w:tc>
        <w:tc>
          <w:tcPr>
            <w:tcW w:w="2551" w:type="dxa"/>
            <w:vAlign w:val="center"/>
          </w:tcPr>
          <w:p>
            <w:pPr>
              <w:pStyle w:val="13"/>
            </w:pPr>
          </w:p>
        </w:tc>
        <w:tc>
          <w:tcPr>
            <w:tcW w:w="2551" w:type="dxa"/>
            <w:vAlign w:val="center"/>
          </w:tcPr>
          <w:p>
            <w:pPr>
              <w:pStyle w:val="13"/>
            </w:pPr>
            <w:r>
              <w:t>89.02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rPr>
                <w:rFonts w:hint="eastAsia"/>
              </w:rPr>
              <w:t>印刷费</w:t>
            </w:r>
          </w:p>
        </w:tc>
        <w:tc>
          <w:tcPr>
            <w:tcW w:w="2551" w:type="dxa"/>
            <w:vAlign w:val="center"/>
          </w:tcPr>
          <w:p>
            <w:pPr>
              <w:pStyle w:val="13"/>
            </w:pPr>
            <w:r>
              <w:t>7.76</w:t>
            </w:r>
          </w:p>
        </w:tc>
        <w:tc>
          <w:tcPr>
            <w:tcW w:w="2551" w:type="dxa"/>
            <w:vAlign w:val="center"/>
          </w:tcPr>
          <w:p>
            <w:pPr>
              <w:pStyle w:val="13"/>
            </w:pPr>
          </w:p>
        </w:tc>
        <w:tc>
          <w:tcPr>
            <w:tcW w:w="2551" w:type="dxa"/>
            <w:vAlign w:val="center"/>
          </w:tcPr>
          <w:p>
            <w:pPr>
              <w:pStyle w:val="13"/>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rPr>
                <w:rFonts w:hint="eastAsia"/>
              </w:rPr>
              <w:t>水费</w:t>
            </w:r>
          </w:p>
        </w:tc>
        <w:tc>
          <w:tcPr>
            <w:tcW w:w="2551" w:type="dxa"/>
            <w:vAlign w:val="center"/>
          </w:tcPr>
          <w:p>
            <w:pPr>
              <w:pStyle w:val="13"/>
            </w:pPr>
            <w:r>
              <w:t>8.00</w:t>
            </w:r>
          </w:p>
        </w:tc>
        <w:tc>
          <w:tcPr>
            <w:tcW w:w="2551" w:type="dxa"/>
            <w:vAlign w:val="center"/>
          </w:tcPr>
          <w:p>
            <w:pPr>
              <w:pStyle w:val="13"/>
            </w:pPr>
          </w:p>
        </w:tc>
        <w:tc>
          <w:tcPr>
            <w:tcW w:w="2551"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rPr>
                <w:rFonts w:hint="eastAsia"/>
              </w:rPr>
              <w:t>电费</w:t>
            </w:r>
          </w:p>
        </w:tc>
        <w:tc>
          <w:tcPr>
            <w:tcW w:w="2551" w:type="dxa"/>
            <w:vAlign w:val="center"/>
          </w:tcPr>
          <w:p>
            <w:pPr>
              <w:pStyle w:val="13"/>
            </w:pPr>
            <w:r>
              <w:t>55.00</w:t>
            </w:r>
          </w:p>
        </w:tc>
        <w:tc>
          <w:tcPr>
            <w:tcW w:w="2551" w:type="dxa"/>
            <w:vAlign w:val="center"/>
          </w:tcPr>
          <w:p>
            <w:pPr>
              <w:pStyle w:val="13"/>
            </w:pPr>
          </w:p>
        </w:tc>
        <w:tc>
          <w:tcPr>
            <w:tcW w:w="2551"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rPr>
                <w:rFonts w:hint="eastAsia"/>
              </w:rPr>
              <w:t>邮电费</w:t>
            </w:r>
          </w:p>
        </w:tc>
        <w:tc>
          <w:tcPr>
            <w:tcW w:w="2551" w:type="dxa"/>
            <w:vAlign w:val="center"/>
          </w:tcPr>
          <w:p>
            <w:pPr>
              <w:pStyle w:val="13"/>
            </w:pPr>
            <w:r>
              <w:t>9.35</w:t>
            </w:r>
          </w:p>
        </w:tc>
        <w:tc>
          <w:tcPr>
            <w:tcW w:w="2551" w:type="dxa"/>
            <w:vAlign w:val="center"/>
          </w:tcPr>
          <w:p>
            <w:pPr>
              <w:pStyle w:val="13"/>
            </w:pPr>
          </w:p>
        </w:tc>
        <w:tc>
          <w:tcPr>
            <w:tcW w:w="2551" w:type="dxa"/>
            <w:vAlign w:val="center"/>
          </w:tcPr>
          <w:p>
            <w:pPr>
              <w:pStyle w:val="13"/>
            </w:pPr>
            <w: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30209</w:t>
            </w:r>
          </w:p>
        </w:tc>
        <w:tc>
          <w:tcPr>
            <w:tcW w:w="4535" w:type="dxa"/>
            <w:vAlign w:val="center"/>
          </w:tcPr>
          <w:p>
            <w:pPr>
              <w:pStyle w:val="14"/>
            </w:pPr>
            <w:r>
              <w:rPr>
                <w:rFonts w:hint="eastAsia"/>
              </w:rPr>
              <w:t>物业管理费</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rPr>
                <w:rFonts w:hint="eastAsia"/>
              </w:rPr>
              <w:t>维修</w:t>
            </w:r>
            <w:r>
              <w:t>(</w:t>
            </w:r>
            <w:r>
              <w:rPr>
                <w:rFonts w:hint="eastAsia"/>
              </w:rPr>
              <w:t>护</w:t>
            </w:r>
            <w:r>
              <w:t>)</w:t>
            </w:r>
            <w:r>
              <w:rPr>
                <w:rFonts w:hint="eastAsia"/>
              </w:rPr>
              <w:t>费</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rPr>
                <w:rFonts w:hint="eastAsia"/>
              </w:rPr>
              <w:t>工会经费</w:t>
            </w:r>
          </w:p>
        </w:tc>
        <w:tc>
          <w:tcPr>
            <w:tcW w:w="2551" w:type="dxa"/>
            <w:vAlign w:val="center"/>
          </w:tcPr>
          <w:p>
            <w:pPr>
              <w:pStyle w:val="13"/>
            </w:pPr>
            <w:r>
              <w:t>7.64</w:t>
            </w:r>
          </w:p>
        </w:tc>
        <w:tc>
          <w:tcPr>
            <w:tcW w:w="2551" w:type="dxa"/>
            <w:vAlign w:val="center"/>
          </w:tcPr>
          <w:p>
            <w:pPr>
              <w:pStyle w:val="13"/>
            </w:pPr>
          </w:p>
        </w:tc>
        <w:tc>
          <w:tcPr>
            <w:tcW w:w="2551" w:type="dxa"/>
            <w:vAlign w:val="center"/>
          </w:tcPr>
          <w:p>
            <w:pPr>
              <w:pStyle w:val="13"/>
            </w:pPr>
            <w:r>
              <w:t>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rPr>
                <w:rFonts w:hint="eastAsia"/>
              </w:rPr>
              <w:t>福利费</w:t>
            </w:r>
          </w:p>
        </w:tc>
        <w:tc>
          <w:tcPr>
            <w:tcW w:w="2551" w:type="dxa"/>
            <w:vAlign w:val="center"/>
          </w:tcPr>
          <w:p>
            <w:pPr>
              <w:pStyle w:val="13"/>
            </w:pPr>
            <w:r>
              <w:t>9.16</w:t>
            </w:r>
          </w:p>
        </w:tc>
        <w:tc>
          <w:tcPr>
            <w:tcW w:w="2551" w:type="dxa"/>
            <w:vAlign w:val="center"/>
          </w:tcPr>
          <w:p>
            <w:pPr>
              <w:pStyle w:val="13"/>
            </w:pPr>
          </w:p>
        </w:tc>
        <w:tc>
          <w:tcPr>
            <w:tcW w:w="2551" w:type="dxa"/>
            <w:vAlign w:val="center"/>
          </w:tcPr>
          <w:p>
            <w:pPr>
              <w:pStyle w:val="13"/>
            </w:pPr>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rPr>
                <w:rFonts w:hint="eastAsia"/>
              </w:rPr>
              <w:t>公务用车运行维护费</w:t>
            </w:r>
          </w:p>
        </w:tc>
        <w:tc>
          <w:tcPr>
            <w:tcW w:w="2551" w:type="dxa"/>
            <w:vAlign w:val="center"/>
          </w:tcPr>
          <w:p>
            <w:pPr>
              <w:pStyle w:val="13"/>
            </w:pPr>
            <w:r>
              <w:t>23.00</w:t>
            </w:r>
          </w:p>
        </w:tc>
        <w:tc>
          <w:tcPr>
            <w:tcW w:w="2551" w:type="dxa"/>
            <w:vAlign w:val="center"/>
          </w:tcPr>
          <w:p>
            <w:pPr>
              <w:pStyle w:val="13"/>
            </w:pPr>
          </w:p>
        </w:tc>
        <w:tc>
          <w:tcPr>
            <w:tcW w:w="2551" w:type="dxa"/>
            <w:vAlign w:val="center"/>
          </w:tcPr>
          <w:p>
            <w:pPr>
              <w:pStyle w:val="13"/>
            </w:pPr>
            <w:r>
              <w:t>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50.15</w:t>
            </w:r>
          </w:p>
        </w:tc>
        <w:tc>
          <w:tcPr>
            <w:tcW w:w="2551" w:type="dxa"/>
            <w:vAlign w:val="center"/>
          </w:tcPr>
          <w:p>
            <w:pPr>
              <w:pStyle w:val="13"/>
            </w:pPr>
          </w:p>
        </w:tc>
        <w:tc>
          <w:tcPr>
            <w:tcW w:w="2551" w:type="dxa"/>
            <w:vAlign w:val="center"/>
          </w:tcPr>
          <w:p>
            <w:pPr>
              <w:pStyle w:val="13"/>
            </w:pPr>
            <w:r>
              <w:t>50.15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rPr>
                <w:rFonts w:hint="eastAsia"/>
              </w:rPr>
              <w:t>其他商品和服务支出</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147.86</w:t>
            </w:r>
          </w:p>
        </w:tc>
        <w:tc>
          <w:tcPr>
            <w:tcW w:w="2551" w:type="dxa"/>
            <w:vAlign w:val="center"/>
          </w:tcPr>
          <w:p>
            <w:pPr>
              <w:pStyle w:val="13"/>
            </w:pPr>
            <w:r>
              <w:t>147.86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145.87</w:t>
            </w:r>
          </w:p>
        </w:tc>
        <w:tc>
          <w:tcPr>
            <w:tcW w:w="2551" w:type="dxa"/>
            <w:vAlign w:val="center"/>
          </w:tcPr>
          <w:p>
            <w:pPr>
              <w:pStyle w:val="13"/>
            </w:pPr>
            <w:r>
              <w:t>145.87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1.58</w:t>
            </w:r>
          </w:p>
        </w:tc>
        <w:tc>
          <w:tcPr>
            <w:tcW w:w="2551" w:type="dxa"/>
            <w:vAlign w:val="center"/>
          </w:tcPr>
          <w:p>
            <w:pPr>
              <w:pStyle w:val="13"/>
            </w:pPr>
            <w:r>
              <w:t>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rPr>
                <w:rFonts w:hint="eastAsia"/>
              </w:rPr>
              <w:t>奖励金</w:t>
            </w:r>
          </w:p>
        </w:tc>
        <w:tc>
          <w:tcPr>
            <w:tcW w:w="2551" w:type="dxa"/>
            <w:vAlign w:val="center"/>
          </w:tcPr>
          <w:p>
            <w:pPr>
              <w:pStyle w:val="13"/>
            </w:pPr>
            <w:r>
              <w:t>0.30</w:t>
            </w:r>
          </w:p>
        </w:tc>
        <w:tc>
          <w:tcPr>
            <w:tcW w:w="2551" w:type="dxa"/>
            <w:vAlign w:val="center"/>
          </w:tcPr>
          <w:p>
            <w:pPr>
              <w:pStyle w:val="13"/>
            </w:pPr>
            <w:r>
              <w:t>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30399</w:t>
            </w:r>
          </w:p>
        </w:tc>
        <w:tc>
          <w:tcPr>
            <w:tcW w:w="4535" w:type="dxa"/>
            <w:vAlign w:val="center"/>
          </w:tcPr>
          <w:p>
            <w:pPr>
              <w:pStyle w:val="14"/>
            </w:pPr>
            <w:r>
              <w:rPr>
                <w:rFonts w:hint="eastAsia"/>
              </w:rPr>
              <w:t>其他对个人和家庭的补助</w:t>
            </w:r>
          </w:p>
        </w:tc>
        <w:tc>
          <w:tcPr>
            <w:tcW w:w="2551" w:type="dxa"/>
            <w:vAlign w:val="center"/>
          </w:tcPr>
          <w:p>
            <w:pPr>
              <w:pStyle w:val="13"/>
            </w:pPr>
            <w:r>
              <w:t>0.11</w:t>
            </w:r>
          </w:p>
        </w:tc>
        <w:tc>
          <w:tcPr>
            <w:tcW w:w="2551" w:type="dxa"/>
            <w:vAlign w:val="center"/>
          </w:tcPr>
          <w:p>
            <w:pPr>
              <w:pStyle w:val="13"/>
            </w:pPr>
            <w:r>
              <w:t>0.11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2023</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rPr>
                <w:rFonts w:hint="eastAsia"/>
              </w:rPr>
              <w:t>合计</w:t>
            </w:r>
          </w:p>
        </w:tc>
        <w:tc>
          <w:tcPr>
            <w:tcW w:w="2381" w:type="dxa"/>
            <w:vAlign w:val="center"/>
          </w:tcPr>
          <w:p>
            <w:pPr>
              <w:pStyle w:val="17"/>
            </w:pPr>
            <w:r>
              <w:t>23.00</w:t>
            </w:r>
          </w:p>
        </w:tc>
        <w:tc>
          <w:tcPr>
            <w:tcW w:w="2381" w:type="dxa"/>
            <w:vAlign w:val="center"/>
          </w:tcPr>
          <w:p>
            <w:pPr>
              <w:pStyle w:val="17"/>
            </w:pPr>
            <w:r>
              <w:t>23.00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rPr>
                <w:rFonts w:hint="eastAsia"/>
              </w:rP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rPr>
                <w:rFonts w:hint="eastAsia"/>
              </w:rPr>
              <w:t>二、公务用车购置及运维费</w:t>
            </w:r>
          </w:p>
        </w:tc>
        <w:tc>
          <w:tcPr>
            <w:tcW w:w="2381" w:type="dxa"/>
            <w:vAlign w:val="center"/>
          </w:tcPr>
          <w:p>
            <w:pPr>
              <w:pStyle w:val="13"/>
            </w:pPr>
            <w:r>
              <w:t>23.00</w:t>
            </w:r>
          </w:p>
        </w:tc>
        <w:tc>
          <w:tcPr>
            <w:tcW w:w="2381" w:type="dxa"/>
            <w:vAlign w:val="center"/>
          </w:tcPr>
          <w:p>
            <w:pPr>
              <w:pStyle w:val="13"/>
            </w:pPr>
            <w:r>
              <w:t>23.00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w:t>
            </w:r>
            <w:r>
              <w:rPr>
                <w:rFonts w:hint="eastAsia"/>
              </w:rPr>
              <w:t>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w:t>
            </w:r>
            <w:r>
              <w:rPr>
                <w:rFonts w:hint="eastAsia"/>
              </w:rPr>
              <w:t>公务用车运行维护费</w:t>
            </w:r>
          </w:p>
        </w:tc>
        <w:tc>
          <w:tcPr>
            <w:tcW w:w="2381" w:type="dxa"/>
            <w:vAlign w:val="center"/>
          </w:tcPr>
          <w:p>
            <w:pPr>
              <w:pStyle w:val="13"/>
            </w:pPr>
            <w:r>
              <w:t>23.00</w:t>
            </w:r>
          </w:p>
        </w:tc>
        <w:tc>
          <w:tcPr>
            <w:tcW w:w="2381" w:type="dxa"/>
            <w:vAlign w:val="center"/>
          </w:tcPr>
          <w:p>
            <w:pPr>
              <w:pStyle w:val="13"/>
            </w:pPr>
            <w:r>
              <w:t>23.00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rPr>
                <w:rFonts w:hint="eastAsia"/>
              </w:rP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张家口市桥东区人民法院</w:t>
      </w:r>
      <w:r>
        <w:rPr>
          <w:rFonts w:ascii="方正书宋_GBK" w:hAnsi="方正书宋_GBK" w:eastAsia="方正书宋_GBK" w:cs="方正书宋_GBK"/>
          <w:color w:val="FFFFFF"/>
          <w:sz w:val="21"/>
        </w:rPr>
        <w:t>2023</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张家口市桥东区人民法院</w:t>
      </w:r>
      <w:r>
        <w:rPr>
          <w:rFonts w:ascii="方正小标宋_GBK" w:hAnsi="方正小标宋_GBK" w:eastAsia="方正小标宋_GBK" w:cs="方正小标宋_GBK"/>
          <w:color w:val="000000"/>
          <w:sz w:val="44"/>
        </w:rPr>
        <w:t>2023</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w:t>
      </w:r>
      <w:bookmarkStart w:id="18" w:name="_GoBack"/>
      <w:bookmarkEnd w:id="18"/>
      <w:r>
        <w:rPr>
          <w:rFonts w:hint="eastAsia" w:eastAsia="方正仿宋_GBK"/>
          <w:color w:val="000000"/>
          <w:sz w:val="28"/>
        </w:rPr>
        <w:t>》、《地方预决算公开操作规程》和《关于进一步推进预算公开工作的实施意见》规定，现将张家口市桥东区人民法院</w:t>
      </w:r>
      <w:r>
        <w:rPr>
          <w:rFonts w:eastAsia="方正仿宋_GBK"/>
          <w:color w:val="000000"/>
          <w:sz w:val="28"/>
        </w:rPr>
        <w:t>2023</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rPr>
        <w:t>根据《河北省张家口市桥东区人民法院职能配置、内设机构和人员编制方案》规定，张家口市桥东区人民法院是国家的审判机关，依法独立行使审判权，对区人民代表大会及其常务委员会负责并报告工作。其主要职责是：</w:t>
      </w:r>
    </w:p>
    <w:p>
      <w:pPr>
        <w:pStyle w:val="19"/>
      </w:pPr>
      <w:r>
        <w:t>1</w:t>
      </w:r>
      <w:r>
        <w:rPr>
          <w:rFonts w:hint="eastAsia"/>
        </w:rPr>
        <w:t>、依法审判法律规定由基层人民法院管辖的刑事、民事、行政等第一审案件。</w:t>
      </w:r>
    </w:p>
    <w:p>
      <w:pPr>
        <w:pStyle w:val="19"/>
      </w:pPr>
      <w:r>
        <w:t>2</w:t>
      </w:r>
      <w:r>
        <w:rPr>
          <w:rFonts w:hint="eastAsia"/>
        </w:rPr>
        <w:t>、依法审判上级人民法院指定、同级人民法院移送的刑事、民事、行政等第一审案件。</w:t>
      </w:r>
    </w:p>
    <w:p>
      <w:pPr>
        <w:pStyle w:val="19"/>
      </w:pPr>
      <w:r>
        <w:t>3</w:t>
      </w:r>
      <w:r>
        <w:rPr>
          <w:rFonts w:hint="eastAsia"/>
        </w:rPr>
        <w:t>、审查和受理各类申诉案件，审判各类再审案件，处理来信来访。</w:t>
      </w:r>
    </w:p>
    <w:p>
      <w:pPr>
        <w:pStyle w:val="19"/>
      </w:pPr>
      <w:r>
        <w:t>4</w:t>
      </w:r>
      <w:r>
        <w:rPr>
          <w:rFonts w:hint="eastAsia"/>
        </w:rPr>
        <w:t>、依法办理发生法律效力的民事、行政案件判决和裁定执行事项及刑事案件判决和裁定中关于财产部分的执行事项；办理法律规定由基层人民法院执行的其他法律文书的执行事项。</w:t>
      </w:r>
    </w:p>
    <w:p>
      <w:pPr>
        <w:pStyle w:val="19"/>
      </w:pPr>
      <w:r>
        <w:t>5</w:t>
      </w:r>
      <w:r>
        <w:rPr>
          <w:rFonts w:hint="eastAsia"/>
        </w:rPr>
        <w:t>、负责本院审判工作的调查研究，总结审判工作经验。</w:t>
      </w:r>
    </w:p>
    <w:p>
      <w:pPr>
        <w:pStyle w:val="19"/>
      </w:pPr>
      <w:r>
        <w:t>6</w:t>
      </w:r>
      <w:r>
        <w:rPr>
          <w:rFonts w:hint="eastAsia"/>
        </w:rPr>
        <w:t>、负责本院干警思想政治教育和业务培训工作；按照权限管理法官和其他工作人员；协同上级法院及区主管部门管理全院的机构设置、人员编制工作。</w:t>
      </w:r>
    </w:p>
    <w:p>
      <w:pPr>
        <w:pStyle w:val="19"/>
      </w:pPr>
      <w:r>
        <w:t>7</w:t>
      </w:r>
      <w:r>
        <w:rPr>
          <w:rFonts w:hint="eastAsia"/>
        </w:rPr>
        <w:t>、负责本院的内部监督和法官惩戒工作。</w:t>
      </w:r>
    </w:p>
    <w:p>
      <w:pPr>
        <w:pStyle w:val="19"/>
      </w:pPr>
      <w:r>
        <w:t>8</w:t>
      </w:r>
      <w:r>
        <w:rPr>
          <w:rFonts w:hint="eastAsia"/>
        </w:rPr>
        <w:t>、管理本院的有关经费及物资装备。</w:t>
      </w:r>
    </w:p>
    <w:p>
      <w:pPr>
        <w:pStyle w:val="19"/>
      </w:pPr>
      <w:r>
        <w:t>9</w:t>
      </w:r>
      <w:r>
        <w:rPr>
          <w:rFonts w:hint="eastAsia"/>
        </w:rPr>
        <w:t>、负责本院的司法技术鉴定、通讯、计算机技术等技术管理工作。</w:t>
      </w:r>
    </w:p>
    <w:p>
      <w:pPr>
        <w:pStyle w:val="19"/>
      </w:pPr>
      <w:r>
        <w:t>10</w:t>
      </w:r>
      <w:r>
        <w:rPr>
          <w:rFonts w:hint="eastAsia"/>
        </w:rPr>
        <w:t>、在审判工作中宣传法制，教育公民忠于社会主义祖国、自觉遵守宪法、法律和社会道德。</w:t>
      </w:r>
    </w:p>
    <w:p>
      <w:pPr>
        <w:pStyle w:val="19"/>
      </w:pPr>
      <w:r>
        <w:t>11</w:t>
      </w:r>
      <w:r>
        <w:rPr>
          <w:rFonts w:hint="eastAsia"/>
        </w:rPr>
        <w:t>、完成上级法院和区委、区人大交办的其他工作。</w:t>
      </w:r>
    </w:p>
    <w:p>
      <w:pPr>
        <w:pStyle w:val="19"/>
      </w:pPr>
      <w:r>
        <w:t>12</w:t>
      </w:r>
      <w:r>
        <w:rPr>
          <w:rFonts w:hint="eastAsia"/>
        </w:rPr>
        <w:t>、承办其他应由基层人民法院负责的工作。</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张家口市桥东区人民法院本级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lang w:eastAsia="zh-CN"/>
        </w:rPr>
      </w:pPr>
      <w:r>
        <w:rPr>
          <w:rFonts w:hint="eastAsia" w:eastAsia="方正仿宋_GBK"/>
          <w:color w:val="000000"/>
          <w:sz w:val="28"/>
        </w:rPr>
        <w:t>按照预算管理有关规定，目前我</w:t>
      </w:r>
      <w:r>
        <w:rPr>
          <w:rFonts w:hint="eastAsia" w:eastAsia="方正仿宋_GBK"/>
          <w:color w:val="000000"/>
          <w:sz w:val="28"/>
          <w:lang w:eastAsia="zh-CN"/>
        </w:rPr>
        <w:t>市</w:t>
      </w:r>
      <w:r>
        <w:rPr>
          <w:rFonts w:hint="eastAsia" w:eastAsia="方正仿宋_GBK"/>
          <w:color w:val="000000"/>
          <w:sz w:val="28"/>
        </w:rPr>
        <w:t>部门预算的编制实行综合预算管理，即全部收入和支出都反映在预算中。张家口市桥东区人民法院机关及所属事业单位的收支包含在部门预算中。</w:t>
      </w:r>
    </w:p>
    <w:p>
      <w:pPr>
        <w:spacing w:line="500" w:lineRule="exact"/>
        <w:ind w:firstLine="560" w:firstLineChars="200"/>
        <w:rPr>
          <w:rFonts w:eastAsia="方正仿宋_GBK"/>
          <w:color w:val="000000"/>
          <w:sz w:val="28"/>
        </w:rPr>
      </w:pPr>
      <w:r>
        <w:rPr>
          <w:rFonts w:eastAsia="方正仿宋_GBK"/>
          <w:color w:val="000000"/>
          <w:sz w:val="28"/>
        </w:rPr>
        <w:t>1</w:t>
      </w:r>
      <w:r>
        <w:rPr>
          <w:rFonts w:hint="eastAsia" w:eastAsia="方正仿宋_GBK"/>
          <w:color w:val="000000"/>
          <w:sz w:val="28"/>
        </w:rPr>
        <w:t>、收入说明</w:t>
      </w:r>
    </w:p>
    <w:p>
      <w:pPr>
        <w:spacing w:line="500" w:lineRule="exact"/>
        <w:ind w:firstLine="560" w:firstLineChars="200"/>
        <w:rPr>
          <w:rFonts w:hint="eastAsia" w:eastAsia="方正仿宋_GBK"/>
          <w:color w:val="000000"/>
          <w:sz w:val="28"/>
          <w:lang w:eastAsia="zh-CN"/>
        </w:rPr>
      </w:pPr>
      <w:r>
        <w:rPr>
          <w:rFonts w:hint="eastAsia" w:eastAsia="方正仿宋_GBK"/>
          <w:color w:val="000000"/>
          <w:sz w:val="28"/>
        </w:rPr>
        <w:t>反映本部门当年全部收入。</w:t>
      </w:r>
      <w:r>
        <w:rPr>
          <w:rFonts w:eastAsia="方正仿宋_GBK"/>
          <w:color w:val="000000"/>
          <w:sz w:val="28"/>
        </w:rPr>
        <w:t>2023</w:t>
      </w:r>
      <w:r>
        <w:rPr>
          <w:rFonts w:hint="eastAsia" w:eastAsia="方正仿宋_GBK"/>
          <w:color w:val="000000"/>
          <w:sz w:val="28"/>
        </w:rPr>
        <w:t>年预算收入</w:t>
      </w:r>
      <w:r>
        <w:rPr>
          <w:rFonts w:eastAsia="方正仿宋_GBK"/>
          <w:color w:val="000000"/>
          <w:sz w:val="28"/>
        </w:rPr>
        <w:t>2522.85</w:t>
      </w:r>
      <w:r>
        <w:rPr>
          <w:rFonts w:hint="eastAsia" w:eastAsia="方正仿宋_GBK"/>
          <w:color w:val="000000"/>
          <w:sz w:val="28"/>
        </w:rPr>
        <w:t>万元，其中：一般公共预算收入</w:t>
      </w:r>
      <w:r>
        <w:rPr>
          <w:rFonts w:eastAsia="方正仿宋_GBK"/>
          <w:color w:val="000000"/>
          <w:sz w:val="28"/>
        </w:rPr>
        <w:t>2522.85</w:t>
      </w:r>
      <w:r>
        <w:rPr>
          <w:rFonts w:hint="eastAsia" w:eastAsia="方正仿宋_GBK"/>
          <w:color w:val="000000"/>
          <w:sz w:val="28"/>
        </w:rPr>
        <w:t>万元，基金预算收入</w:t>
      </w:r>
      <w:r>
        <w:rPr>
          <w:rFonts w:eastAsia="方正仿宋_GBK"/>
          <w:color w:val="000000"/>
          <w:sz w:val="28"/>
        </w:rPr>
        <w:t>0</w:t>
      </w:r>
      <w:r>
        <w:rPr>
          <w:rFonts w:hint="eastAsia" w:eastAsia="方正仿宋_GBK"/>
          <w:color w:val="000000"/>
          <w:sz w:val="28"/>
        </w:rPr>
        <w:t>万元，国有资本经营预算收入</w:t>
      </w:r>
      <w:r>
        <w:rPr>
          <w:rFonts w:eastAsia="方正仿宋_GBK"/>
          <w:color w:val="000000"/>
          <w:sz w:val="28"/>
        </w:rPr>
        <w:t>0</w:t>
      </w:r>
      <w:r>
        <w:rPr>
          <w:rFonts w:hint="eastAsia" w:eastAsia="方正仿宋_GBK"/>
          <w:color w:val="000000"/>
          <w:sz w:val="28"/>
        </w:rPr>
        <w:t>万元，财政专户核拨收入</w:t>
      </w:r>
      <w:r>
        <w:rPr>
          <w:rFonts w:eastAsia="方正仿宋_GBK"/>
          <w:color w:val="000000"/>
          <w:sz w:val="28"/>
        </w:rPr>
        <w:t>0</w:t>
      </w:r>
      <w:r>
        <w:rPr>
          <w:rFonts w:hint="eastAsia" w:eastAsia="方正仿宋_GBK"/>
          <w:color w:val="000000"/>
          <w:sz w:val="28"/>
        </w:rPr>
        <w:t>万元，单位资金收入</w:t>
      </w:r>
      <w:r>
        <w:rPr>
          <w:rFonts w:eastAsia="方正仿宋_GBK"/>
          <w:color w:val="000000"/>
          <w:sz w:val="28"/>
        </w:rPr>
        <w:t>0</w:t>
      </w:r>
      <w:r>
        <w:rPr>
          <w:rFonts w:hint="eastAsia" w:eastAsia="方正仿宋_GBK"/>
          <w:color w:val="000000"/>
          <w:sz w:val="28"/>
        </w:rPr>
        <w:t>万元，上年结转结余</w:t>
      </w:r>
      <w:r>
        <w:rPr>
          <w:rFonts w:hint="eastAsia" w:eastAsia="方正仿宋_GBK"/>
          <w:color w:val="000000"/>
          <w:sz w:val="28"/>
          <w:lang w:val="en-US" w:eastAsia="zh-CN"/>
        </w:rPr>
        <w:t>0</w:t>
      </w:r>
      <w:r>
        <w:rPr>
          <w:rFonts w:hint="eastAsia" w:eastAsia="方正仿宋_GBK"/>
          <w:color w:val="000000"/>
          <w:sz w:val="28"/>
        </w:rPr>
        <w:t>万元</w:t>
      </w:r>
      <w:r>
        <w:rPr>
          <w:rFonts w:hint="eastAsia" w:eastAsia="方正仿宋_GBK"/>
          <w:color w:val="000000"/>
          <w:sz w:val="28"/>
          <w:lang w:eastAsia="zh-CN"/>
        </w:rPr>
        <w:t>。</w:t>
      </w:r>
    </w:p>
    <w:p>
      <w:pPr>
        <w:spacing w:line="500" w:lineRule="exact"/>
        <w:ind w:firstLine="560" w:firstLineChars="200"/>
        <w:rPr>
          <w:rFonts w:eastAsia="方正仿宋_GBK"/>
          <w:color w:val="000000"/>
          <w:sz w:val="28"/>
        </w:rPr>
      </w:pPr>
      <w:r>
        <w:rPr>
          <w:rFonts w:eastAsia="方正仿宋_GBK"/>
          <w:color w:val="000000"/>
          <w:sz w:val="28"/>
        </w:rPr>
        <w:t>2</w:t>
      </w:r>
      <w:r>
        <w:rPr>
          <w:rFonts w:hint="eastAsia" w:eastAsia="方正仿宋_GBK"/>
          <w:color w:val="000000"/>
          <w:sz w:val="28"/>
        </w:rPr>
        <w:t>、支出说明</w:t>
      </w:r>
    </w:p>
    <w:p>
      <w:pPr>
        <w:spacing w:line="500" w:lineRule="exact"/>
        <w:ind w:firstLine="560" w:firstLineChars="200"/>
        <w:rPr>
          <w:rFonts w:eastAsia="方正仿宋_GBK"/>
          <w:color w:val="000000"/>
          <w:sz w:val="28"/>
        </w:rPr>
      </w:pPr>
      <w:r>
        <w:rPr>
          <w:rFonts w:hint="eastAsia" w:eastAsia="方正仿宋_GBK"/>
          <w:color w:val="000000"/>
          <w:sz w:val="28"/>
        </w:rPr>
        <w:t>收支预算总表支出栏、基本支出表、项目支出表按经济分类和支出功能分类科目编制，反映张家口市桥东区人民法院年度部门预算中支出预算的总体情况。</w:t>
      </w:r>
      <w:r>
        <w:rPr>
          <w:rFonts w:eastAsia="方正仿宋_GBK"/>
          <w:color w:val="000000"/>
          <w:sz w:val="28"/>
        </w:rPr>
        <w:t>2023</w:t>
      </w:r>
      <w:r>
        <w:rPr>
          <w:rFonts w:hint="eastAsia" w:eastAsia="方正仿宋_GBK"/>
          <w:color w:val="000000"/>
          <w:sz w:val="28"/>
        </w:rPr>
        <w:t>年支出预算</w:t>
      </w:r>
      <w:r>
        <w:rPr>
          <w:rFonts w:eastAsia="方正仿宋_GBK"/>
          <w:color w:val="000000"/>
          <w:sz w:val="28"/>
        </w:rPr>
        <w:t>2522.85</w:t>
      </w:r>
      <w:r>
        <w:rPr>
          <w:rFonts w:hint="eastAsia" w:eastAsia="方正仿宋_GBK"/>
          <w:color w:val="000000"/>
          <w:sz w:val="28"/>
        </w:rPr>
        <w:t>万元，其中基本支出</w:t>
      </w:r>
      <w:r>
        <w:rPr>
          <w:rFonts w:eastAsia="方正仿宋_GBK"/>
          <w:color w:val="000000"/>
          <w:sz w:val="28"/>
        </w:rPr>
        <w:t>2228.85</w:t>
      </w:r>
      <w:r>
        <w:rPr>
          <w:rFonts w:hint="eastAsia" w:eastAsia="方正仿宋_GBK"/>
          <w:color w:val="000000"/>
          <w:sz w:val="28"/>
        </w:rPr>
        <w:t>万元，包括人员经费</w:t>
      </w:r>
      <w:r>
        <w:rPr>
          <w:rFonts w:eastAsia="方正仿宋_GBK"/>
          <w:color w:val="000000"/>
          <w:sz w:val="28"/>
        </w:rPr>
        <w:t>1838.78</w:t>
      </w:r>
      <w:r>
        <w:rPr>
          <w:rFonts w:hint="eastAsia" w:eastAsia="方正仿宋_GBK"/>
          <w:color w:val="000000"/>
          <w:sz w:val="28"/>
        </w:rPr>
        <w:t>万元和日常公用经费</w:t>
      </w:r>
      <w:r>
        <w:rPr>
          <w:rFonts w:eastAsia="方正仿宋_GBK"/>
          <w:color w:val="000000"/>
          <w:sz w:val="28"/>
        </w:rPr>
        <w:t>390.07</w:t>
      </w:r>
      <w:r>
        <w:rPr>
          <w:rFonts w:hint="eastAsia" w:eastAsia="方正仿宋_GBK"/>
          <w:color w:val="000000"/>
          <w:sz w:val="28"/>
        </w:rPr>
        <w:t>万元；项目支出</w:t>
      </w:r>
      <w:r>
        <w:rPr>
          <w:rFonts w:eastAsia="方正仿宋_GBK"/>
          <w:color w:val="000000"/>
          <w:sz w:val="28"/>
        </w:rPr>
        <w:t>294.00</w:t>
      </w:r>
      <w:r>
        <w:rPr>
          <w:rFonts w:hint="eastAsia" w:eastAsia="方正仿宋_GBK"/>
          <w:color w:val="000000"/>
          <w:sz w:val="28"/>
        </w:rPr>
        <w:t>万元，主要为综合事务管理，综合业务管理支出等。</w:t>
      </w:r>
    </w:p>
    <w:p>
      <w:pPr>
        <w:spacing w:line="500" w:lineRule="exact"/>
        <w:ind w:firstLine="560" w:firstLineChars="200"/>
        <w:rPr>
          <w:rFonts w:eastAsia="方正仿宋_GBK"/>
          <w:color w:val="000000"/>
          <w:sz w:val="28"/>
        </w:rPr>
      </w:pPr>
      <w:r>
        <w:rPr>
          <w:rFonts w:eastAsia="方正仿宋_GBK"/>
          <w:color w:val="000000"/>
          <w:sz w:val="28"/>
        </w:rPr>
        <w:t>3</w:t>
      </w:r>
      <w:r>
        <w:rPr>
          <w:rFonts w:hint="eastAsia" w:eastAsia="方正仿宋_GBK"/>
          <w:color w:val="000000"/>
          <w:sz w:val="28"/>
        </w:rPr>
        <w:t>、比上年增减情况</w:t>
      </w:r>
    </w:p>
    <w:p>
      <w:pPr>
        <w:spacing w:line="50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rPr>
        <w:t>年预算收支安排</w:t>
      </w:r>
      <w:r>
        <w:rPr>
          <w:rFonts w:eastAsia="方正仿宋_GBK"/>
          <w:color w:val="000000"/>
          <w:sz w:val="28"/>
        </w:rPr>
        <w:t>2522.85</w:t>
      </w:r>
      <w:r>
        <w:rPr>
          <w:rFonts w:hint="eastAsia" w:eastAsia="方正仿宋_GBK"/>
          <w:color w:val="000000"/>
          <w:sz w:val="28"/>
        </w:rPr>
        <w:t>万元，较</w:t>
      </w:r>
      <w:r>
        <w:rPr>
          <w:rFonts w:eastAsia="方正仿宋_GBK"/>
          <w:color w:val="000000"/>
          <w:sz w:val="28"/>
        </w:rPr>
        <w:t>2022</w:t>
      </w:r>
      <w:r>
        <w:rPr>
          <w:rFonts w:hint="eastAsia" w:eastAsia="方正仿宋_GBK"/>
          <w:color w:val="000000"/>
          <w:sz w:val="28"/>
        </w:rPr>
        <w:t>年预算减少</w:t>
      </w:r>
      <w:r>
        <w:rPr>
          <w:rFonts w:eastAsia="方正仿宋_GBK"/>
          <w:color w:val="000000"/>
          <w:sz w:val="28"/>
        </w:rPr>
        <w:t>234.67</w:t>
      </w:r>
      <w:r>
        <w:rPr>
          <w:rFonts w:hint="eastAsia" w:eastAsia="方正仿宋_GBK"/>
          <w:color w:val="000000"/>
          <w:sz w:val="28"/>
        </w:rPr>
        <w:t>万元，其中：基本支出增加</w:t>
      </w:r>
      <w:r>
        <w:rPr>
          <w:rFonts w:eastAsia="方正仿宋_GBK"/>
          <w:color w:val="000000"/>
          <w:sz w:val="28"/>
        </w:rPr>
        <w:t>261.24</w:t>
      </w:r>
      <w:r>
        <w:rPr>
          <w:rFonts w:hint="eastAsia" w:eastAsia="方正仿宋_GBK"/>
          <w:color w:val="000000"/>
          <w:sz w:val="28"/>
        </w:rPr>
        <w:t>万元，主要为人员经费支出增加</w:t>
      </w:r>
      <w:r>
        <w:rPr>
          <w:rFonts w:eastAsia="方正仿宋_GBK"/>
          <w:color w:val="000000"/>
          <w:sz w:val="28"/>
        </w:rPr>
        <w:t>175.67</w:t>
      </w:r>
      <w:r>
        <w:rPr>
          <w:rFonts w:hint="eastAsia" w:eastAsia="方正仿宋_GBK"/>
          <w:color w:val="000000"/>
          <w:sz w:val="28"/>
        </w:rPr>
        <w:t>万元和日常公用经费支出增加</w:t>
      </w:r>
      <w:r>
        <w:rPr>
          <w:rFonts w:eastAsia="方正仿宋_GBK"/>
          <w:color w:val="000000"/>
          <w:sz w:val="28"/>
        </w:rPr>
        <w:t>85.57</w:t>
      </w:r>
      <w:r>
        <w:rPr>
          <w:rFonts w:hint="eastAsia" w:eastAsia="方正仿宋_GBK"/>
          <w:color w:val="000000"/>
          <w:sz w:val="28"/>
        </w:rPr>
        <w:t>万元；项目支出减少</w:t>
      </w:r>
      <w:r>
        <w:rPr>
          <w:rFonts w:eastAsia="方正仿宋_GBK"/>
          <w:color w:val="000000"/>
          <w:sz w:val="28"/>
        </w:rPr>
        <w:t>495.91</w:t>
      </w:r>
      <w:r>
        <w:rPr>
          <w:rFonts w:hint="eastAsia" w:eastAsia="方正仿宋_GBK"/>
          <w:color w:val="000000"/>
          <w:sz w:val="28"/>
        </w:rPr>
        <w:t>万元，主要为</w:t>
      </w:r>
      <w:r>
        <w:rPr>
          <w:rFonts w:eastAsia="方正仿宋_GBK"/>
          <w:color w:val="000000"/>
          <w:sz w:val="28"/>
        </w:rPr>
        <w:t>2023</w:t>
      </w:r>
      <w:r>
        <w:rPr>
          <w:rFonts w:hint="eastAsia" w:eastAsia="方正仿宋_GBK"/>
          <w:color w:val="000000"/>
          <w:sz w:val="28"/>
        </w:rPr>
        <w:t>年桥东法院财务上划至市级统一管理，根据非税收入编制非税项目支出预算从而列入本年年初预算。</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r>
        <w:rPr>
          <w:rFonts w:eastAsia="方正仿宋_GBK"/>
          <w:color w:val="000000"/>
          <w:sz w:val="28"/>
        </w:rPr>
        <w:t> </w:t>
      </w:r>
    </w:p>
    <w:p>
      <w:pPr>
        <w:spacing w:line="500" w:lineRule="exact"/>
        <w:ind w:firstLine="560" w:firstLineChars="200"/>
        <w:rPr>
          <w:rFonts w:eastAsia="方正仿宋_GBK"/>
          <w:color w:val="000000"/>
          <w:sz w:val="28"/>
        </w:rPr>
      </w:pPr>
      <w:r>
        <w:rPr>
          <w:rFonts w:eastAsia="方正仿宋_GBK"/>
          <w:color w:val="000000"/>
          <w:sz w:val="28"/>
        </w:rPr>
        <w:t>2023</w:t>
      </w:r>
      <w:r>
        <w:rPr>
          <w:rFonts w:hint="eastAsia" w:eastAsia="方正仿宋_GBK"/>
          <w:color w:val="000000"/>
          <w:sz w:val="28"/>
        </w:rPr>
        <w:t>年，我部门运行经费共计安排</w:t>
      </w:r>
      <w:r>
        <w:rPr>
          <w:rFonts w:eastAsia="方正仿宋_GBK"/>
          <w:color w:val="000000"/>
          <w:sz w:val="28"/>
        </w:rPr>
        <w:t>390.07</w:t>
      </w:r>
      <w:r>
        <w:rPr>
          <w:rFonts w:hint="eastAsia" w:eastAsia="方正仿宋_GBK"/>
          <w:color w:val="000000"/>
          <w:sz w:val="28"/>
        </w:rPr>
        <w:t>万元，主要用于日常维修、办公用房水电费、办公用房物业管理费、办公费、邮电费等日常运行支出。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rPr>
          <w:color w:val="000000"/>
        </w:rPr>
      </w:pPr>
      <w:r>
        <w:rPr>
          <w:color w:val="000000"/>
        </w:rPr>
        <w:t>2023</w:t>
      </w:r>
      <w:r>
        <w:rPr>
          <w:rFonts w:hint="eastAsia"/>
          <w:color w:val="000000"/>
        </w:rPr>
        <w:t>年，我部门财政拨款“三公”经费预算安排</w:t>
      </w:r>
      <w:r>
        <w:rPr>
          <w:color w:val="000000"/>
        </w:rPr>
        <w:t>23</w:t>
      </w:r>
      <w:r>
        <w:rPr>
          <w:rFonts w:hint="eastAsia"/>
          <w:color w:val="000000"/>
        </w:rPr>
        <w:t>万元，其中：因公出国（境）费</w:t>
      </w:r>
      <w:r>
        <w:rPr>
          <w:color w:val="000000"/>
        </w:rPr>
        <w:t>0</w:t>
      </w:r>
      <w:r>
        <w:rPr>
          <w:rFonts w:hint="eastAsia"/>
          <w:color w:val="000000"/>
        </w:rPr>
        <w:t>万元；公务用车购置及运维费</w:t>
      </w:r>
      <w:r>
        <w:rPr>
          <w:color w:val="000000"/>
        </w:rPr>
        <w:t>23</w:t>
      </w:r>
      <w:r>
        <w:rPr>
          <w:rFonts w:hint="eastAsia"/>
          <w:color w:val="000000"/>
        </w:rPr>
        <w:t>万元（其中：公务用车购置费为</w:t>
      </w:r>
      <w:r>
        <w:rPr>
          <w:color w:val="000000"/>
        </w:rPr>
        <w:t>0</w:t>
      </w:r>
      <w:r>
        <w:rPr>
          <w:rFonts w:hint="eastAsia"/>
          <w:color w:val="000000"/>
        </w:rPr>
        <w:t>万元，公务用车运维费</w:t>
      </w:r>
      <w:r>
        <w:rPr>
          <w:color w:val="000000"/>
        </w:rPr>
        <w:t>23</w:t>
      </w:r>
      <w:r>
        <w:rPr>
          <w:rFonts w:hint="eastAsia"/>
          <w:color w:val="000000"/>
        </w:rPr>
        <w:t>万元</w:t>
      </w:r>
      <w:r>
        <w:rPr>
          <w:color w:val="000000"/>
        </w:rPr>
        <w:t>)</w:t>
      </w:r>
      <w:r>
        <w:t>；公务接待费</w:t>
      </w:r>
      <w:r>
        <w:rPr>
          <w:rFonts w:hint="eastAsia"/>
          <w:lang w:val="en-US" w:eastAsia="zh-CN"/>
        </w:rPr>
        <w:t>0</w:t>
      </w:r>
      <w:r>
        <w:t>万元</w:t>
      </w:r>
      <w:r>
        <w:rPr>
          <w:rFonts w:hint="eastAsia"/>
          <w:color w:val="000000"/>
        </w:rPr>
        <w:t>。与</w:t>
      </w:r>
      <w:r>
        <w:rPr>
          <w:color w:val="000000"/>
        </w:rPr>
        <w:t>2022</w:t>
      </w:r>
      <w:r>
        <w:rPr>
          <w:rFonts w:hint="eastAsia"/>
          <w:color w:val="000000"/>
        </w:rPr>
        <w:t>年相比，其中：因公出国（境）费与上年持平，无增减变化</w:t>
      </w:r>
      <w:r>
        <w:rPr>
          <w:rFonts w:hint="eastAsia"/>
          <w:color w:val="000000"/>
          <w:lang w:eastAsia="zh-CN"/>
        </w:rPr>
        <w:t>；</w:t>
      </w:r>
      <w:r>
        <w:rPr>
          <w:rFonts w:hint="eastAsia"/>
          <w:color w:val="000000"/>
        </w:rPr>
        <w:t>公务用车购置及运维费与上年持平，无增减变化</w:t>
      </w:r>
      <w:r>
        <w:rPr>
          <w:rFonts w:hint="eastAsia"/>
          <w:color w:val="000000"/>
          <w:lang w:eastAsia="zh-CN"/>
        </w:rPr>
        <w:t>；</w:t>
      </w:r>
      <w:r>
        <w:t>公务接待费</w:t>
      </w:r>
      <w:r>
        <w:rPr>
          <w:rFonts w:hint="eastAsia"/>
          <w:color w:val="000000"/>
        </w:rPr>
        <w:t>与上年持平，无增减变化。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rPr>
          <w:lang w:eastAsia="zh-CN"/>
        </w:rPr>
      </w:pPr>
      <w:r>
        <w:t>2023</w:t>
      </w:r>
      <w:r>
        <w:rPr>
          <w:rFonts w:hint="eastAsia"/>
        </w:rPr>
        <w:t>年我院紧紧围绕</w:t>
      </w:r>
      <w:r>
        <w:t>“</w:t>
      </w:r>
      <w:r>
        <w:rPr>
          <w:rFonts w:hint="eastAsia"/>
        </w:rPr>
        <w:t>努力让人民群众在每一个司法案件中感受到公平正义</w:t>
      </w:r>
      <w:r>
        <w:t>”</w:t>
      </w:r>
      <w:r>
        <w:rPr>
          <w:rFonts w:hint="eastAsia"/>
        </w:rPr>
        <w:t>的目标，牢固树立和落实新发展理念，坚决贯彻习近平总书记重要指示精神，牢牢把握</w:t>
      </w:r>
      <w:r>
        <w:t>“</w:t>
      </w:r>
      <w:r>
        <w:rPr>
          <w:rFonts w:hint="eastAsia"/>
        </w:rPr>
        <w:t>司法为民、公正司法</w:t>
      </w:r>
      <w:r>
        <w:t>”</w:t>
      </w:r>
      <w:r>
        <w:rPr>
          <w:rFonts w:hint="eastAsia"/>
        </w:rPr>
        <w:t>工作主线，全面落实中央、省、市政法工作会议精神和上级法院确定的各项目标任务。围绕人民法院的主要职能：一是依法审判法律规定的由区人民法院管辖的刑事、民事、行政等案件，依法办理发生法律效力判决、其他法律文书的执行，做好审判管理工作。妥善审理经济转型过程中引发的各类矛盾纠纷，依法维护国家安全和社会稳定，严惩各类严重刑事犯罪，积极推进平安区建设，营造良好的法治环境。二是完成涉法涉诉类案件的息诉罢访工作，依法办理国家赔偿案件；改革涉诉信访工作，推动涉诉信访问题在法治轨道内解决，有效降低信访率；落实司法为民措施，保护被侵权人合法利益，促进国家机关依法行使职权。三是落实法院系统综合业务管理和综合事务管理，提高队伍素质和执法能力，确保高质高效完成各项工作。</w:t>
      </w:r>
    </w:p>
    <w:p>
      <w:pPr>
        <w:pStyle w:val="23"/>
        <w:rPr>
          <w:lang w:eastAsia="zh-CN"/>
        </w:rPr>
      </w:pPr>
    </w:p>
    <w:p>
      <w:pPr>
        <w:spacing w:line="500" w:lineRule="exact"/>
        <w:ind w:firstLine="560"/>
      </w:pPr>
      <w:r>
        <w:rPr>
          <w:rFonts w:hint="eastAsia" w:eastAsia="方正仿宋_GBK"/>
          <w:color w:val="000000"/>
          <w:sz w:val="28"/>
        </w:rPr>
        <w:t>（二）分项绩效目标</w:t>
      </w:r>
    </w:p>
    <w:p>
      <w:pPr>
        <w:pStyle w:val="24"/>
      </w:pPr>
      <w:r>
        <w:rPr>
          <w:rFonts w:hint="eastAsia"/>
        </w:rPr>
        <w:t>（一）担好本区案件审判和管理主责，严惩犯罪、推进平安区建设。</w:t>
      </w:r>
    </w:p>
    <w:p>
      <w:pPr>
        <w:pStyle w:val="24"/>
      </w:pPr>
      <w:r>
        <w:rPr>
          <w:rFonts w:hint="eastAsia"/>
        </w:rPr>
        <w:t>绩效目标：依法审判刑事、民事、行政案件和上级人民法院交由审判的案件；依法审理刑事、民事、行政再审案件，人民检察院提出抗诉的案件。有效规范、保障、促进审判执行工作，开展司法技术辅助工作。</w:t>
      </w:r>
    </w:p>
    <w:p>
      <w:pPr>
        <w:pStyle w:val="24"/>
      </w:pPr>
      <w:r>
        <w:rPr>
          <w:rFonts w:hint="eastAsia"/>
        </w:rPr>
        <w:t>绩效指标：结案率大于等于</w:t>
      </w:r>
      <w:r>
        <w:t>90%</w:t>
      </w:r>
      <w:r>
        <w:rPr>
          <w:rFonts w:hint="eastAsia"/>
        </w:rPr>
        <w:t>；案件流程合规率大于等于</w:t>
      </w:r>
      <w:r>
        <w:t>98%</w:t>
      </w:r>
      <w:r>
        <w:rPr>
          <w:rFonts w:hint="eastAsia"/>
        </w:rPr>
        <w:t>；法定审限内结案数占案件总数的比率大于等于</w:t>
      </w:r>
      <w:r>
        <w:t>90%</w:t>
      </w:r>
      <w:r>
        <w:rPr>
          <w:rFonts w:hint="eastAsia"/>
        </w:rPr>
        <w:t>。</w:t>
      </w:r>
    </w:p>
    <w:p>
      <w:pPr>
        <w:pStyle w:val="24"/>
      </w:pPr>
      <w:r>
        <w:rPr>
          <w:rFonts w:hint="eastAsia"/>
        </w:rPr>
        <w:t>（二）稳定涉法涉诉类信访情况，落实司法救助与国家赔偿案件。</w:t>
      </w:r>
    </w:p>
    <w:p>
      <w:pPr>
        <w:pStyle w:val="24"/>
      </w:pPr>
      <w:r>
        <w:rPr>
          <w:rFonts w:hint="eastAsia"/>
        </w:rPr>
        <w:t>绩效目标：完成涉法涉诉类上访案件的息诉罢访工作，做好</w:t>
      </w:r>
      <w:r>
        <w:t>“</w:t>
      </w:r>
      <w:r>
        <w:rPr>
          <w:rFonts w:hint="eastAsia"/>
        </w:rPr>
        <w:t>两会</w:t>
      </w:r>
      <w:r>
        <w:t>”</w:t>
      </w:r>
      <w:r>
        <w:rPr>
          <w:rFonts w:hint="eastAsia"/>
        </w:rPr>
        <w:t>、重大活动期间的维稳工作，接待分流越级上访人员、协助处理到上级法院的集体访和闹访人员的稳控遣返工作。依法办理国家赔偿案件，执行赔偿委员会决定事项，审查处理赔偿告诉申诉案件。</w:t>
      </w:r>
    </w:p>
    <w:p>
      <w:pPr>
        <w:pStyle w:val="24"/>
      </w:pPr>
      <w:r>
        <w:rPr>
          <w:rFonts w:hint="eastAsia"/>
        </w:rPr>
        <w:t>绩效指标：信访案件结案率大于等于</w:t>
      </w:r>
      <w:r>
        <w:t>80%</w:t>
      </w:r>
      <w:r>
        <w:rPr>
          <w:rFonts w:hint="eastAsia"/>
        </w:rPr>
        <w:t>；信访受理满意度大于等于</w:t>
      </w:r>
      <w:r>
        <w:t>85%;</w:t>
      </w:r>
      <w:r>
        <w:rPr>
          <w:rFonts w:hint="eastAsia"/>
        </w:rPr>
        <w:t>司法救助率大于等于</w:t>
      </w:r>
      <w:r>
        <w:t>80%</w:t>
      </w:r>
      <w:r>
        <w:rPr>
          <w:rFonts w:hint="eastAsia"/>
        </w:rPr>
        <w:t>；</w:t>
      </w:r>
    </w:p>
    <w:p>
      <w:pPr>
        <w:pStyle w:val="24"/>
      </w:pPr>
      <w:r>
        <w:rPr>
          <w:rFonts w:hint="eastAsia"/>
        </w:rPr>
        <w:t>（三）落实法院系统综合业务管理和综合事务管理，提高队伍素质和执法能力。</w:t>
      </w:r>
    </w:p>
    <w:p>
      <w:pPr>
        <w:pStyle w:val="24"/>
      </w:pPr>
      <w:r>
        <w:rPr>
          <w:rFonts w:hint="eastAsia"/>
        </w:rPr>
        <w:t>绩效目标：加强法院系统队伍建设，管理法院司法行政工作，提升审判质效，改进司法工作作风，树立法院良好形象。加强法院基础设施及信息化建设、培训及文化建设，建立绩效考核制度，承办其它应由区人民法院负责的工作。</w:t>
      </w:r>
    </w:p>
    <w:p>
      <w:pPr>
        <w:pStyle w:val="24"/>
      </w:pPr>
      <w:r>
        <w:rPr>
          <w:rFonts w:hint="eastAsia"/>
        </w:rPr>
        <w:t>绩效指标：社会公众满意度大于等于</w:t>
      </w:r>
      <w:r>
        <w:t>85%</w:t>
      </w:r>
      <w:r>
        <w:rPr>
          <w:rFonts w:hint="eastAsia"/>
        </w:rPr>
        <w:t>；办案人员满意度大于等于</w:t>
      </w:r>
      <w:r>
        <w:t>85%</w:t>
      </w:r>
    </w:p>
    <w:p>
      <w:pPr>
        <w:pStyle w:val="24"/>
      </w:pPr>
    </w:p>
    <w:p>
      <w:pPr>
        <w:spacing w:line="500" w:lineRule="exact"/>
        <w:ind w:firstLine="560"/>
      </w:pPr>
      <w:r>
        <w:rPr>
          <w:rFonts w:hint="eastAsia" w:eastAsia="方正仿宋_GBK"/>
          <w:color w:val="000000"/>
          <w:sz w:val="28"/>
        </w:rPr>
        <w:t>（三）工作保障措施</w:t>
      </w:r>
    </w:p>
    <w:p>
      <w:pPr>
        <w:pStyle w:val="25"/>
      </w:pPr>
      <w:r>
        <w:rPr>
          <w:rFonts w:hint="eastAsia"/>
        </w:rPr>
        <w:t>（一）完善制度建设。为实现全年预算绩效目标，落实我院各项工作任务，我院经党组研究，依据国家、省、市等的相关规定，结合实际，制定了包括预算绩效管理制度、资金管理办法、内部控制制度等多项管理制度，并根据《行政事业单位内部控制规范（试行）》（财会〔</w:t>
      </w:r>
      <w:r>
        <w:t>2012</w:t>
      </w:r>
      <w:r>
        <w:rPr>
          <w:rFonts w:hint="eastAsia"/>
        </w:rPr>
        <w:t>〕</w:t>
      </w:r>
      <w:r>
        <w:t>21</w:t>
      </w:r>
      <w:r>
        <w:rPr>
          <w:rFonts w:hint="eastAsia"/>
        </w:rPr>
        <w:t>号），以下简称《内控规范》）和《财政部关于全面推进行政事业单位内部控制建设的指导意见》（财会〔</w:t>
      </w:r>
      <w:r>
        <w:t>2015</w:t>
      </w:r>
      <w:r>
        <w:rPr>
          <w:rFonts w:hint="eastAsia"/>
        </w:rPr>
        <w:t>〕</w:t>
      </w:r>
      <w:r>
        <w:t>24</w:t>
      </w:r>
      <w:r>
        <w:rPr>
          <w:rFonts w:hint="eastAsia"/>
        </w:rPr>
        <w:t>号）的要求</w:t>
      </w:r>
      <w:r>
        <w:t>,</w:t>
      </w:r>
      <w:r>
        <w:rPr>
          <w:rFonts w:hint="eastAsia"/>
        </w:rPr>
        <w:t>于</w:t>
      </w:r>
      <w:r>
        <w:t>2018</w:t>
      </w:r>
      <w:r>
        <w:rPr>
          <w:rFonts w:hint="eastAsia"/>
        </w:rPr>
        <w:t>年</w:t>
      </w:r>
      <w:r>
        <w:t>1</w:t>
      </w:r>
      <w:r>
        <w:rPr>
          <w:rFonts w:hint="eastAsia"/>
        </w:rPr>
        <w:t>月</w:t>
      </w:r>
      <w:r>
        <w:t>1</w:t>
      </w:r>
      <w:r>
        <w:rPr>
          <w:rFonts w:hint="eastAsia"/>
        </w:rPr>
        <w:t>日修订了原有的内控方案。方案包含一、总体目标和主要任务；二、组织领导；三、内部控制机制建立和运行的主要工作步骤；四、工作要求四部分。</w:t>
      </w:r>
    </w:p>
    <w:p>
      <w:pPr>
        <w:pStyle w:val="25"/>
      </w:pPr>
      <w:r>
        <w:rPr>
          <w:rFonts w:hint="eastAsia"/>
        </w:rPr>
        <w:t>（二）加强支出管理。我院积极响应国家政策，按照</w:t>
      </w:r>
      <w:r>
        <w:t>“</w:t>
      </w:r>
      <w:r>
        <w:rPr>
          <w:rFonts w:hint="eastAsia"/>
        </w:rPr>
        <w:t>稳、进、好、准、度</w:t>
      </w:r>
      <w:r>
        <w:t>”</w:t>
      </w:r>
      <w:r>
        <w:rPr>
          <w:rFonts w:hint="eastAsia"/>
        </w:rPr>
        <w:t>要求精编项目预算，将所有资金全部细化到具体项目，做好部门预算编制工作。加快支出进度，健全激励约束机制，强化单位主体责任和工作责任，确保资金均衡支出；除按规定或确有特殊原因结转外，项目资金当年全部形成支出。财务室分工明确，专职专责，提高财务工作运行效率。加快履行政府采购手续、尽快启动项目、及时支付资金、加强三公经费支付管理。在日常工作中，需报销的三公支出，由申请人填报报销凭证，再由出纳审查，办公室主任审核，最后由主管财务副院长审批。其他支出，由经手人包办公室主任审核后，报主管财务副院长审批，最后由出纳支付，会计记账。</w:t>
      </w:r>
    </w:p>
    <w:p>
      <w:pPr>
        <w:pStyle w:val="25"/>
      </w:pPr>
      <w:r>
        <w:rPr>
          <w:rFonts w:hint="eastAsia"/>
        </w:rPr>
        <w:t>（三）加强绩效运行监控。紧紧围绕区财政通知要求及工作进度进行自我检查，按要求开展绩效运行监控，发现问题及时采取措施，杜绝项目偏离绩效目标的情况出现，出现偏差及时纠正，确保绩效目标如期保质实现。</w:t>
      </w:r>
    </w:p>
    <w:p>
      <w:pPr>
        <w:pStyle w:val="25"/>
      </w:pPr>
      <w:r>
        <w:rPr>
          <w:rFonts w:hint="eastAsia"/>
        </w:rPr>
        <w:t>（四）做好绩效自评。按要求开展上年度部门预算绩效自评和重点评价工作，细致核对自评过程各项评分情况，做到精准定位、如实评价、及时纠正、逐步优化，对评价中发现的问题及时整改，调整优化支出结构，提高财政资金使用效益。</w:t>
      </w:r>
    </w:p>
    <w:p>
      <w:pPr>
        <w:pStyle w:val="25"/>
      </w:pPr>
      <w:r>
        <w:rPr>
          <w:rFonts w:hint="eastAsia"/>
        </w:rPr>
        <w:t>（五）规范财务资产管理。按照上级法院及区财政局的要求，我院已安装财政部政府资产报告信息管理系统、财政部统一报表系统、行政事业单位资产管理信息系统、地方政府采购信息管理系统、河北省公务用车信息化管理平台等多项财产保护登记。对于应当登记的财产，每件都有记载。定期将全部固定资产进行清查，确保无遗漏。今后将完善财务管理制度，严格审批程序，加强固定资产登记、使用和报废处置管理，做到支出合理，物尽其用。</w:t>
      </w:r>
    </w:p>
    <w:p>
      <w:pPr>
        <w:pStyle w:val="25"/>
      </w:pPr>
      <w:r>
        <w:rPr>
          <w:rFonts w:hint="eastAsia"/>
        </w:rPr>
        <w:t>（六）加强内部监督。加强内部监督制度建设，对绩效运行情况、重大支出决策、资产处置及其他重要经济业务事项的决策和执行进行督导。依法依规设置不相容岗位相互分离，组建内控领导小组，组长由法院院长担任，副组长由法院主要领导担任，各部门主要负责人及工作人员全部纳入小组成员，一是加强内控工作重视程度，涉及单位办公室、财务室、政治部、监察室、各办案相关责任科室等全部部门，将会计、出纳、政府采购、基础设施建设等多个方面。二是加强内部授权审批控制，确定全年财务进度计划，本着节约、有效、控制的原则制定采购、招投标方案，由办公室上报内控领导小组。方案通过后，由院党组研究决定。决定后，按照不同限额的不同审批权限，做好备案审批工作。对会计资料进行内部审计，并配合做好审计、财政监督等外部监督工作，确保财政资金安全有效。</w:t>
      </w:r>
    </w:p>
    <w:p>
      <w:pPr>
        <w:pStyle w:val="25"/>
      </w:pPr>
      <w:r>
        <w:rPr>
          <w:rFonts w:hint="eastAsia"/>
        </w:rPr>
        <w:t>（七）加强宣传培训调研。加强财务工作人员培训，提高本部门职工业务素质；加强调研，提出优化财政资金配置、提高资金使用效益的意见；加大宣传力度，强化预算绩效管理意识，促进预算绩效管理水平进一步提升。</w:t>
      </w:r>
    </w:p>
    <w:p>
      <w:pPr>
        <w:pStyle w:val="25"/>
        <w:rPr>
          <w:lang w:eastAsia="zh-CN"/>
        </w:rPr>
      </w:pPr>
    </w:p>
    <w:p>
      <w:pPr>
        <w:pStyle w:val="25"/>
        <w:rPr>
          <w:lang w:eastAsia="zh-CN"/>
        </w:rPr>
      </w:pPr>
    </w:p>
    <w:p>
      <w:p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rPr>
          <w:rFonts w:eastAsia="方正仿宋_GBK"/>
          <w:sz w:val="28"/>
          <w:lang w:eastAsia="zh-CN"/>
        </w:rPr>
      </w:pPr>
      <w:r>
        <w:rPr>
          <w:rFonts w:hint="eastAsia" w:eastAsia="方正仿宋_GBK"/>
          <w:sz w:val="28"/>
        </w:rPr>
        <w:t>无</w:t>
      </w:r>
    </w:p>
    <w:p>
      <w:pPr>
        <w:ind w:firstLine="640"/>
        <w:rPr>
          <w:rFonts w:eastAsia="方正仿宋_GBK"/>
          <w:sz w:val="28"/>
          <w:lang w:eastAsia="zh-CN"/>
        </w:rPr>
      </w:pP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、综合事务管理（桥东区人民法院）罚没收入绩效目标表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及时足额支付各项业务经费，保证法院日常工作正常运行。</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保证法院</w:t>
            </w:r>
            <w:r>
              <w:t>11</w:t>
            </w:r>
            <w:r>
              <w:rPr>
                <w:rFonts w:hint="eastAsia"/>
              </w:rPr>
              <w:t>个部门正常运转</w:t>
            </w:r>
          </w:p>
        </w:tc>
        <w:tc>
          <w:tcPr>
            <w:tcW w:w="2835" w:type="dxa"/>
            <w:vAlign w:val="center"/>
          </w:tcPr>
          <w:p>
            <w:pPr>
              <w:pStyle w:val="14"/>
            </w:pPr>
            <w:r>
              <w:rPr>
                <w:rFonts w:hint="eastAsia"/>
              </w:rPr>
              <w:t>保证法院</w:t>
            </w:r>
            <w:r>
              <w:t>11</w:t>
            </w:r>
            <w:r>
              <w:rPr>
                <w:rFonts w:hint="eastAsia"/>
              </w:rPr>
              <w:t>个部门正常运转</w:t>
            </w:r>
          </w:p>
        </w:tc>
        <w:tc>
          <w:tcPr>
            <w:tcW w:w="2551" w:type="dxa"/>
            <w:vAlign w:val="center"/>
          </w:tcPr>
          <w:p>
            <w:pPr>
              <w:pStyle w:val="14"/>
            </w:pPr>
            <w:r>
              <w:rPr>
                <w:rFonts w:hint="eastAsia"/>
              </w:rPr>
              <w:t>≥</w:t>
            </w:r>
            <w:r>
              <w:t>11</w:t>
            </w:r>
            <w:r>
              <w:rPr>
                <w:rFonts w:hint="eastAsia"/>
              </w:rPr>
              <w:t>个</w:t>
            </w:r>
          </w:p>
        </w:tc>
        <w:tc>
          <w:tcPr>
            <w:tcW w:w="2268" w:type="dxa"/>
            <w:vAlign w:val="center"/>
          </w:tcPr>
          <w:p>
            <w:pPr>
              <w:pStyle w:val="14"/>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经费支付率</w:t>
            </w:r>
          </w:p>
        </w:tc>
        <w:tc>
          <w:tcPr>
            <w:tcW w:w="2835" w:type="dxa"/>
            <w:vAlign w:val="center"/>
          </w:tcPr>
          <w:p>
            <w:pPr>
              <w:pStyle w:val="14"/>
            </w:pPr>
            <w:r>
              <w:rPr>
                <w:rFonts w:hint="eastAsia"/>
              </w:rPr>
              <w:t>经费支付率</w:t>
            </w:r>
          </w:p>
        </w:tc>
        <w:tc>
          <w:tcPr>
            <w:tcW w:w="2551" w:type="dxa"/>
            <w:vAlign w:val="center"/>
          </w:tcPr>
          <w:p>
            <w:pPr>
              <w:pStyle w:val="14"/>
            </w:pPr>
            <w:r>
              <w:rPr>
                <w:rFonts w:hint="eastAsia"/>
              </w:rPr>
              <w:t>≥</w:t>
            </w:r>
            <w:r>
              <w:t>98%</w:t>
            </w:r>
          </w:p>
        </w:tc>
        <w:tc>
          <w:tcPr>
            <w:tcW w:w="2268" w:type="dxa"/>
            <w:vAlign w:val="center"/>
          </w:tcPr>
          <w:p>
            <w:pPr>
              <w:pStyle w:val="14"/>
            </w:pPr>
            <w:r>
              <w:t>2023</w:t>
            </w:r>
            <w:r>
              <w:rPr>
                <w:rFonts w:hint="eastAsia"/>
              </w:rPr>
              <w:t>年初预算安排</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经费保障期限</w:t>
            </w:r>
          </w:p>
        </w:tc>
        <w:tc>
          <w:tcPr>
            <w:tcW w:w="2835" w:type="dxa"/>
            <w:vAlign w:val="center"/>
          </w:tcPr>
          <w:p>
            <w:pPr>
              <w:pStyle w:val="14"/>
            </w:pPr>
            <w:r>
              <w:rPr>
                <w:rFonts w:hint="eastAsia"/>
              </w:rPr>
              <w:t>经费保障期限</w:t>
            </w:r>
          </w:p>
        </w:tc>
        <w:tc>
          <w:tcPr>
            <w:tcW w:w="2551" w:type="dxa"/>
            <w:vAlign w:val="center"/>
          </w:tcPr>
          <w:p>
            <w:pPr>
              <w:pStyle w:val="14"/>
            </w:pPr>
            <w:r>
              <w:t>12</w:t>
            </w:r>
            <w:r>
              <w:rPr>
                <w:rFonts w:hint="eastAsia"/>
              </w:rPr>
              <w:t>个月</w:t>
            </w:r>
          </w:p>
        </w:tc>
        <w:tc>
          <w:tcPr>
            <w:tcW w:w="2268" w:type="dxa"/>
            <w:vAlign w:val="center"/>
          </w:tcPr>
          <w:p>
            <w:pPr>
              <w:pStyle w:val="14"/>
            </w:pPr>
            <w:r>
              <w:t>2023</w:t>
            </w: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全年支出总成本</w:t>
            </w:r>
          </w:p>
        </w:tc>
        <w:tc>
          <w:tcPr>
            <w:tcW w:w="2835" w:type="dxa"/>
            <w:vAlign w:val="center"/>
          </w:tcPr>
          <w:p>
            <w:pPr>
              <w:pStyle w:val="14"/>
            </w:pPr>
            <w:r>
              <w:rPr>
                <w:rFonts w:hint="eastAsia"/>
              </w:rPr>
              <w:t>全年支出总成本</w:t>
            </w:r>
          </w:p>
        </w:tc>
        <w:tc>
          <w:tcPr>
            <w:tcW w:w="2551" w:type="dxa"/>
            <w:vAlign w:val="center"/>
          </w:tcPr>
          <w:p>
            <w:pPr>
              <w:pStyle w:val="14"/>
            </w:pPr>
            <w:r>
              <w:rPr>
                <w:rFonts w:hint="eastAsia"/>
              </w:rPr>
              <w:t>≤</w:t>
            </w:r>
            <w:r>
              <w:t>40.8</w:t>
            </w:r>
            <w:r>
              <w:rPr>
                <w:rFonts w:hint="eastAsia"/>
              </w:rPr>
              <w:t>万元</w:t>
            </w:r>
          </w:p>
        </w:tc>
        <w:tc>
          <w:tcPr>
            <w:tcW w:w="2268" w:type="dxa"/>
            <w:vAlign w:val="center"/>
          </w:tcPr>
          <w:p>
            <w:pPr>
              <w:pStyle w:val="14"/>
            </w:pPr>
            <w:r>
              <w:t>2023</w:t>
            </w: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优化法院工作环境</w:t>
            </w:r>
          </w:p>
        </w:tc>
        <w:tc>
          <w:tcPr>
            <w:tcW w:w="2835" w:type="dxa"/>
            <w:vAlign w:val="center"/>
          </w:tcPr>
          <w:p>
            <w:pPr>
              <w:pStyle w:val="14"/>
            </w:pPr>
            <w:r>
              <w:rPr>
                <w:rFonts w:hint="eastAsia"/>
              </w:rPr>
              <w:t>优化法院工作环境</w:t>
            </w:r>
          </w:p>
        </w:tc>
        <w:tc>
          <w:tcPr>
            <w:tcW w:w="2551" w:type="dxa"/>
            <w:vAlign w:val="center"/>
          </w:tcPr>
          <w:p>
            <w:pPr>
              <w:pStyle w:val="14"/>
            </w:pPr>
            <w:r>
              <w:rPr>
                <w:rFonts w:hint="eastAsia"/>
              </w:rPr>
              <w:t>有所优化</w:t>
            </w:r>
          </w:p>
        </w:tc>
        <w:tc>
          <w:tcPr>
            <w:tcW w:w="2268" w:type="dxa"/>
            <w:vAlign w:val="center"/>
          </w:tcPr>
          <w:p>
            <w:pPr>
              <w:pStyle w:val="14"/>
            </w:pPr>
            <w:r>
              <w:rPr>
                <w:rFonts w:hint="eastAsia"/>
              </w:rPr>
              <w:t>单位内部评估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保障桥东区安全建设</w:t>
            </w:r>
          </w:p>
        </w:tc>
        <w:tc>
          <w:tcPr>
            <w:tcW w:w="2835" w:type="dxa"/>
            <w:vAlign w:val="center"/>
          </w:tcPr>
          <w:p>
            <w:pPr>
              <w:pStyle w:val="14"/>
            </w:pPr>
            <w:r>
              <w:rPr>
                <w:rFonts w:hint="eastAsia"/>
              </w:rPr>
              <w:t>保障桥东区安全建设</w:t>
            </w:r>
          </w:p>
        </w:tc>
        <w:tc>
          <w:tcPr>
            <w:tcW w:w="2551" w:type="dxa"/>
            <w:vAlign w:val="center"/>
          </w:tcPr>
          <w:p>
            <w:pPr>
              <w:pStyle w:val="14"/>
            </w:pPr>
            <w:r>
              <w:rPr>
                <w:rFonts w:hint="eastAsia"/>
              </w:rPr>
              <w:t>基本保障</w:t>
            </w:r>
          </w:p>
        </w:tc>
        <w:tc>
          <w:tcPr>
            <w:tcW w:w="2268" w:type="dxa"/>
            <w:vAlign w:val="center"/>
          </w:tcPr>
          <w:p>
            <w:pPr>
              <w:pStyle w:val="14"/>
            </w:pPr>
            <w:r>
              <w:rPr>
                <w:rFonts w:hint="eastAsia"/>
              </w:rPr>
              <w:t>信访化解情况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持续影响时间</w:t>
            </w:r>
          </w:p>
        </w:tc>
        <w:tc>
          <w:tcPr>
            <w:tcW w:w="2835" w:type="dxa"/>
            <w:vAlign w:val="center"/>
          </w:tcPr>
          <w:p>
            <w:pPr>
              <w:pStyle w:val="14"/>
            </w:pPr>
            <w:r>
              <w:rPr>
                <w:rFonts w:hint="eastAsia"/>
              </w:rPr>
              <w:t>持续影响时间</w:t>
            </w:r>
          </w:p>
        </w:tc>
        <w:tc>
          <w:tcPr>
            <w:tcW w:w="2551" w:type="dxa"/>
            <w:vAlign w:val="center"/>
          </w:tcPr>
          <w:p>
            <w:pPr>
              <w:pStyle w:val="14"/>
            </w:pPr>
            <w:r>
              <w:rPr>
                <w:rFonts w:hint="eastAsia"/>
              </w:rPr>
              <w:t>≥</w:t>
            </w:r>
            <w:r>
              <w:t>1</w:t>
            </w:r>
            <w:r>
              <w:rPr>
                <w:rFonts w:hint="eastAsia"/>
              </w:rPr>
              <w:t>年</w:t>
            </w:r>
          </w:p>
        </w:tc>
        <w:tc>
          <w:tcPr>
            <w:tcW w:w="2268" w:type="dxa"/>
            <w:vAlign w:val="center"/>
          </w:tcPr>
          <w:p>
            <w:pPr>
              <w:pStyle w:val="14"/>
            </w:pPr>
            <w:r>
              <w:t>2023</w:t>
            </w: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办案人员满意度</w:t>
            </w:r>
          </w:p>
        </w:tc>
        <w:tc>
          <w:tcPr>
            <w:tcW w:w="2835" w:type="dxa"/>
            <w:vAlign w:val="center"/>
          </w:tcPr>
          <w:p>
            <w:pPr>
              <w:pStyle w:val="14"/>
            </w:pPr>
            <w:r>
              <w:rPr>
                <w:rFonts w:hint="eastAsia"/>
              </w:rPr>
              <w:t>办案人员满意度</w:t>
            </w:r>
          </w:p>
        </w:tc>
        <w:tc>
          <w:tcPr>
            <w:tcW w:w="2551" w:type="dxa"/>
            <w:vAlign w:val="center"/>
          </w:tcPr>
          <w:p>
            <w:pPr>
              <w:pStyle w:val="14"/>
            </w:pPr>
            <w:r>
              <w:rPr>
                <w:rFonts w:hint="eastAsia"/>
              </w:rPr>
              <w:t>≥</w:t>
            </w:r>
            <w:r>
              <w:t>85%</w:t>
            </w:r>
          </w:p>
        </w:tc>
        <w:tc>
          <w:tcPr>
            <w:tcW w:w="2268" w:type="dxa"/>
            <w:vAlign w:val="center"/>
          </w:tcPr>
          <w:p>
            <w:pPr>
              <w:pStyle w:val="14"/>
            </w:pPr>
            <w:r>
              <w:rPr>
                <w:rFonts w:hint="eastAsia"/>
              </w:rPr>
              <w:t>单位内部评估</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、综合业务管理（桥东区人民法院）行政性收费绩效目标表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足额保障我院政府购买服务经费，采购相关服务，以保障法院审判、送达等工作顺利推进</w:t>
            </w:r>
          </w:p>
          <w:p>
            <w:pPr>
              <w:pStyle w:val="14"/>
            </w:pPr>
            <w:r>
              <w:t>2.</w:t>
            </w:r>
            <w:r>
              <w:rPr>
                <w:rFonts w:hint="eastAsia"/>
              </w:rPr>
              <w:t>保障法院</w:t>
            </w:r>
            <w:r>
              <w:t>4</w:t>
            </w:r>
            <w:r>
              <w:rPr>
                <w:rFonts w:hint="eastAsia"/>
              </w:rPr>
              <w:t>名人民调解员工资发放，保障法院工作正常运行。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保证法院</w:t>
            </w:r>
            <w:r>
              <w:t>11</w:t>
            </w:r>
            <w:r>
              <w:rPr>
                <w:rFonts w:hint="eastAsia"/>
              </w:rPr>
              <w:t>个部门正常运转</w:t>
            </w:r>
          </w:p>
        </w:tc>
        <w:tc>
          <w:tcPr>
            <w:tcW w:w="2835" w:type="dxa"/>
            <w:vAlign w:val="center"/>
          </w:tcPr>
          <w:p>
            <w:pPr>
              <w:pStyle w:val="14"/>
            </w:pPr>
            <w:r>
              <w:rPr>
                <w:rFonts w:hint="eastAsia"/>
              </w:rPr>
              <w:t>保证法院</w:t>
            </w:r>
            <w:r>
              <w:t>11</w:t>
            </w:r>
            <w:r>
              <w:rPr>
                <w:rFonts w:hint="eastAsia"/>
              </w:rPr>
              <w:t>个部门正常运转</w:t>
            </w:r>
          </w:p>
        </w:tc>
        <w:tc>
          <w:tcPr>
            <w:tcW w:w="2551" w:type="dxa"/>
            <w:vAlign w:val="center"/>
          </w:tcPr>
          <w:p>
            <w:pPr>
              <w:pStyle w:val="14"/>
            </w:pPr>
            <w:r>
              <w:rPr>
                <w:rFonts w:hint="eastAsia"/>
              </w:rPr>
              <w:t>≥</w:t>
            </w:r>
            <w:r>
              <w:t>11</w:t>
            </w:r>
            <w:r>
              <w:rPr>
                <w:rFonts w:hint="eastAsia"/>
              </w:rPr>
              <w:t>个</w:t>
            </w:r>
          </w:p>
        </w:tc>
        <w:tc>
          <w:tcPr>
            <w:tcW w:w="2268" w:type="dxa"/>
            <w:vAlign w:val="center"/>
          </w:tcPr>
          <w:p>
            <w:pPr>
              <w:pStyle w:val="14"/>
            </w:pPr>
            <w:r>
              <w:rPr>
                <w:rFonts w:hint="eastAsia"/>
              </w:rPr>
              <w:t>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经费支付率</w:t>
            </w:r>
          </w:p>
        </w:tc>
        <w:tc>
          <w:tcPr>
            <w:tcW w:w="2835" w:type="dxa"/>
            <w:vAlign w:val="center"/>
          </w:tcPr>
          <w:p>
            <w:pPr>
              <w:pStyle w:val="14"/>
            </w:pPr>
            <w:r>
              <w:rPr>
                <w:rFonts w:hint="eastAsia"/>
              </w:rPr>
              <w:t>经费支付率</w:t>
            </w:r>
          </w:p>
        </w:tc>
        <w:tc>
          <w:tcPr>
            <w:tcW w:w="2551" w:type="dxa"/>
            <w:vAlign w:val="center"/>
          </w:tcPr>
          <w:p>
            <w:pPr>
              <w:pStyle w:val="14"/>
            </w:pPr>
            <w:r>
              <w:rPr>
                <w:rFonts w:hint="eastAsia"/>
              </w:rPr>
              <w:t>≥</w:t>
            </w:r>
            <w:r>
              <w:t>98%</w:t>
            </w:r>
          </w:p>
        </w:tc>
        <w:tc>
          <w:tcPr>
            <w:tcW w:w="2268" w:type="dxa"/>
            <w:vAlign w:val="center"/>
          </w:tcPr>
          <w:p>
            <w:pPr>
              <w:pStyle w:val="14"/>
            </w:pPr>
            <w:r>
              <w:t>2023</w:t>
            </w: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rPr>
                <w:rFonts w:hint="eastAsia"/>
              </w:rPr>
              <w:t>经费保障期限</w:t>
            </w:r>
          </w:p>
        </w:tc>
        <w:tc>
          <w:tcPr>
            <w:tcW w:w="2835" w:type="dxa"/>
            <w:vAlign w:val="center"/>
          </w:tcPr>
          <w:p>
            <w:pPr>
              <w:pStyle w:val="14"/>
            </w:pPr>
            <w:r>
              <w:rPr>
                <w:rFonts w:hint="eastAsia"/>
              </w:rPr>
              <w:t>经费保障期限</w:t>
            </w:r>
          </w:p>
        </w:tc>
        <w:tc>
          <w:tcPr>
            <w:tcW w:w="2551" w:type="dxa"/>
            <w:vAlign w:val="center"/>
          </w:tcPr>
          <w:p>
            <w:pPr>
              <w:pStyle w:val="14"/>
            </w:pPr>
            <w:r>
              <w:t>12</w:t>
            </w:r>
            <w:r>
              <w:rPr>
                <w:rFonts w:hint="eastAsia"/>
              </w:rPr>
              <w:t>个月</w:t>
            </w:r>
          </w:p>
        </w:tc>
        <w:tc>
          <w:tcPr>
            <w:tcW w:w="2268" w:type="dxa"/>
            <w:vAlign w:val="center"/>
          </w:tcPr>
          <w:p>
            <w:pPr>
              <w:pStyle w:val="14"/>
            </w:pPr>
            <w:r>
              <w:t>2023</w:t>
            </w: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全年支出总成本</w:t>
            </w:r>
          </w:p>
        </w:tc>
        <w:tc>
          <w:tcPr>
            <w:tcW w:w="2835" w:type="dxa"/>
            <w:vAlign w:val="center"/>
          </w:tcPr>
          <w:p>
            <w:pPr>
              <w:pStyle w:val="14"/>
            </w:pPr>
            <w:r>
              <w:rPr>
                <w:rFonts w:hint="eastAsia"/>
              </w:rPr>
              <w:t>全年支出总成本</w:t>
            </w:r>
          </w:p>
        </w:tc>
        <w:tc>
          <w:tcPr>
            <w:tcW w:w="2551" w:type="dxa"/>
            <w:vAlign w:val="center"/>
          </w:tcPr>
          <w:p>
            <w:pPr>
              <w:pStyle w:val="14"/>
            </w:pPr>
            <w:r>
              <w:rPr>
                <w:rFonts w:hint="eastAsia"/>
              </w:rPr>
              <w:t>≤</w:t>
            </w:r>
            <w:r>
              <w:t>253.2</w:t>
            </w:r>
            <w:r>
              <w:rPr>
                <w:rFonts w:hint="eastAsia"/>
              </w:rPr>
              <w:t>万元</w:t>
            </w:r>
          </w:p>
        </w:tc>
        <w:tc>
          <w:tcPr>
            <w:tcW w:w="2268" w:type="dxa"/>
            <w:vAlign w:val="center"/>
          </w:tcPr>
          <w:p>
            <w:pPr>
              <w:pStyle w:val="14"/>
            </w:pPr>
            <w:r>
              <w:t>2023</w:t>
            </w:r>
            <w:r>
              <w:rPr>
                <w:rFonts w:hint="eastAsia"/>
              </w:rP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经济效益指标</w:t>
            </w:r>
          </w:p>
        </w:tc>
        <w:tc>
          <w:tcPr>
            <w:tcW w:w="2835" w:type="dxa"/>
            <w:vAlign w:val="center"/>
          </w:tcPr>
          <w:p>
            <w:pPr>
              <w:pStyle w:val="14"/>
            </w:pPr>
            <w:r>
              <w:rPr>
                <w:rFonts w:hint="eastAsia"/>
              </w:rPr>
              <w:t>保障工作人员积极性</w:t>
            </w:r>
          </w:p>
        </w:tc>
        <w:tc>
          <w:tcPr>
            <w:tcW w:w="2835" w:type="dxa"/>
            <w:vAlign w:val="center"/>
          </w:tcPr>
          <w:p>
            <w:pPr>
              <w:pStyle w:val="14"/>
            </w:pPr>
            <w:r>
              <w:rPr>
                <w:rFonts w:hint="eastAsia"/>
              </w:rPr>
              <w:t>保障工作人员积极性</w:t>
            </w:r>
          </w:p>
        </w:tc>
        <w:tc>
          <w:tcPr>
            <w:tcW w:w="2551" w:type="dxa"/>
            <w:vAlign w:val="center"/>
          </w:tcPr>
          <w:p>
            <w:pPr>
              <w:pStyle w:val="14"/>
            </w:pPr>
            <w:r>
              <w:rPr>
                <w:rFonts w:hint="eastAsia"/>
              </w:rPr>
              <w:t>基本保障</w:t>
            </w:r>
          </w:p>
        </w:tc>
        <w:tc>
          <w:tcPr>
            <w:tcW w:w="2268" w:type="dxa"/>
            <w:vAlign w:val="center"/>
          </w:tcPr>
          <w:p>
            <w:pPr>
              <w:pStyle w:val="14"/>
            </w:pPr>
            <w:r>
              <w:rPr>
                <w:rFonts w:hint="eastAsia"/>
              </w:rPr>
              <w:t>单位内部评估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保障桥东平安区建设</w:t>
            </w:r>
          </w:p>
        </w:tc>
        <w:tc>
          <w:tcPr>
            <w:tcW w:w="2835" w:type="dxa"/>
            <w:vAlign w:val="center"/>
          </w:tcPr>
          <w:p>
            <w:pPr>
              <w:pStyle w:val="14"/>
            </w:pPr>
            <w:r>
              <w:rPr>
                <w:rFonts w:hint="eastAsia"/>
              </w:rPr>
              <w:t>保障桥东平安区建设</w:t>
            </w:r>
          </w:p>
        </w:tc>
        <w:tc>
          <w:tcPr>
            <w:tcW w:w="2551" w:type="dxa"/>
            <w:vAlign w:val="center"/>
          </w:tcPr>
          <w:p>
            <w:pPr>
              <w:pStyle w:val="14"/>
            </w:pPr>
            <w:r>
              <w:rPr>
                <w:rFonts w:hint="eastAsia"/>
              </w:rPr>
              <w:t>基本保障</w:t>
            </w:r>
          </w:p>
        </w:tc>
        <w:tc>
          <w:tcPr>
            <w:tcW w:w="2268" w:type="dxa"/>
            <w:vAlign w:val="center"/>
          </w:tcPr>
          <w:p>
            <w:pPr>
              <w:pStyle w:val="14"/>
            </w:pPr>
            <w:r>
              <w:rPr>
                <w:rFonts w:hint="eastAsia"/>
              </w:rPr>
              <w:t>信访化解情况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经费保障年度</w:t>
            </w:r>
          </w:p>
        </w:tc>
        <w:tc>
          <w:tcPr>
            <w:tcW w:w="2835" w:type="dxa"/>
            <w:vAlign w:val="center"/>
          </w:tcPr>
          <w:p>
            <w:pPr>
              <w:pStyle w:val="14"/>
            </w:pPr>
            <w:r>
              <w:rPr>
                <w:rFonts w:hint="eastAsia"/>
              </w:rPr>
              <w:t>经费保障年度</w:t>
            </w:r>
          </w:p>
        </w:tc>
        <w:tc>
          <w:tcPr>
            <w:tcW w:w="2551" w:type="dxa"/>
            <w:vAlign w:val="center"/>
          </w:tcPr>
          <w:p>
            <w:pPr>
              <w:pStyle w:val="14"/>
            </w:pPr>
            <w:r>
              <w:t>2023</w:t>
            </w:r>
            <w:r>
              <w:rPr>
                <w:rFonts w:hint="eastAsia"/>
              </w:rPr>
              <w:t>年</w:t>
            </w:r>
          </w:p>
        </w:tc>
        <w:tc>
          <w:tcPr>
            <w:tcW w:w="2268" w:type="dxa"/>
            <w:vAlign w:val="center"/>
          </w:tcPr>
          <w:p>
            <w:pPr>
              <w:pStyle w:val="14"/>
            </w:pPr>
            <w:r>
              <w:t>2023</w:t>
            </w:r>
            <w:r>
              <w:rPr>
                <w:rFonts w:hint="eastAsia"/>
              </w:rPr>
              <w:t>年度预算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工作人员满意度</w:t>
            </w:r>
          </w:p>
        </w:tc>
        <w:tc>
          <w:tcPr>
            <w:tcW w:w="2835" w:type="dxa"/>
            <w:vAlign w:val="center"/>
          </w:tcPr>
          <w:p>
            <w:pPr>
              <w:pStyle w:val="14"/>
            </w:pPr>
            <w:r>
              <w:rPr>
                <w:rFonts w:hint="eastAsia"/>
              </w:rPr>
              <w:t>工作人员满意度</w:t>
            </w:r>
          </w:p>
        </w:tc>
        <w:tc>
          <w:tcPr>
            <w:tcW w:w="2551" w:type="dxa"/>
            <w:vAlign w:val="center"/>
          </w:tcPr>
          <w:p>
            <w:pPr>
              <w:pStyle w:val="14"/>
            </w:pPr>
            <w:r>
              <w:rPr>
                <w:rFonts w:hint="eastAsia"/>
              </w:rPr>
              <w:t>≥</w:t>
            </w:r>
            <w:r>
              <w:t>85%</w:t>
            </w:r>
          </w:p>
        </w:tc>
        <w:tc>
          <w:tcPr>
            <w:tcW w:w="2268" w:type="dxa"/>
            <w:vAlign w:val="center"/>
          </w:tcPr>
          <w:p>
            <w:pPr>
              <w:pStyle w:val="14"/>
            </w:pPr>
            <w:r>
              <w:rPr>
                <w:rFonts w:hint="eastAsia"/>
              </w:rPr>
              <w:t>单位内部评估</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w:t>
      </w:r>
      <w:r>
        <w:rPr>
          <w:rFonts w:hint="eastAsia" w:eastAsia="方正仿宋_GBK"/>
          <w:color w:val="000000"/>
          <w:sz w:val="28"/>
        </w:rPr>
        <w:t>年，张家口市桥东区人民法院安排政府采购预算</w:t>
      </w:r>
      <w:r>
        <w:rPr>
          <w:rFonts w:eastAsia="方正仿宋_GBK"/>
          <w:color w:val="000000"/>
          <w:sz w:val="28"/>
        </w:rPr>
        <w:t>168.00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合</w:t>
            </w:r>
            <w:r>
              <w:t xml:space="preserve">  </w:t>
            </w:r>
            <w:r>
              <w:rPr>
                <w:rFonts w:hint="eastAsia"/>
              </w:rPr>
              <w:t>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168.00</w:t>
            </w:r>
          </w:p>
        </w:tc>
        <w:tc>
          <w:tcPr>
            <w:tcW w:w="964" w:type="dxa"/>
            <w:vAlign w:val="center"/>
          </w:tcPr>
          <w:p>
            <w:pPr>
              <w:pStyle w:val="17"/>
            </w:pPr>
            <w:r>
              <w:t>168.00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rPr>
                <w:rFonts w:hint="eastAsia"/>
              </w:rPr>
              <w:t>张家口市桥东区人民法院本级小计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168.00</w:t>
            </w:r>
          </w:p>
        </w:tc>
        <w:tc>
          <w:tcPr>
            <w:tcW w:w="964" w:type="dxa"/>
            <w:vAlign w:val="center"/>
          </w:tcPr>
          <w:p>
            <w:pPr>
              <w:pStyle w:val="17"/>
            </w:pPr>
            <w:r>
              <w:t>168.00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日常公用经费（上划法检）</w:t>
            </w:r>
          </w:p>
        </w:tc>
        <w:tc>
          <w:tcPr>
            <w:tcW w:w="964" w:type="dxa"/>
            <w:vAlign w:val="center"/>
          </w:tcPr>
          <w:p>
            <w:pPr>
              <w:pStyle w:val="13"/>
            </w:pPr>
            <w:r>
              <w:t>390.07</w:t>
            </w:r>
          </w:p>
        </w:tc>
        <w:tc>
          <w:tcPr>
            <w:tcW w:w="1134" w:type="dxa"/>
            <w:vAlign w:val="center"/>
          </w:tcPr>
          <w:p>
            <w:pPr>
              <w:pStyle w:val="14"/>
            </w:pPr>
            <w:r>
              <w:rPr>
                <w:rFonts w:hint="eastAsia"/>
              </w:rPr>
              <w:t>其他电力、城市燃气、蒸汽和热水、水</w:t>
            </w:r>
          </w:p>
        </w:tc>
        <w:tc>
          <w:tcPr>
            <w:tcW w:w="1134" w:type="dxa"/>
            <w:vAlign w:val="center"/>
          </w:tcPr>
          <w:p>
            <w:pPr>
              <w:pStyle w:val="14"/>
            </w:pPr>
            <w:r>
              <w:t>A07059900</w:t>
            </w:r>
          </w:p>
        </w:tc>
        <w:tc>
          <w:tcPr>
            <w:tcW w:w="709" w:type="dxa"/>
            <w:vAlign w:val="center"/>
          </w:tcPr>
          <w:p>
            <w:pPr>
              <w:pStyle w:val="15"/>
            </w:pPr>
            <w:r>
              <w:rPr>
                <w:rFonts w:hint="eastAsia"/>
              </w:rPr>
              <w:t>批</w:t>
            </w:r>
          </w:p>
        </w:tc>
        <w:tc>
          <w:tcPr>
            <w:tcW w:w="850" w:type="dxa"/>
            <w:vAlign w:val="center"/>
          </w:tcPr>
          <w:p>
            <w:pPr>
              <w:pStyle w:val="13"/>
            </w:pPr>
            <w:r>
              <w:t>1</w:t>
            </w:r>
          </w:p>
        </w:tc>
        <w:tc>
          <w:tcPr>
            <w:tcW w:w="850" w:type="dxa"/>
            <w:vAlign w:val="center"/>
          </w:tcPr>
          <w:p>
            <w:pPr>
              <w:pStyle w:val="13"/>
            </w:pPr>
            <w:r>
              <w:t>55.00</w:t>
            </w:r>
          </w:p>
        </w:tc>
        <w:tc>
          <w:tcPr>
            <w:tcW w:w="964" w:type="dxa"/>
            <w:vAlign w:val="center"/>
          </w:tcPr>
          <w:p>
            <w:pPr>
              <w:pStyle w:val="13"/>
            </w:pPr>
            <w:r>
              <w:t>55.00</w:t>
            </w:r>
          </w:p>
        </w:tc>
        <w:tc>
          <w:tcPr>
            <w:tcW w:w="964" w:type="dxa"/>
            <w:vAlign w:val="center"/>
          </w:tcPr>
          <w:p>
            <w:pPr>
              <w:pStyle w:val="13"/>
            </w:pPr>
            <w:r>
              <w:t>55.00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日常公用经费（上划法检）</w:t>
            </w:r>
          </w:p>
        </w:tc>
        <w:tc>
          <w:tcPr>
            <w:tcW w:w="964" w:type="dxa"/>
            <w:vAlign w:val="center"/>
          </w:tcPr>
          <w:p>
            <w:pPr>
              <w:pStyle w:val="13"/>
            </w:pPr>
            <w:r>
              <w:t>390.07</w:t>
            </w:r>
          </w:p>
        </w:tc>
        <w:tc>
          <w:tcPr>
            <w:tcW w:w="1134" w:type="dxa"/>
            <w:vAlign w:val="center"/>
          </w:tcPr>
          <w:p>
            <w:pPr>
              <w:pStyle w:val="14"/>
            </w:pPr>
            <w:r>
              <w:rPr>
                <w:rFonts w:hint="eastAsia"/>
              </w:rPr>
              <w:t>汽油</w:t>
            </w:r>
          </w:p>
        </w:tc>
        <w:tc>
          <w:tcPr>
            <w:tcW w:w="1134" w:type="dxa"/>
            <w:vAlign w:val="center"/>
          </w:tcPr>
          <w:p>
            <w:pPr>
              <w:pStyle w:val="14"/>
            </w:pPr>
            <w:r>
              <w:t>A07070101</w:t>
            </w:r>
          </w:p>
        </w:tc>
        <w:tc>
          <w:tcPr>
            <w:tcW w:w="709" w:type="dxa"/>
            <w:vAlign w:val="center"/>
          </w:tcPr>
          <w:p>
            <w:pPr>
              <w:pStyle w:val="15"/>
            </w:pPr>
            <w:r>
              <w:rPr>
                <w:rFonts w:hint="eastAsia"/>
              </w:rPr>
              <w:t>批</w:t>
            </w:r>
          </w:p>
        </w:tc>
        <w:tc>
          <w:tcPr>
            <w:tcW w:w="850" w:type="dxa"/>
            <w:vAlign w:val="center"/>
          </w:tcPr>
          <w:p>
            <w:pPr>
              <w:pStyle w:val="13"/>
            </w:pPr>
            <w:r>
              <w:t>1</w:t>
            </w:r>
          </w:p>
        </w:tc>
        <w:tc>
          <w:tcPr>
            <w:tcW w:w="850" w:type="dxa"/>
            <w:vAlign w:val="center"/>
          </w:tcPr>
          <w:p>
            <w:pPr>
              <w:pStyle w:val="13"/>
            </w:pPr>
            <w:r>
              <w:t>6.00</w:t>
            </w:r>
          </w:p>
        </w:tc>
        <w:tc>
          <w:tcPr>
            <w:tcW w:w="964" w:type="dxa"/>
            <w:vAlign w:val="center"/>
          </w:tcPr>
          <w:p>
            <w:pPr>
              <w:pStyle w:val="13"/>
            </w:pPr>
            <w:r>
              <w:t>6.00</w:t>
            </w:r>
          </w:p>
        </w:tc>
        <w:tc>
          <w:tcPr>
            <w:tcW w:w="964" w:type="dxa"/>
            <w:vAlign w:val="center"/>
          </w:tcPr>
          <w:p>
            <w:pPr>
              <w:pStyle w:val="13"/>
            </w:pPr>
            <w:r>
              <w:t>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日常公用经费（上划法检）</w:t>
            </w:r>
          </w:p>
        </w:tc>
        <w:tc>
          <w:tcPr>
            <w:tcW w:w="964" w:type="dxa"/>
            <w:vAlign w:val="center"/>
          </w:tcPr>
          <w:p>
            <w:pPr>
              <w:pStyle w:val="13"/>
            </w:pPr>
            <w:r>
              <w:t>390.07</w:t>
            </w:r>
          </w:p>
        </w:tc>
        <w:tc>
          <w:tcPr>
            <w:tcW w:w="1134" w:type="dxa"/>
            <w:vAlign w:val="center"/>
          </w:tcPr>
          <w:p>
            <w:pPr>
              <w:pStyle w:val="14"/>
            </w:pPr>
            <w:r>
              <w:rPr>
                <w:rFonts w:hint="eastAsia"/>
              </w:rPr>
              <w:t>物业管理服务</w:t>
            </w:r>
          </w:p>
        </w:tc>
        <w:tc>
          <w:tcPr>
            <w:tcW w:w="1134" w:type="dxa"/>
            <w:vAlign w:val="center"/>
          </w:tcPr>
          <w:p>
            <w:pPr>
              <w:pStyle w:val="14"/>
            </w:pPr>
            <w:r>
              <w:t>C21040000</w:t>
            </w:r>
          </w:p>
        </w:tc>
        <w:tc>
          <w:tcPr>
            <w:tcW w:w="709" w:type="dxa"/>
            <w:vAlign w:val="center"/>
          </w:tcPr>
          <w:p>
            <w:pPr>
              <w:pStyle w:val="15"/>
            </w:pPr>
            <w:r>
              <w:rPr>
                <w:rFonts w:hint="eastAsia"/>
              </w:rPr>
              <w:t>次</w:t>
            </w:r>
          </w:p>
        </w:tc>
        <w:tc>
          <w:tcPr>
            <w:tcW w:w="850" w:type="dxa"/>
            <w:vAlign w:val="center"/>
          </w:tcPr>
          <w:p>
            <w:pPr>
              <w:pStyle w:val="13"/>
            </w:pPr>
            <w:r>
              <w:t>1</w:t>
            </w:r>
          </w:p>
        </w:tc>
        <w:tc>
          <w:tcPr>
            <w:tcW w:w="850" w:type="dxa"/>
            <w:vAlign w:val="center"/>
          </w:tcPr>
          <w:p>
            <w:pPr>
              <w:pStyle w:val="13"/>
            </w:pPr>
            <w:r>
              <w:t>80.00</w:t>
            </w:r>
          </w:p>
        </w:tc>
        <w:tc>
          <w:tcPr>
            <w:tcW w:w="964" w:type="dxa"/>
            <w:vAlign w:val="center"/>
          </w:tcPr>
          <w:p>
            <w:pPr>
              <w:pStyle w:val="13"/>
            </w:pPr>
            <w:r>
              <w:t>80.00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日常公用经费（上划法检）</w:t>
            </w:r>
          </w:p>
        </w:tc>
        <w:tc>
          <w:tcPr>
            <w:tcW w:w="964" w:type="dxa"/>
            <w:vAlign w:val="center"/>
          </w:tcPr>
          <w:p>
            <w:pPr>
              <w:pStyle w:val="13"/>
            </w:pPr>
            <w:r>
              <w:t>390.07</w:t>
            </w:r>
          </w:p>
        </w:tc>
        <w:tc>
          <w:tcPr>
            <w:tcW w:w="1134" w:type="dxa"/>
            <w:vAlign w:val="center"/>
          </w:tcPr>
          <w:p>
            <w:pPr>
              <w:pStyle w:val="14"/>
            </w:pPr>
            <w:r>
              <w:rPr>
                <w:rFonts w:hint="eastAsia"/>
              </w:rPr>
              <w:t>车辆维修和保养服务</w:t>
            </w:r>
          </w:p>
        </w:tc>
        <w:tc>
          <w:tcPr>
            <w:tcW w:w="1134" w:type="dxa"/>
            <w:vAlign w:val="center"/>
          </w:tcPr>
          <w:p>
            <w:pPr>
              <w:pStyle w:val="14"/>
            </w:pPr>
            <w:r>
              <w:t>C23120301</w:t>
            </w:r>
          </w:p>
        </w:tc>
        <w:tc>
          <w:tcPr>
            <w:tcW w:w="709" w:type="dxa"/>
            <w:vAlign w:val="center"/>
          </w:tcPr>
          <w:p>
            <w:pPr>
              <w:pStyle w:val="15"/>
            </w:pPr>
            <w:r>
              <w:rPr>
                <w:rFonts w:hint="eastAsia"/>
              </w:rPr>
              <w:t>次</w:t>
            </w:r>
          </w:p>
        </w:tc>
        <w:tc>
          <w:tcPr>
            <w:tcW w:w="850" w:type="dxa"/>
            <w:vAlign w:val="center"/>
          </w:tcPr>
          <w:p>
            <w:pPr>
              <w:pStyle w:val="13"/>
            </w:pPr>
            <w:r>
              <w:t>1</w:t>
            </w:r>
          </w:p>
        </w:tc>
        <w:tc>
          <w:tcPr>
            <w:tcW w:w="850" w:type="dxa"/>
            <w:vAlign w:val="center"/>
          </w:tcPr>
          <w:p>
            <w:pPr>
              <w:pStyle w:val="13"/>
            </w:pPr>
            <w:r>
              <w:t>7.00</w:t>
            </w:r>
          </w:p>
        </w:tc>
        <w:tc>
          <w:tcPr>
            <w:tcW w:w="964" w:type="dxa"/>
            <w:vAlign w:val="center"/>
          </w:tcPr>
          <w:p>
            <w:pPr>
              <w:pStyle w:val="13"/>
            </w:pPr>
            <w:r>
              <w:t>7.00</w:t>
            </w:r>
          </w:p>
        </w:tc>
        <w:tc>
          <w:tcPr>
            <w:tcW w:w="964" w:type="dxa"/>
            <w:vAlign w:val="center"/>
          </w:tcPr>
          <w:p>
            <w:pPr>
              <w:pStyle w:val="13"/>
            </w:pPr>
            <w:r>
              <w:t>7.00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日常公用经费（上划法检）</w:t>
            </w:r>
          </w:p>
        </w:tc>
        <w:tc>
          <w:tcPr>
            <w:tcW w:w="964" w:type="dxa"/>
            <w:vAlign w:val="center"/>
          </w:tcPr>
          <w:p>
            <w:pPr>
              <w:pStyle w:val="13"/>
            </w:pPr>
            <w:r>
              <w:t>390.07</w:t>
            </w:r>
          </w:p>
        </w:tc>
        <w:tc>
          <w:tcPr>
            <w:tcW w:w="1134" w:type="dxa"/>
            <w:vAlign w:val="center"/>
          </w:tcPr>
          <w:p>
            <w:pPr>
              <w:pStyle w:val="14"/>
            </w:pPr>
            <w:r>
              <w:rPr>
                <w:rFonts w:hint="eastAsia"/>
              </w:rPr>
              <w:t>其他服务</w:t>
            </w:r>
          </w:p>
        </w:tc>
        <w:tc>
          <w:tcPr>
            <w:tcW w:w="1134" w:type="dxa"/>
            <w:vAlign w:val="center"/>
          </w:tcPr>
          <w:p>
            <w:pPr>
              <w:pStyle w:val="14"/>
            </w:pPr>
            <w:r>
              <w:t>C99000000</w:t>
            </w:r>
          </w:p>
        </w:tc>
        <w:tc>
          <w:tcPr>
            <w:tcW w:w="709" w:type="dxa"/>
            <w:vAlign w:val="center"/>
          </w:tcPr>
          <w:p>
            <w:pPr>
              <w:pStyle w:val="15"/>
            </w:pPr>
            <w:r>
              <w:rPr>
                <w:rFonts w:hint="eastAsia"/>
              </w:rPr>
              <w:t>次</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rPr>
                <w:rFonts w:hint="eastAsia"/>
              </w:rPr>
              <w:t>综合事务管理（桥东区人民法院）罚没收入</w:t>
            </w:r>
          </w:p>
        </w:tc>
        <w:tc>
          <w:tcPr>
            <w:tcW w:w="964" w:type="dxa"/>
            <w:vAlign w:val="center"/>
          </w:tcPr>
          <w:p>
            <w:pPr>
              <w:pStyle w:val="13"/>
            </w:pPr>
            <w:r>
              <w:t>40.80</w:t>
            </w:r>
          </w:p>
        </w:tc>
        <w:tc>
          <w:tcPr>
            <w:tcW w:w="1134" w:type="dxa"/>
            <w:vAlign w:val="center"/>
          </w:tcPr>
          <w:p>
            <w:pPr>
              <w:pStyle w:val="14"/>
            </w:pPr>
            <w:r>
              <w:rPr>
                <w:rFonts w:hint="eastAsia"/>
              </w:rPr>
              <w:t>办公椅</w:t>
            </w:r>
          </w:p>
        </w:tc>
        <w:tc>
          <w:tcPr>
            <w:tcW w:w="1134" w:type="dxa"/>
            <w:vAlign w:val="center"/>
          </w:tcPr>
          <w:p>
            <w:pPr>
              <w:pStyle w:val="14"/>
            </w:pPr>
            <w:r>
              <w:t>A05010301</w:t>
            </w:r>
          </w:p>
        </w:tc>
        <w:tc>
          <w:tcPr>
            <w:tcW w:w="709" w:type="dxa"/>
            <w:vAlign w:val="center"/>
          </w:tcPr>
          <w:p>
            <w:pPr>
              <w:pStyle w:val="15"/>
            </w:pPr>
            <w:r>
              <w:rPr>
                <w:rFonts w:hint="eastAsia"/>
              </w:rPr>
              <w:t>批</w:t>
            </w:r>
          </w:p>
        </w:tc>
        <w:tc>
          <w:tcPr>
            <w:tcW w:w="850" w:type="dxa"/>
            <w:vAlign w:val="center"/>
          </w:tcPr>
          <w:p>
            <w:pPr>
              <w:pStyle w:val="13"/>
            </w:pPr>
            <w:r>
              <w:t>1</w:t>
            </w:r>
          </w:p>
        </w:tc>
        <w:tc>
          <w:tcPr>
            <w:tcW w:w="850" w:type="dxa"/>
            <w:vAlign w:val="center"/>
          </w:tcPr>
          <w:p>
            <w:pPr>
              <w:pStyle w:val="13"/>
            </w:pPr>
            <w:r>
              <w:t>10.00</w:t>
            </w:r>
          </w:p>
        </w:tc>
        <w:tc>
          <w:tcPr>
            <w:tcW w:w="964" w:type="dxa"/>
            <w:vAlign w:val="center"/>
          </w:tcPr>
          <w:p>
            <w:pPr>
              <w:pStyle w:val="13"/>
            </w:pPr>
            <w:r>
              <w:t>10.00</w:t>
            </w:r>
          </w:p>
        </w:tc>
        <w:tc>
          <w:tcPr>
            <w:tcW w:w="964" w:type="dxa"/>
            <w:vAlign w:val="center"/>
          </w:tcPr>
          <w:p>
            <w:pPr>
              <w:pStyle w:val="13"/>
            </w:pPr>
            <w:r>
              <w:t>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张家口市桥东区人民法院（含所属单位）上年末固定资产金额为</w:t>
      </w:r>
      <w:r>
        <w:rPr>
          <w:rFonts w:eastAsia="方正仿宋_GBK"/>
          <w:color w:val="000000"/>
          <w:sz w:val="28"/>
          <w:lang w:eastAsia="zh-CN"/>
        </w:rPr>
        <w:t>5606.67</w:t>
      </w:r>
      <w:r>
        <w:rPr>
          <w:rFonts w:hint="eastAsia" w:eastAsia="方正仿宋_GBK"/>
          <w:color w:val="000000"/>
          <w:sz w:val="28"/>
        </w:rPr>
        <w:t>万元（详见下表）。本年度拟购置固定资产总额为</w:t>
      </w:r>
      <w:r>
        <w:rPr>
          <w:rFonts w:eastAsia="方正仿宋_GBK"/>
          <w:color w:val="000000"/>
          <w:sz w:val="28"/>
          <w:lang w:eastAsia="zh-CN"/>
        </w:rPr>
        <w:t>1</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p>
      <w:pPr>
        <w:ind w:firstLine="640"/>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519</w:t>
            </w:r>
            <w:r>
              <w:rPr>
                <w:rFonts w:hint="eastAsia"/>
              </w:rPr>
              <w:t>张家口市桥东区人民法院</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7370" w:type="dxa"/>
            <w:vAlign w:val="center"/>
          </w:tcPr>
          <w:p>
            <w:pPr>
              <w:pStyle w:val="12"/>
              <w:jc w:val="both"/>
              <w:rPr>
                <w:rFonts w:hint="eastAsia"/>
                <w:b w:val="0"/>
                <w:szCs w:val="21"/>
              </w:rPr>
            </w:pPr>
            <w:r>
              <w:rPr>
                <w:rFonts w:hint="eastAsia"/>
                <w:b w:val="0"/>
                <w:szCs w:val="21"/>
              </w:rPr>
              <w:t>资产总额</w:t>
            </w:r>
          </w:p>
        </w:tc>
        <w:tc>
          <w:tcPr>
            <w:tcW w:w="2835" w:type="dxa"/>
            <w:vAlign w:val="center"/>
          </w:tcPr>
          <w:p>
            <w:pPr>
              <w:pStyle w:val="12"/>
            </w:pPr>
          </w:p>
        </w:tc>
        <w:tc>
          <w:tcPr>
            <w:tcW w:w="2835" w:type="dxa"/>
            <w:vAlign w:val="center"/>
          </w:tcPr>
          <w:p>
            <w:pPr>
              <w:pStyle w:val="10"/>
            </w:pPr>
            <w:r>
              <w:rPr>
                <w:rFonts w:ascii="方正书宋_GBK" w:hAnsi="方正书宋_GBK" w:eastAsia="方正书宋_GBK" w:cs="方正书宋_GBK"/>
                <w:sz w:val="21"/>
                <w:szCs w:val="21"/>
              </w:rPr>
              <w:t>5606.67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7370" w:type="dxa"/>
            <w:vAlign w:val="center"/>
          </w:tcPr>
          <w:p>
            <w:pPr>
              <w:pStyle w:val="12"/>
              <w:jc w:val="both"/>
              <w:rPr>
                <w:rFonts w:hint="eastAsia"/>
                <w:b w:val="0"/>
                <w:szCs w:val="21"/>
              </w:rPr>
            </w:pPr>
            <w:r>
              <w:rPr>
                <w:rFonts w:hint="eastAsia"/>
                <w:b w:val="0"/>
                <w:szCs w:val="21"/>
              </w:rPr>
              <w:t>1、房屋（平方米）</w:t>
            </w:r>
          </w:p>
        </w:tc>
        <w:tc>
          <w:tcPr>
            <w:tcW w:w="2835" w:type="dxa"/>
            <w:vAlign w:val="center"/>
          </w:tcPr>
          <w:p>
            <w:pPr>
              <w:pStyle w:val="12"/>
              <w:rPr>
                <w:b w:val="0"/>
                <w:szCs w:val="21"/>
              </w:rPr>
            </w:pPr>
            <w:r>
              <w:rPr>
                <w:b w:val="0"/>
                <w:szCs w:val="21"/>
              </w:rPr>
              <w:t>10624.46</w:t>
            </w:r>
          </w:p>
        </w:tc>
        <w:tc>
          <w:tcPr>
            <w:tcW w:w="2835" w:type="dxa"/>
            <w:vAlign w:val="center"/>
          </w:tcPr>
          <w:p>
            <w:pPr>
              <w:pStyle w:val="10"/>
              <w:rPr>
                <w:rFonts w:ascii="方正书宋_GBK" w:hAnsi="方正书宋_GBK" w:eastAsia="方正书宋_GBK" w:cs="方正书宋_GBK"/>
                <w:sz w:val="21"/>
                <w:szCs w:val="21"/>
              </w:rPr>
            </w:pPr>
            <w:r>
              <w:rPr>
                <w:rFonts w:ascii="方正书宋_GBK" w:hAnsi="方正书宋_GBK" w:eastAsia="方正书宋_GBK" w:cs="方正书宋_GBK"/>
                <w:sz w:val="21"/>
                <w:szCs w:val="21"/>
              </w:rPr>
              <w:t>4041.05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7370" w:type="dxa"/>
            <w:vAlign w:val="center"/>
          </w:tcPr>
          <w:p>
            <w:pPr>
              <w:pStyle w:val="12"/>
              <w:jc w:val="both"/>
              <w:rPr>
                <w:rFonts w:hint="eastAsia"/>
                <w:b w:val="0"/>
                <w:szCs w:val="21"/>
              </w:rPr>
            </w:pPr>
            <w:r>
              <w:rPr>
                <w:rFonts w:hint="eastAsia"/>
                <w:b w:val="0"/>
                <w:szCs w:val="21"/>
              </w:rPr>
              <w:t>　　其中：办公用房（平方米）</w:t>
            </w:r>
          </w:p>
        </w:tc>
        <w:tc>
          <w:tcPr>
            <w:tcW w:w="2835" w:type="dxa"/>
            <w:vAlign w:val="center"/>
          </w:tcPr>
          <w:p>
            <w:pPr>
              <w:pStyle w:val="12"/>
              <w:rPr>
                <w:b w:val="0"/>
                <w:szCs w:val="21"/>
              </w:rPr>
            </w:pPr>
            <w:r>
              <w:rPr>
                <w:b w:val="0"/>
                <w:szCs w:val="21"/>
              </w:rPr>
              <w:t>10624.46</w:t>
            </w:r>
          </w:p>
        </w:tc>
        <w:tc>
          <w:tcPr>
            <w:tcW w:w="2835" w:type="dxa"/>
            <w:vAlign w:val="center"/>
          </w:tcPr>
          <w:p>
            <w:pPr>
              <w:pStyle w:val="10"/>
              <w:rPr>
                <w:rFonts w:ascii="方正书宋_GBK" w:hAnsi="方正书宋_GBK" w:eastAsia="方正书宋_GBK" w:cs="方正书宋_GBK"/>
                <w:sz w:val="21"/>
                <w:szCs w:val="21"/>
              </w:rPr>
            </w:pPr>
            <w:r>
              <w:rPr>
                <w:rFonts w:ascii="方正书宋_GBK" w:hAnsi="方正书宋_GBK" w:eastAsia="方正书宋_GBK" w:cs="方正书宋_GBK"/>
                <w:sz w:val="21"/>
                <w:szCs w:val="21"/>
              </w:rPr>
              <w:t>4041.05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7370" w:type="dxa"/>
            <w:vAlign w:val="center"/>
          </w:tcPr>
          <w:p>
            <w:pPr>
              <w:pStyle w:val="12"/>
              <w:jc w:val="both"/>
              <w:rPr>
                <w:rFonts w:hint="eastAsia"/>
                <w:b w:val="0"/>
                <w:szCs w:val="21"/>
              </w:rPr>
            </w:pPr>
            <w:r>
              <w:rPr>
                <w:rFonts w:hint="eastAsia"/>
                <w:b w:val="0"/>
                <w:szCs w:val="21"/>
              </w:rPr>
              <w:t>2、车辆（台、辆）</w:t>
            </w:r>
          </w:p>
        </w:tc>
        <w:tc>
          <w:tcPr>
            <w:tcW w:w="2835" w:type="dxa"/>
            <w:vAlign w:val="center"/>
          </w:tcPr>
          <w:p>
            <w:pPr>
              <w:pStyle w:val="12"/>
              <w:rPr>
                <w:b w:val="0"/>
                <w:szCs w:val="21"/>
              </w:rPr>
            </w:pPr>
            <w:r>
              <w:rPr>
                <w:b w:val="0"/>
                <w:szCs w:val="21"/>
              </w:rPr>
              <w:t>14</w:t>
            </w:r>
          </w:p>
        </w:tc>
        <w:tc>
          <w:tcPr>
            <w:tcW w:w="2835" w:type="dxa"/>
            <w:vAlign w:val="center"/>
          </w:tcPr>
          <w:p>
            <w:pPr>
              <w:pStyle w:val="10"/>
              <w:rPr>
                <w:rFonts w:ascii="方正书宋_GBK" w:hAnsi="方正书宋_GBK" w:eastAsia="方正书宋_GBK" w:cs="方正书宋_GBK"/>
                <w:sz w:val="21"/>
                <w:szCs w:val="21"/>
              </w:rPr>
            </w:pPr>
            <w:r>
              <w:rPr>
                <w:rFonts w:ascii="方正书宋_GBK" w:hAnsi="方正书宋_GBK" w:eastAsia="方正书宋_GBK" w:cs="方正书宋_GBK"/>
                <w:sz w:val="21"/>
                <w:szCs w:val="21"/>
              </w:rPr>
              <w:t>194.01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7370" w:type="dxa"/>
            <w:vAlign w:val="center"/>
          </w:tcPr>
          <w:p>
            <w:pPr>
              <w:pStyle w:val="12"/>
              <w:jc w:val="both"/>
              <w:rPr>
                <w:rFonts w:hint="eastAsia"/>
                <w:b w:val="0"/>
                <w:szCs w:val="21"/>
              </w:rPr>
            </w:pPr>
            <w:r>
              <w:rPr>
                <w:rFonts w:hint="eastAsia"/>
                <w:b w:val="0"/>
                <w:szCs w:val="21"/>
              </w:rPr>
              <w:t>3、单价在20万元以上的设备</w:t>
            </w:r>
          </w:p>
        </w:tc>
        <w:tc>
          <w:tcPr>
            <w:tcW w:w="2835" w:type="dxa"/>
            <w:vAlign w:val="center"/>
          </w:tcPr>
          <w:p>
            <w:pPr>
              <w:pStyle w:val="12"/>
              <w:rPr>
                <w:b w:val="0"/>
                <w:szCs w:val="21"/>
              </w:rPr>
            </w:pPr>
            <w:r>
              <w:rPr>
                <w:b w:val="0"/>
                <w:szCs w:val="21"/>
              </w:rPr>
              <w:t>3</w:t>
            </w:r>
          </w:p>
        </w:tc>
        <w:tc>
          <w:tcPr>
            <w:tcW w:w="2835" w:type="dxa"/>
            <w:vAlign w:val="center"/>
          </w:tcPr>
          <w:p>
            <w:pPr>
              <w:pStyle w:val="10"/>
              <w:rPr>
                <w:rFonts w:ascii="方正书宋_GBK" w:hAnsi="方正书宋_GBK" w:eastAsia="方正书宋_GBK" w:cs="方正书宋_GBK"/>
                <w:sz w:val="21"/>
                <w:szCs w:val="21"/>
              </w:rPr>
            </w:pPr>
            <w:r>
              <w:rPr>
                <w:rFonts w:ascii="方正书宋_GBK" w:hAnsi="方正书宋_GBK" w:eastAsia="方正书宋_GBK" w:cs="方正书宋_GBK"/>
                <w:sz w:val="21"/>
                <w:szCs w:val="21"/>
              </w:rPr>
              <w:t>76.30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jc w:val="center"/>
        </w:trPr>
        <w:tc>
          <w:tcPr>
            <w:tcW w:w="7370" w:type="dxa"/>
            <w:vAlign w:val="center"/>
          </w:tcPr>
          <w:p>
            <w:pPr>
              <w:pStyle w:val="12"/>
              <w:jc w:val="both"/>
              <w:rPr>
                <w:rFonts w:hint="eastAsia"/>
                <w:b w:val="0"/>
                <w:szCs w:val="21"/>
              </w:rPr>
            </w:pPr>
            <w:r>
              <w:rPr>
                <w:rFonts w:hint="eastAsia"/>
                <w:b w:val="0"/>
                <w:szCs w:val="21"/>
              </w:rPr>
              <w:t>4、其他固定资产</w:t>
            </w:r>
          </w:p>
        </w:tc>
        <w:tc>
          <w:tcPr>
            <w:tcW w:w="2835" w:type="dxa"/>
            <w:vAlign w:val="center"/>
          </w:tcPr>
          <w:p>
            <w:pPr>
              <w:pStyle w:val="15"/>
              <w:rPr>
                <w:szCs w:val="21"/>
              </w:rPr>
            </w:pPr>
            <w:r>
              <w:rPr>
                <w:szCs w:val="21"/>
              </w:rPr>
              <w:t>1264</w:t>
            </w:r>
          </w:p>
        </w:tc>
        <w:tc>
          <w:tcPr>
            <w:tcW w:w="2835" w:type="dxa"/>
            <w:vAlign w:val="center"/>
          </w:tcPr>
          <w:p>
            <w:pPr>
              <w:pStyle w:val="13"/>
              <w:jc w:val="center"/>
              <w:rPr>
                <w:szCs w:val="21"/>
              </w:rPr>
            </w:pPr>
            <w:r>
              <w:rPr>
                <w:szCs w:val="21"/>
              </w:rPr>
              <w:t>1295.31</w:t>
            </w:r>
          </w:p>
        </w:tc>
      </w:tr>
    </w:tbl>
    <w:p>
      <w:pPr>
        <w:ind w:firstLine="420"/>
      </w:pPr>
      <w:r>
        <w:rPr>
          <w:rFonts w:hint="eastAsia" w:ascii="方正书宋_GBK" w:hAnsi="方正书宋_GBK" w:eastAsia="方正书宋_GBK" w:cs="方正书宋_GBK"/>
          <w:color w:val="000000"/>
          <w:sz w:val="21"/>
        </w:rPr>
        <w:t>注：无固定资产占用情况，空表列示。</w:t>
      </w:r>
    </w:p>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市</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市</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rPr>
          <w:lang w:eastAsia="zh-CN"/>
        </w:rPr>
      </w:pPr>
      <w:r>
        <w:rPr>
          <w:rFonts w:hint="eastAsia" w:eastAsia="方正仿宋_GBK"/>
          <w:color w:val="000000"/>
          <w:sz w:val="28"/>
        </w:rPr>
        <w:t>我部门无其他需要说明的事项</w:t>
      </w:r>
      <w:r>
        <w:rPr>
          <w:rFonts w:hint="eastAsia"/>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YTk5MDBhNjBlZGNiY2U1YmRmYWVhYTZjM2Q3Y2YifQ=="/>
  </w:docVars>
  <w:rsids>
    <w:rsidRoot w:val="00DC461C"/>
    <w:rsid w:val="00042C79"/>
    <w:rsid w:val="00063BB3"/>
    <w:rsid w:val="000C274F"/>
    <w:rsid w:val="002F6CE6"/>
    <w:rsid w:val="0033076D"/>
    <w:rsid w:val="003525A2"/>
    <w:rsid w:val="00402CC8"/>
    <w:rsid w:val="005C0D6B"/>
    <w:rsid w:val="005F7223"/>
    <w:rsid w:val="00617504"/>
    <w:rsid w:val="00671BF3"/>
    <w:rsid w:val="007C6401"/>
    <w:rsid w:val="00881331"/>
    <w:rsid w:val="008D2218"/>
    <w:rsid w:val="008E60CB"/>
    <w:rsid w:val="00AF3850"/>
    <w:rsid w:val="00BE5F1A"/>
    <w:rsid w:val="00C92B45"/>
    <w:rsid w:val="00CE008F"/>
    <w:rsid w:val="00D86DBF"/>
    <w:rsid w:val="00DC461C"/>
    <w:rsid w:val="00DE1CC0"/>
    <w:rsid w:val="00E30332"/>
    <w:rsid w:val="00EE2100"/>
    <w:rsid w:val="00F901B0"/>
    <w:rsid w:val="129E2F84"/>
    <w:rsid w:val="35D53F4A"/>
    <w:rsid w:val="3BE14825"/>
    <w:rsid w:val="4E4729CB"/>
    <w:rsid w:val="533F4446"/>
    <w:rsid w:val="5E7D301B"/>
    <w:rsid w:val="62C8200D"/>
    <w:rsid w:val="66B804E2"/>
    <w:rsid w:val="68F22857"/>
    <w:rsid w:val="7DFD3E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4"/>
    <w:basedOn w:val="1"/>
    <w:next w:val="1"/>
    <w:qFormat/>
    <w:uiPriority w:val="99"/>
    <w:pPr>
      <w:ind w:left="720"/>
    </w:pPr>
  </w:style>
  <w:style w:type="paragraph" w:styleId="5">
    <w:name w:val="toc 2"/>
    <w:basedOn w:val="1"/>
    <w:next w:val="1"/>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qFormat/>
    <w:uiPriority w:val="99"/>
    <w:pPr>
      <w:jc w:val="center"/>
    </w:pPr>
    <w:rPr>
      <w:rFonts w:ascii="方正书宋_GBK" w:hAnsi="方正书宋_GBK" w:eastAsia="方正书宋_GBK" w:cs="方正书宋_GBK"/>
      <w:sz w:val="21"/>
    </w:rPr>
  </w:style>
  <w:style w:type="paragraph" w:customStyle="1" w:styleId="16">
    <w:name w:val="单元格样式6"/>
    <w:basedOn w:val="1"/>
    <w:qFormat/>
    <w:uiPriority w:val="99"/>
    <w:pPr>
      <w:jc w:val="center"/>
    </w:pPr>
    <w:rPr>
      <w:rFonts w:ascii="方正书宋_GBK" w:hAnsi="方正书宋_GBK" w:eastAsia="方正书宋_GBK" w:cs="方正书宋_GBK"/>
      <w:b/>
      <w:sz w:val="21"/>
    </w:rPr>
  </w:style>
  <w:style w:type="paragraph" w:customStyle="1" w:styleId="17">
    <w:name w:val="单元格样式7"/>
    <w:basedOn w:val="1"/>
    <w:qFormat/>
    <w:uiPriority w:val="99"/>
    <w:pPr>
      <w:jc w:val="right"/>
    </w:pPr>
    <w:rPr>
      <w:rFonts w:ascii="方正书宋_GBK" w:hAnsi="方正书宋_GBK" w:eastAsia="方正书宋_GBK" w:cs="方正书宋_GBK"/>
      <w:b/>
      <w:sz w:val="21"/>
    </w:rPr>
  </w:style>
  <w:style w:type="paragraph" w:customStyle="1" w:styleId="18">
    <w:name w:val="单元格样式5"/>
    <w:basedOn w:val="1"/>
    <w:qFormat/>
    <w:uiPriority w:val="99"/>
    <w:rPr>
      <w:rFonts w:ascii="方正书宋_GBK" w:hAnsi="方正书宋_GBK" w:eastAsia="方正书宋_GBK" w:cs="方正书宋_GBK"/>
      <w:b/>
      <w:sz w:val="21"/>
    </w:rPr>
  </w:style>
  <w:style w:type="paragraph" w:customStyle="1" w:styleId="19">
    <w:name w:val="插入文本样式-插入部门职责文件"/>
    <w:basedOn w:val="1"/>
    <w:qFormat/>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3">
    <w:name w:val="插入文本样式-插入总体目标文件"/>
    <w:basedOn w:val="1"/>
    <w:qFormat/>
    <w:uiPriority w:val="99"/>
    <w:pPr>
      <w:spacing w:line="500" w:lineRule="exact"/>
      <w:ind w:firstLine="560"/>
    </w:pPr>
    <w:rPr>
      <w:rFonts w:eastAsia="方正仿宋_GBK"/>
      <w:sz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6">
    <w:name w:val="单元格样式23"/>
    <w:basedOn w:val="1"/>
    <w:qFormat/>
    <w:uiPriority w:val="99"/>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29</Pages>
  <Words>8664</Words>
  <Characters>10584</Characters>
  <Lines>0</Lines>
  <Paragraphs>0</Paragraphs>
  <TotalTime>14</TotalTime>
  <ScaleCrop>false</ScaleCrop>
  <LinksUpToDate>false</LinksUpToDate>
  <CharactersWithSpaces>10747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2023-06-15T02:20:00Z</dcterms:created>
  <dc:creator>盛夏</dc:creator>
  <cp:lastModifiedBy>盛夏</cp:lastModifiedBy>
  <cp:lastPrinted>2023-06-15T07:25:00Z</cp:lastPrinted>
  <dcterms:modified xsi:type="dcterms:W3CDTF">2024-06-04T08:41:00Z</dcterms:modified>
  <dc:title>2023年部门预算信息公开目录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073CE21A0BC54797AB3A9DEFBFAC9598_13</vt:lpwstr>
  </property>
</Properties>
</file>