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仿宋_GB2312" w:hAnsi="仿宋_GB2312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2022 </w:t>
      </w:r>
      <w:r>
        <w:rPr>
          <w:rFonts w:hint="eastAsia" w:ascii="仿宋_GB2312" w:hAnsi="仿宋_GB2312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年度项目支出绩效自评表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/>
        <w:jc w:val="center"/>
        <w:rPr>
          <w:rFonts w:hint="eastAsia" w:ascii="仿宋_GB2312" w:hAnsi="仿宋_GB2312" w:eastAsia="宋体" w:cs="宋体"/>
          <w:b/>
          <w:bCs/>
          <w:color w:val="000000"/>
          <w:kern w:val="0"/>
          <w:sz w:val="44"/>
          <w:szCs w:val="44"/>
          <w:lang w:val="en-US"/>
        </w:rPr>
      </w:pPr>
      <w:r>
        <w:rPr>
          <w:rFonts w:hint="eastAsia" w:ascii="仿宋_GB2312" w:hAnsi="仿宋_GB2312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及部门评价报告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  <w:t>第一部分 黄山市屯溪区人民法院绩效自评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  <w:t>项目清单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center"/>
        <w:rPr>
          <w:rFonts w:hint="eastAsia" w:ascii="黑体" w:hAnsi="宋体" w:eastAsia="黑体" w:cs="宋体"/>
          <w:b/>
          <w:bCs w:val="0"/>
          <w:color w:val="000000"/>
          <w:kern w:val="0"/>
          <w:sz w:val="36"/>
          <w:szCs w:val="36"/>
          <w:lang w:val="en-US"/>
        </w:rPr>
      </w:pPr>
    </w:p>
    <w:tbl>
      <w:tblPr>
        <w:tblStyle w:val="3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12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人民陪审员及多元化解工作经费项目绩效自评表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其他人员工资项目绩效自评表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综合保障经费项目绩效自评表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center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 人民陪审员及多元化解工作经费项目绩效自评表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lang w:val="en-US"/>
        </w:rPr>
      </w:pPr>
    </w:p>
    <w:p>
      <w:r>
        <w:object>
          <v:shape id="_x0000_i1025" o:spt="75" type="#_x0000_t75" style="height:625.25pt;width:508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5" DrawAspect="Content" ObjectID="_1468075725" r:id="rId4">
            <o:LockedField>false</o:LockedField>
          </o:OLEObject>
        </w:object>
      </w:r>
    </w:p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2.其他人员工资项目绩效自评表</w:t>
      </w:r>
    </w:p>
    <w:p>
      <w:r>
        <w:object>
          <v:shape id="_x0000_i1027" o:spt="75" type="#_x0000_t75" style="height:666.85pt;width:507.4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Office12.Excel.Template" ShapeID="_x0000_i1027" DrawAspect="Content" ObjectID="_1468075726" r:id="rId6">
            <o:LockedField>false</o:LockedField>
          </o:OLEObject>
        </w:object>
      </w:r>
    </w:p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3.综合保障经费项目绩效自评表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object>
          <v:shape id="_x0000_i1028" o:spt="75" type="#_x0000_t75" style="height:665.85pt;width:514.9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Office12.Excel.Template" ShapeID="_x0000_i1028" DrawAspect="Content" ObjectID="_1468075727" r:id="rId8">
            <o:LockedField>false</o:LockedField>
          </o:OLEObject>
        </w:objec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0" w:leftChars="200" w:right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  <w:t>部门评价报告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人民陪审员(含多元化解纠纷工作经费)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（一）项目概况。</w:t>
      </w:r>
      <w:r>
        <w:rPr>
          <w:rFonts w:hint="eastAsia" w:ascii="仿宋" w:hAnsi="仿宋" w:eastAsia="仿宋"/>
          <w:sz w:val="32"/>
          <w:szCs w:val="32"/>
        </w:rPr>
        <w:t>人民陪审员因参加审判活动而支出的交通、就餐等费用以及按实际工作日给予的补助。人民法院特邀调解组织、调解员接受人民法院委派对纠纷进行调解，人民法院应当根据实际情况向调解组织、调解员发放相关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6"/>
        <w:jc w:val="left"/>
        <w:textAlignment w:val="auto"/>
        <w:rPr>
          <w:rFonts w:ascii="仿宋" w:hAnsi="仿宋" w:eastAsia="仿宋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（二）项目绩效目标。</w:t>
      </w:r>
      <w:r>
        <w:rPr>
          <w:rFonts w:hint="eastAsia" w:ascii="仿宋" w:hAnsi="仿宋" w:eastAsia="仿宋"/>
          <w:sz w:val="32"/>
          <w:szCs w:val="32"/>
        </w:rPr>
        <w:t>保障公民依法参加审判活动，促进司法公正，提升司法公信；健全多元化纠纷解决机制，提高特邀调解的质量和效率，有效化解社会矛盾纠纷，维护社会和谐。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保障公民依法参加审判活动，满足人民群众多元司法需求，维护社会和谐稳定，加强人民陪审员和多元解纷化解工作经费保障，对发生的经费使用进行绩效考核。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（二）绩效评价原则、评价指标体系、评价方法、评价标准等。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绩效评价原则：</w:t>
      </w:r>
      <w:r>
        <w:rPr>
          <w:rFonts w:ascii="仿宋" w:hAnsi="仿宋" w:eastAsia="仿宋"/>
          <w:sz w:val="32"/>
          <w:szCs w:val="32"/>
        </w:rPr>
        <w:t>1、依法依规。应根据中央、省市</w:t>
      </w:r>
      <w:r>
        <w:rPr>
          <w:rFonts w:hint="eastAsia" w:ascii="仿宋" w:hAnsi="仿宋" w:eastAsia="仿宋"/>
          <w:sz w:val="32"/>
          <w:szCs w:val="32"/>
        </w:rPr>
        <w:t>及区</w:t>
      </w:r>
      <w:r>
        <w:rPr>
          <w:rFonts w:ascii="仿宋" w:hAnsi="仿宋" w:eastAsia="仿宋"/>
          <w:sz w:val="32"/>
          <w:szCs w:val="32"/>
        </w:rPr>
        <w:t>委、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ascii="仿宋" w:hAnsi="仿宋" w:eastAsia="仿宋"/>
          <w:sz w:val="32"/>
          <w:szCs w:val="32"/>
        </w:rPr>
        <w:t>政府决策部署，以相关法律、法规、规章以及财政资金管理办法规定等为依据开展。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2、绩效导向。应坚持绩效导向，从多个维度对政策或项目进行综合</w:t>
      </w:r>
      <w:r>
        <w:rPr>
          <w:rFonts w:hint="eastAsia" w:ascii="仿宋" w:hAnsi="仿宋" w:eastAsia="仿宋"/>
          <w:sz w:val="32"/>
          <w:szCs w:val="32"/>
        </w:rPr>
        <w:t>评价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3、科学规范。应按照规范的程序，采用定性与定量相结合的</w:t>
      </w:r>
      <w:r>
        <w:rPr>
          <w:rFonts w:hint="eastAsia" w:ascii="仿宋" w:hAnsi="仿宋" w:eastAsia="仿宋"/>
          <w:sz w:val="32"/>
          <w:szCs w:val="32"/>
        </w:rPr>
        <w:t>评价</w:t>
      </w:r>
      <w:r>
        <w:rPr>
          <w:rFonts w:ascii="仿宋" w:hAnsi="仿宋" w:eastAsia="仿宋"/>
          <w:sz w:val="32"/>
          <w:szCs w:val="32"/>
        </w:rPr>
        <w:t>方法，科学、合理地进行。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4、客观公正。应以事实为依据，遵循“独立、客观、公平、公正”的原则。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5、精简高效。应结合预算评审、项目审批等程序开展，简化流程、控制成本、节约经费，提高工作效率和效益。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评价指标体系：</w:t>
      </w:r>
      <w:r>
        <w:rPr>
          <w:rFonts w:hint="eastAsia" w:ascii="仿宋" w:hAnsi="仿宋" w:eastAsia="仿宋"/>
          <w:sz w:val="32"/>
          <w:szCs w:val="32"/>
        </w:rPr>
        <w:t>详见项目支出绩效自评表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评价方法：</w:t>
      </w:r>
      <w:r>
        <w:rPr>
          <w:rFonts w:hint="eastAsia" w:ascii="仿宋" w:hAnsi="仿宋" w:eastAsia="仿宋"/>
          <w:sz w:val="32"/>
          <w:szCs w:val="32"/>
        </w:rPr>
        <w:t>该项目采取“单位自评”方式。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评价标准：</w:t>
      </w:r>
      <w:r>
        <w:rPr>
          <w:rFonts w:hint="eastAsia" w:ascii="仿宋" w:hAnsi="仿宋" w:eastAsia="仿宋"/>
          <w:sz w:val="32"/>
          <w:szCs w:val="32"/>
        </w:rPr>
        <w:t>从产出指标，效益指标、满意度指标3个二级指标，数量指标、质量指标等5个三级指标进行评价。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项目实施前进行事前绩效评估，实施中进行预算绩效运行监控，年度终了对绩效项目进行自评，并形成自评结果和报告。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各项绩效指标完成情况良好，总体完成情况良好。总分100分，可得90分。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5"/>
        <w:jc w:val="left"/>
        <w:textAlignment w:val="auto"/>
        <w:rPr>
          <w:rFonts w:ascii="仿宋" w:hAnsi="仿宋" w:eastAsia="仿宋"/>
          <w:color w:val="000000"/>
          <w:sz w:val="32"/>
        </w:rPr>
      </w:pPr>
      <w:r>
        <w:rPr>
          <w:rFonts w:ascii="仿宋" w:hAnsi="仿宋" w:eastAsia="仿宋"/>
          <w:color w:val="000000"/>
          <w:sz w:val="32"/>
        </w:rPr>
        <w:t>项目的申请、设立过程符合相关要求，</w:t>
      </w:r>
      <w:r>
        <w:rPr>
          <w:rFonts w:hint="eastAsia" w:ascii="仿宋" w:hAnsi="仿宋" w:eastAsia="仿宋"/>
          <w:color w:val="000000"/>
          <w:sz w:val="32"/>
        </w:rPr>
        <w:t>绩效目标依据充分，符合客观实际。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</w:t>
      </w:r>
      <w:r>
        <w:rPr>
          <w:rFonts w:ascii="仿宋_GB2312" w:hAnsi="仿宋_GB2312" w:eastAsia="仿宋_GB2312" w:cs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5"/>
        <w:jc w:val="left"/>
        <w:textAlignment w:val="auto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项目年初拨款45万元，根据人民陪审员及调解组织、调解员实际受理案件数发放补助。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（三）项目产出情况。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6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经统计，2022年人民陪审员共陪审案件488件，调解组织及调解员共调解成功案件693件，圆满完成陪审及多元化解纠纷工作。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（四）项目效</w:t>
      </w:r>
      <w:r>
        <w:rPr>
          <w:rFonts w:hint="eastAsia" w:ascii="仿宋_GB2312" w:hAnsi="仿宋_GB2312" w:eastAsia="仿宋_GB2312" w:cs="仿宋_GB2312"/>
          <w:sz w:val="32"/>
          <w:szCs w:val="32"/>
        </w:rPr>
        <w:t>益</w:t>
      </w:r>
      <w:r>
        <w:rPr>
          <w:rFonts w:ascii="仿宋_GB2312" w:hAnsi="仿宋_GB2312" w:eastAsia="仿宋_GB2312" w:cs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</w:rPr>
        <w:t>2022年共支付工作经费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44.1</w:t>
      </w:r>
      <w:r>
        <w:rPr>
          <w:rFonts w:hint="eastAsia" w:ascii="仿宋" w:hAnsi="仿宋" w:eastAsia="仿宋"/>
          <w:color w:val="000000"/>
          <w:sz w:val="32"/>
        </w:rPr>
        <w:t>万元，陪审和调解案件数合计达到1181，远远超过年初设定值，圆满完成陪审及多元化解纠纷工作。</w:t>
      </w:r>
      <w:r>
        <w:rPr>
          <w:rFonts w:hint="eastAsia" w:ascii="仿宋" w:hAnsi="仿宋" w:eastAsia="仿宋"/>
          <w:sz w:val="32"/>
          <w:szCs w:val="32"/>
        </w:rPr>
        <w:t>保障公民依法参加审判活动，促进司法公正，提升司法公信。提高特邀调解的质量和效率，有效化解社会矛盾纠纷，维护社会和谐。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五、主要经验及做法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利用道交平台、物业平台等一系列平台，推动形成多元化纠纷解决体系，健全完善律师调解制度，满足了人民群众多元司法需求，</w:t>
      </w:r>
      <w:r>
        <w:rPr>
          <w:rFonts w:hint="eastAsia" w:ascii="仿宋" w:hAnsi="仿宋" w:eastAsia="仿宋"/>
          <w:color w:val="000000"/>
          <w:sz w:val="32"/>
          <w:lang w:eastAsia="zh-CN"/>
        </w:rPr>
        <w:t>维护</w:t>
      </w:r>
      <w:r>
        <w:rPr>
          <w:rFonts w:hint="eastAsia" w:ascii="仿宋" w:hAnsi="仿宋" w:eastAsia="仿宋"/>
          <w:color w:val="000000"/>
          <w:sz w:val="32"/>
        </w:rPr>
        <w:t>了社会和谐稳定。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六、存在问题及原因分析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由于案件受理数非可控因素，制定每年目标计划准确度可能受影响，最终完成数和目标设定数可能存在差距。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420" w:leftChars="200" w:right="0"/>
        <w:jc w:val="center"/>
        <w:textAlignment w:val="auto"/>
        <w:rPr>
          <w:rFonts w:cs="黑体" w:asciiTheme="majorEastAsia" w:hAnsiTheme="majorEastAsia" w:eastAsiaTheme="majorEastAsia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其他人员支出项目支出绩效评价报告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/>
        <w:jc w:val="left"/>
        <w:textAlignment w:val="auto"/>
        <w:rPr>
          <w:rFonts w:ascii="仿宋" w:hAnsi="仿宋" w:eastAsia="仿宋"/>
          <w:color w:val="000000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（一）项目概况。</w:t>
      </w:r>
      <w:r>
        <w:rPr>
          <w:rFonts w:hint="eastAsia" w:ascii="仿宋" w:hAnsi="仿宋" w:eastAsia="仿宋" w:cs="Times New Roman"/>
          <w:sz w:val="32"/>
        </w:rPr>
        <w:t>全省法院聘用制书记员工资</w:t>
      </w:r>
      <w:r>
        <w:rPr>
          <w:rFonts w:hint="eastAsia" w:ascii="仿宋" w:hAnsi="仿宋" w:eastAsia="仿宋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6"/>
        <w:jc w:val="left"/>
        <w:textAlignment w:val="auto"/>
        <w:rPr>
          <w:rFonts w:ascii="仿宋" w:hAnsi="仿宋" w:eastAsia="仿宋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（二）项目绩效目标。</w:t>
      </w:r>
      <w:r>
        <w:rPr>
          <w:rFonts w:hint="eastAsia" w:ascii="仿宋" w:hAnsi="仿宋" w:eastAsia="仿宋"/>
          <w:sz w:val="32"/>
          <w:szCs w:val="32"/>
        </w:rPr>
        <w:t>为基层法院审判、执行工作提供有力的人力支持，稳定聘用制书记员队伍的稳定。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进一步加强本院聘用人员的管理，调动聘用人员的积极性，确保聘用人员队伍的稳定。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（二）绩效评价原则、评价指标体系（附表说明）、评价方法、评价标准等。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绩效评价原则：</w:t>
      </w:r>
      <w:r>
        <w:rPr>
          <w:rFonts w:ascii="仿宋" w:hAnsi="仿宋" w:eastAsia="仿宋"/>
          <w:sz w:val="32"/>
          <w:szCs w:val="32"/>
        </w:rPr>
        <w:t>1、依法依规。应根据中央、省市</w:t>
      </w:r>
      <w:r>
        <w:rPr>
          <w:rFonts w:hint="eastAsia" w:ascii="仿宋" w:hAnsi="仿宋" w:eastAsia="仿宋"/>
          <w:sz w:val="32"/>
          <w:szCs w:val="32"/>
        </w:rPr>
        <w:t>及区</w:t>
      </w:r>
      <w:r>
        <w:rPr>
          <w:rFonts w:ascii="仿宋" w:hAnsi="仿宋" w:eastAsia="仿宋"/>
          <w:sz w:val="32"/>
          <w:szCs w:val="32"/>
        </w:rPr>
        <w:t>委、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ascii="仿宋" w:hAnsi="仿宋" w:eastAsia="仿宋"/>
          <w:sz w:val="32"/>
          <w:szCs w:val="32"/>
        </w:rPr>
        <w:t>政府决策部署，以相关法律、法规、规章以及财政资金管理办法规定等为依据开展。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2、绩效导向。应坚持绩效导向，从多个维度对政策或项目进行综合</w:t>
      </w:r>
      <w:r>
        <w:rPr>
          <w:rFonts w:hint="eastAsia" w:ascii="仿宋" w:hAnsi="仿宋" w:eastAsia="仿宋"/>
          <w:sz w:val="32"/>
          <w:szCs w:val="32"/>
        </w:rPr>
        <w:t>评价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3、科学规范。应按照规范的程序，采用定性与定量相结合的</w:t>
      </w:r>
      <w:r>
        <w:rPr>
          <w:rFonts w:hint="eastAsia" w:ascii="仿宋" w:hAnsi="仿宋" w:eastAsia="仿宋"/>
          <w:sz w:val="32"/>
          <w:szCs w:val="32"/>
        </w:rPr>
        <w:t>评价</w:t>
      </w:r>
      <w:r>
        <w:rPr>
          <w:rFonts w:ascii="仿宋" w:hAnsi="仿宋" w:eastAsia="仿宋"/>
          <w:sz w:val="32"/>
          <w:szCs w:val="32"/>
        </w:rPr>
        <w:t>方法，科学、合理地进行。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4、客观公正。应以事实为依据，遵循“独立、客观、公平、公正”的原则。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5、精简高效。应结合预算评审、项目审批等程序开展，简化流程、控制成本、节约经费，提高工作效率和效益。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评价指标体系：</w:t>
      </w:r>
      <w:r>
        <w:rPr>
          <w:rFonts w:hint="eastAsia" w:ascii="仿宋" w:hAnsi="仿宋" w:eastAsia="仿宋"/>
          <w:sz w:val="32"/>
          <w:szCs w:val="32"/>
        </w:rPr>
        <w:t>详见项目支出绩效自评表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评价方法：</w:t>
      </w:r>
      <w:r>
        <w:rPr>
          <w:rFonts w:hint="eastAsia" w:ascii="仿宋" w:hAnsi="仿宋" w:eastAsia="仿宋"/>
          <w:sz w:val="32"/>
          <w:szCs w:val="32"/>
        </w:rPr>
        <w:t>该项目采取“单位自评”方式。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评价标准：</w:t>
      </w:r>
      <w:r>
        <w:rPr>
          <w:rFonts w:hint="eastAsia" w:ascii="仿宋" w:hAnsi="仿宋" w:eastAsia="仿宋"/>
          <w:sz w:val="32"/>
          <w:szCs w:val="32"/>
        </w:rPr>
        <w:t>从产出指标，效益指标、满意度指标3个二级指标，数量指标、质量指标等5个三级指标进行评价。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项目实施前进行事前绩效评估，实施中进行预算绩效运行监控，年度终了对绩效项目进行自评，并形成自评结果和报告。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各项绩效指标完成情况良好，总体完成情况良好。总分100分，可得98.5分。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5"/>
        <w:jc w:val="left"/>
        <w:textAlignment w:val="auto"/>
        <w:rPr>
          <w:rFonts w:ascii="仿宋" w:hAnsi="仿宋" w:eastAsia="仿宋"/>
          <w:color w:val="000000"/>
          <w:sz w:val="32"/>
        </w:rPr>
      </w:pPr>
      <w:r>
        <w:rPr>
          <w:rFonts w:ascii="仿宋" w:hAnsi="仿宋" w:eastAsia="仿宋"/>
          <w:color w:val="000000"/>
          <w:sz w:val="32"/>
        </w:rPr>
        <w:t>项目的申请、设立过程符合相关要求，</w:t>
      </w:r>
      <w:r>
        <w:rPr>
          <w:rFonts w:hint="eastAsia" w:ascii="仿宋" w:hAnsi="仿宋" w:eastAsia="仿宋"/>
          <w:color w:val="000000"/>
          <w:sz w:val="32"/>
        </w:rPr>
        <w:t>绩效目标依据充分，符合客观实际。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</w:t>
      </w:r>
      <w:r>
        <w:rPr>
          <w:rFonts w:ascii="仿宋_GB2312" w:hAnsi="仿宋_GB2312" w:eastAsia="仿宋_GB2312" w:cs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5"/>
        <w:jc w:val="left"/>
        <w:textAlignment w:val="auto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项目年初拨款160万元，根据聘用制书记员管理办法及制定的工资薪酬标准发放工资等。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（三）项目产出情况。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6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经统计，2022年共保障聘用制书记员人数20人。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（四）项目效</w:t>
      </w:r>
      <w:r>
        <w:rPr>
          <w:rFonts w:hint="eastAsia" w:ascii="仿宋_GB2312" w:hAnsi="仿宋_GB2312" w:eastAsia="仿宋_GB2312" w:cs="仿宋_GB2312"/>
          <w:sz w:val="32"/>
          <w:szCs w:val="32"/>
        </w:rPr>
        <w:t>益</w:t>
      </w:r>
      <w:r>
        <w:rPr>
          <w:rFonts w:ascii="仿宋_GB2312" w:hAnsi="仿宋_GB2312" w:eastAsia="仿宋_GB2312" w:cs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</w:rPr>
        <w:t>2022年共支付工作经费160万元，</w:t>
      </w:r>
      <w:r>
        <w:rPr>
          <w:rFonts w:hint="eastAsia" w:ascii="仿宋" w:hAnsi="仿宋" w:eastAsia="仿宋"/>
          <w:sz w:val="32"/>
          <w:szCs w:val="32"/>
        </w:rPr>
        <w:t>为我院审判、执行工作提供有力的人力支持，稳定聘用制书记员队伍的稳定。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五、主要经验及做法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进一步加强聘用制书记员管理，制定相应制度和薪酬标准，以稳定书记员队伍。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六、存在问题及原因分析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由于案件受理数逐年增加，相应的报酬未增加，对队伍稳定性有一定影响。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hint="eastAsia" w:ascii="仿宋" w:hAnsi="仿宋" w:eastAsia="仿宋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420" w:leftChars="200" w:right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综合保障经费项目支出绩效评价报告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（一）项目概况。</w:t>
      </w:r>
      <w:r>
        <w:rPr>
          <w:rFonts w:hint="eastAsia" w:ascii="仿宋" w:hAnsi="仿宋" w:eastAsia="仿宋" w:cs="Times New Roman"/>
          <w:sz w:val="32"/>
          <w:szCs w:val="32"/>
        </w:rPr>
        <w:t>保证法院审判大楼及审判法庭的日常维护，推进审判、执行等各项工作的有序开展，为当事人诉讼提供便利，提高工作效率。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（二）项目绩效目标。</w:t>
      </w:r>
      <w:r>
        <w:rPr>
          <w:rFonts w:hint="eastAsia" w:ascii="仿宋" w:hAnsi="仿宋" w:eastAsia="仿宋" w:cs="Times New Roman"/>
          <w:sz w:val="32"/>
          <w:szCs w:val="32"/>
        </w:rPr>
        <w:t>改善人民法院工作环境、适应新形式、新常态下立案、审判和执行工作需要，为当事人诉讼提供便利，提高工作效率。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5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审判大楼维护、日常审判、执行等工作经费保障，对发生的经费使用进行绩效考核。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（二）绩效评价原则、评价指标体系（附表说明）、评价方法、评价标准等。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绩效评价原则：</w:t>
      </w:r>
      <w:r>
        <w:rPr>
          <w:rFonts w:ascii="仿宋" w:hAnsi="仿宋" w:eastAsia="仿宋"/>
          <w:sz w:val="32"/>
          <w:szCs w:val="32"/>
        </w:rPr>
        <w:t>1、依法依规。应根据中央、省市</w:t>
      </w:r>
      <w:r>
        <w:rPr>
          <w:rFonts w:hint="eastAsia" w:ascii="仿宋" w:hAnsi="仿宋" w:eastAsia="仿宋"/>
          <w:sz w:val="32"/>
          <w:szCs w:val="32"/>
        </w:rPr>
        <w:t>及区</w:t>
      </w:r>
      <w:r>
        <w:rPr>
          <w:rFonts w:ascii="仿宋" w:hAnsi="仿宋" w:eastAsia="仿宋"/>
          <w:sz w:val="32"/>
          <w:szCs w:val="32"/>
        </w:rPr>
        <w:t>委、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ascii="仿宋" w:hAnsi="仿宋" w:eastAsia="仿宋"/>
          <w:sz w:val="32"/>
          <w:szCs w:val="32"/>
        </w:rPr>
        <w:t>政府决策部署，以相关法律、法规、规章以及财政资金管理办法规定等为依据开展。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2、绩效导向。应坚持绩效导向，从多个维度对政策或项目进行综合</w:t>
      </w:r>
      <w:r>
        <w:rPr>
          <w:rFonts w:hint="eastAsia" w:ascii="仿宋" w:hAnsi="仿宋" w:eastAsia="仿宋"/>
          <w:sz w:val="32"/>
          <w:szCs w:val="32"/>
        </w:rPr>
        <w:t>评价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3、科学规范。应按照规范的程序，采用定性与定量相结合的</w:t>
      </w:r>
      <w:r>
        <w:rPr>
          <w:rFonts w:hint="eastAsia" w:ascii="仿宋" w:hAnsi="仿宋" w:eastAsia="仿宋"/>
          <w:sz w:val="32"/>
          <w:szCs w:val="32"/>
        </w:rPr>
        <w:t>评价</w:t>
      </w:r>
      <w:r>
        <w:rPr>
          <w:rFonts w:ascii="仿宋" w:hAnsi="仿宋" w:eastAsia="仿宋"/>
          <w:sz w:val="32"/>
          <w:szCs w:val="32"/>
        </w:rPr>
        <w:t>方法，科学、合理地进行。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4、客观公正。应以事实为依据，遵循“独立、客观、公平、公正”的原则。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5、精简高效。应结合预算评审、项目审批等程序开展，简化流程、控制成本、节约经费，提高工作效率和效益。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评价指标体系：</w:t>
      </w:r>
      <w:r>
        <w:rPr>
          <w:rFonts w:hint="eastAsia" w:ascii="仿宋" w:hAnsi="仿宋" w:eastAsia="仿宋"/>
          <w:sz w:val="32"/>
          <w:szCs w:val="32"/>
        </w:rPr>
        <w:t>详见项目支出绩效自评表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评价方法：</w:t>
      </w:r>
      <w:r>
        <w:rPr>
          <w:rFonts w:hint="eastAsia" w:ascii="仿宋" w:hAnsi="仿宋" w:eastAsia="仿宋"/>
          <w:sz w:val="32"/>
          <w:szCs w:val="32"/>
        </w:rPr>
        <w:t>该项目采取“单位自评”方式。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19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评价标准：</w:t>
      </w:r>
      <w:r>
        <w:rPr>
          <w:rFonts w:hint="eastAsia" w:ascii="仿宋" w:hAnsi="仿宋" w:eastAsia="仿宋"/>
          <w:sz w:val="32"/>
          <w:szCs w:val="32"/>
        </w:rPr>
        <w:t>从产出指标，效益指标、满意度指标3个二级指标，数量指标、质量指标等5个三级指标进行评价。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项目实施前进行事前绩效评估，实施中进行预算绩效运行监控，年度终了对绩效项目进行自评，并形成自评结果和报告。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各项绩效指标完成情况良好，总体完成情况良好。总分100分，可得96.67分。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5"/>
        <w:jc w:val="left"/>
        <w:textAlignment w:val="auto"/>
        <w:rPr>
          <w:rFonts w:ascii="仿宋" w:hAnsi="仿宋" w:eastAsia="仿宋"/>
          <w:color w:val="000000"/>
          <w:sz w:val="32"/>
        </w:rPr>
      </w:pPr>
      <w:r>
        <w:rPr>
          <w:rFonts w:ascii="仿宋" w:hAnsi="仿宋" w:eastAsia="仿宋"/>
          <w:color w:val="000000"/>
          <w:sz w:val="32"/>
        </w:rPr>
        <w:t>项目的申请、设立过程符合相关要求，</w:t>
      </w:r>
      <w:r>
        <w:rPr>
          <w:rFonts w:hint="eastAsia" w:ascii="仿宋" w:hAnsi="仿宋" w:eastAsia="仿宋"/>
          <w:color w:val="000000"/>
          <w:sz w:val="32"/>
        </w:rPr>
        <w:t>绩效目标依据充分，符合客观实际。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</w:t>
      </w:r>
      <w:r>
        <w:rPr>
          <w:rFonts w:ascii="仿宋_GB2312" w:hAnsi="仿宋_GB2312" w:eastAsia="仿宋_GB2312" w:cs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5"/>
        <w:jc w:val="left"/>
        <w:textAlignment w:val="auto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项目年初拨款200万元，</w:t>
      </w:r>
      <w:r>
        <w:rPr>
          <w:rFonts w:hint="eastAsia" w:ascii="仿宋" w:hAnsi="仿宋" w:eastAsia="仿宋" w:cs="Times New Roman"/>
          <w:sz w:val="32"/>
          <w:szCs w:val="32"/>
        </w:rPr>
        <w:t>包括审判大楼安保、办案相关劳务外包等政府购买服务支出和云上法庭、庭审直播等办案业务经费支出。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（三）项目产出情况。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outlineLvl w:val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充分</w:t>
      </w:r>
      <w:r>
        <w:rPr>
          <w:rFonts w:ascii="仿宋" w:hAnsi="仿宋" w:eastAsia="仿宋" w:cs="Times New Roman"/>
          <w:sz w:val="32"/>
          <w:szCs w:val="32"/>
        </w:rPr>
        <w:t>发挥</w:t>
      </w:r>
      <w:r>
        <w:fldChar w:fldCharType="begin"/>
      </w:r>
      <w:r>
        <w:instrText xml:space="preserve"> HYPERLINK "https://baike.so.com/doc/5541153-5756819.html" \t "_blank" </w:instrText>
      </w:r>
      <w:r>
        <w:fldChar w:fldCharType="separate"/>
      </w:r>
      <w:r>
        <w:rPr>
          <w:rFonts w:ascii="仿宋" w:hAnsi="仿宋" w:eastAsia="仿宋" w:cs="Times New Roman"/>
          <w:sz w:val="32"/>
          <w:szCs w:val="32"/>
        </w:rPr>
        <w:t>市场机制</w:t>
      </w:r>
      <w:r>
        <w:rPr>
          <w:rFonts w:ascii="仿宋" w:hAnsi="仿宋" w:eastAsia="仿宋" w:cs="Times New Roman"/>
          <w:sz w:val="32"/>
          <w:szCs w:val="32"/>
        </w:rPr>
        <w:fldChar w:fldCharType="end"/>
      </w:r>
      <w:r>
        <w:rPr>
          <w:rFonts w:ascii="仿宋" w:hAnsi="仿宋" w:eastAsia="仿宋" w:cs="Times New Roman"/>
          <w:sz w:val="32"/>
          <w:szCs w:val="32"/>
        </w:rPr>
        <w:t>作用，把一部分政府履职所需服务事项，按照一定的方式和程序，交由具备条件的社会力量承担，</w:t>
      </w:r>
      <w:r>
        <w:rPr>
          <w:rFonts w:hint="eastAsia" w:ascii="仿宋" w:hAnsi="仿宋" w:eastAsia="仿宋" w:cs="Times New Roman"/>
          <w:sz w:val="32"/>
          <w:szCs w:val="32"/>
        </w:rPr>
        <w:t>将更多的人员力量分配到日常立案、审判、执行等专业化工作中。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项目效</w:t>
      </w:r>
      <w:r>
        <w:rPr>
          <w:rFonts w:hint="eastAsia" w:ascii="仿宋_GB2312" w:hAnsi="仿宋_GB2312" w:eastAsia="仿宋_GB2312" w:cs="仿宋_GB2312"/>
          <w:sz w:val="32"/>
          <w:szCs w:val="32"/>
        </w:rPr>
        <w:t>益</w:t>
      </w:r>
      <w:r>
        <w:rPr>
          <w:rFonts w:ascii="仿宋_GB2312" w:hAnsi="仿宋_GB2312" w:eastAsia="仿宋_GB2312" w:cs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150"/>
        <w:textAlignment w:val="auto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</w:rPr>
        <w:t>2022年共支付工作经费200万元，</w:t>
      </w:r>
      <w:r>
        <w:rPr>
          <w:rFonts w:hint="eastAsia" w:ascii="仿宋" w:hAnsi="仿宋" w:eastAsia="仿宋" w:cs="Times New Roman"/>
          <w:sz w:val="32"/>
          <w:szCs w:val="32"/>
        </w:rPr>
        <w:t>包括办案及办公过程中产生劳务支出和审判法庭的各种消耗支出等。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outlineLvl w:val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根据工作需要充分</w:t>
      </w:r>
      <w:r>
        <w:rPr>
          <w:rFonts w:ascii="仿宋" w:hAnsi="仿宋" w:eastAsia="仿宋" w:cs="Times New Roman"/>
          <w:sz w:val="32"/>
          <w:szCs w:val="32"/>
        </w:rPr>
        <w:t>发挥</w:t>
      </w:r>
      <w:r>
        <w:fldChar w:fldCharType="begin"/>
      </w:r>
      <w:r>
        <w:instrText xml:space="preserve"> HYPERLINK "https://baike.so.com/doc/5541153-5756819.html" \t "_blank" </w:instrText>
      </w:r>
      <w:r>
        <w:fldChar w:fldCharType="separate"/>
      </w:r>
      <w:r>
        <w:rPr>
          <w:rFonts w:ascii="仿宋" w:hAnsi="仿宋" w:eastAsia="仿宋" w:cs="Times New Roman"/>
          <w:sz w:val="32"/>
          <w:szCs w:val="32"/>
        </w:rPr>
        <w:t>市场机制</w:t>
      </w:r>
      <w:r>
        <w:rPr>
          <w:rFonts w:ascii="仿宋" w:hAnsi="仿宋" w:eastAsia="仿宋" w:cs="Times New Roman"/>
          <w:sz w:val="32"/>
          <w:szCs w:val="32"/>
        </w:rPr>
        <w:fldChar w:fldCharType="end"/>
      </w:r>
      <w:r>
        <w:rPr>
          <w:rFonts w:ascii="仿宋" w:hAnsi="仿宋" w:eastAsia="仿宋" w:cs="Times New Roman"/>
          <w:sz w:val="32"/>
          <w:szCs w:val="32"/>
        </w:rPr>
        <w:t>作用，把一部分政府履职所需服务事项，按照一定的方式和程序，交由具备条件的社会力量承担，</w:t>
      </w:r>
      <w:r>
        <w:rPr>
          <w:rFonts w:hint="eastAsia" w:ascii="仿宋" w:hAnsi="仿宋" w:eastAsia="仿宋" w:cs="Times New Roman"/>
          <w:sz w:val="32"/>
          <w:szCs w:val="32"/>
        </w:rPr>
        <w:t>将更多的人员力量分配到日常立案、审判、执行等专业化工作中。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六、存在问题及原因分析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</w:rPr>
        <w:t>由于案件受理数非可控因素，制定每年目标计划准确度可能受影响，最终完成数和目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</w:rPr>
        <w:t>标设定数可能存在差距。</w:t>
      </w:r>
    </w:p>
    <w:sectPr>
      <w:pgSz w:w="11906" w:h="16838"/>
      <w:pgMar w:top="851" w:right="794" w:bottom="851" w:left="794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FangSong_GB2312">
    <w:altName w:val="宋体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FangSong_GB2312">
    <w:altName w:val="仿宋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5990B"/>
    <w:multiLevelType w:val="singleLevel"/>
    <w:tmpl w:val="C4A5990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931DD3"/>
    <w:multiLevelType w:val="singleLevel"/>
    <w:tmpl w:val="2C931DD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83ACA8"/>
    <w:multiLevelType w:val="singleLevel"/>
    <w:tmpl w:val="6383ACA8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ZDQ0ZTk1MTJmNmNjYjlhMTZiODQ1YThmYmQ2NWEifQ=="/>
  </w:docVars>
  <w:rsids>
    <w:rsidRoot w:val="3E135939"/>
    <w:rsid w:val="061E65E2"/>
    <w:rsid w:val="0C514A71"/>
    <w:rsid w:val="15E92769"/>
    <w:rsid w:val="16A02A9A"/>
    <w:rsid w:val="3E135939"/>
    <w:rsid w:val="6A236513"/>
    <w:rsid w:val="6EFF5CCE"/>
    <w:rsid w:val="7244365E"/>
    <w:rsid w:val="75224C45"/>
    <w:rsid w:val="7833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Chars="200" w:right="0"/>
      <w:jc w:val="both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Chars="200" w:right="0"/>
      <w:jc w:val="both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3306</Words>
  <Characters>3361</Characters>
  <Lines>0</Lines>
  <Paragraphs>0</Paragraphs>
  <TotalTime>5</TotalTime>
  <ScaleCrop>false</ScaleCrop>
  <LinksUpToDate>false</LinksUpToDate>
  <CharactersWithSpaces>3367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2023-09-07T07:44:00Z</dcterms:created>
  <dc:creator>WPS_1607505747</dc:creator>
  <cp:lastModifiedBy>WPS_1607505747</cp:lastModifiedBy>
  <dcterms:modified xsi:type="dcterms:W3CDTF">2023-09-07T08:01:13Z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0B1EE16B829F46B5881904E67E6797BA_11</vt:lpwstr>
  </property>
</Properties>
</file>