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72"/>
        </w:tabs>
      </w:pPr>
      <w:r>
        <w:fldChar w:fldCharType="begin"/>
      </w:r>
      <w:r>
        <w:instrText xml:space="preserve">TOC \o "2-2" \h \z \u</w:instrText>
      </w:r>
      <w:r>
        <w:fldChar w:fldCharType="separate"/>
      </w:r>
      <w:r>
        <w:fldChar w:fldCharType="begin"/>
      </w:r>
      <w:r>
        <w:instrText xml:space="preserve"> HYPERLINK \l _Toc21486 </w:instrText>
      </w:r>
      <w:r>
        <w:fldChar w:fldCharType="separate"/>
      </w:r>
      <w:r>
        <w:rPr>
          <w:rFonts w:ascii="方正小标宋_GBK" w:hAnsi="方正小标宋_GBK" w:eastAsia="方正小标宋_GBK" w:cs="方正小标宋_GBK"/>
        </w:rPr>
        <w:t>部门预算收支总表</w:t>
      </w:r>
      <w:r>
        <w:tab/>
      </w:r>
      <w:r>
        <w:fldChar w:fldCharType="begin"/>
      </w:r>
      <w:r>
        <w:instrText xml:space="preserve"> PAGEREF _Toc21486 \h </w:instrText>
      </w:r>
      <w:r>
        <w:fldChar w:fldCharType="separate"/>
      </w:r>
      <w:r>
        <w:t>1</w:t>
      </w:r>
      <w:r>
        <w:fldChar w:fldCharType="end"/>
      </w:r>
      <w:r>
        <w:fldChar w:fldCharType="end"/>
      </w:r>
    </w:p>
    <w:p>
      <w:pPr>
        <w:pStyle w:val="4"/>
        <w:tabs>
          <w:tab w:val="right" w:leader="dot" w:pos="14572"/>
        </w:tabs>
      </w:pPr>
      <w:r>
        <w:fldChar w:fldCharType="begin"/>
      </w:r>
      <w:r>
        <w:instrText xml:space="preserve"> HYPERLINK \l _Toc8787 </w:instrText>
      </w:r>
      <w:r>
        <w:fldChar w:fldCharType="separate"/>
      </w:r>
      <w:r>
        <w:rPr>
          <w:rFonts w:ascii="方正小标宋_GBK" w:hAnsi="方正小标宋_GBK" w:eastAsia="方正小标宋_GBK" w:cs="方正小标宋_GBK"/>
        </w:rPr>
        <w:t>部门预算收入总表</w:t>
      </w:r>
      <w:r>
        <w:tab/>
      </w:r>
      <w:r>
        <w:fldChar w:fldCharType="begin"/>
      </w:r>
      <w:r>
        <w:instrText xml:space="preserve"> PAGEREF _Toc8787 \h </w:instrText>
      </w:r>
      <w:r>
        <w:fldChar w:fldCharType="separate"/>
      </w:r>
      <w:r>
        <w:t>4</w:t>
      </w:r>
      <w:r>
        <w:fldChar w:fldCharType="end"/>
      </w:r>
      <w:r>
        <w:fldChar w:fldCharType="end"/>
      </w:r>
    </w:p>
    <w:p>
      <w:pPr>
        <w:pStyle w:val="4"/>
        <w:tabs>
          <w:tab w:val="right" w:leader="dot" w:pos="14572"/>
        </w:tabs>
      </w:pPr>
      <w:r>
        <w:fldChar w:fldCharType="begin"/>
      </w:r>
      <w:r>
        <w:instrText xml:space="preserve"> HYPERLINK \l _Toc9113 </w:instrText>
      </w:r>
      <w:r>
        <w:fldChar w:fldCharType="separate"/>
      </w:r>
      <w:r>
        <w:rPr>
          <w:rFonts w:ascii="方正小标宋_GBK" w:hAnsi="方正小标宋_GBK" w:eastAsia="方正小标宋_GBK" w:cs="方正小标宋_GBK"/>
        </w:rPr>
        <w:t>部门预算支出总表</w:t>
      </w:r>
      <w:r>
        <w:tab/>
      </w:r>
      <w:r>
        <w:fldChar w:fldCharType="begin"/>
      </w:r>
      <w:r>
        <w:instrText xml:space="preserve"> PAGEREF _Toc9113 \h </w:instrText>
      </w:r>
      <w:r>
        <w:fldChar w:fldCharType="separate"/>
      </w:r>
      <w:r>
        <w:t>8</w:t>
      </w:r>
      <w:r>
        <w:fldChar w:fldCharType="end"/>
      </w:r>
      <w:r>
        <w:fldChar w:fldCharType="end"/>
      </w:r>
    </w:p>
    <w:p>
      <w:pPr>
        <w:pStyle w:val="4"/>
        <w:tabs>
          <w:tab w:val="right" w:leader="dot" w:pos="14572"/>
        </w:tabs>
      </w:pPr>
      <w:r>
        <w:fldChar w:fldCharType="begin"/>
      </w:r>
      <w:r>
        <w:instrText xml:space="preserve"> HYPERLINK \l _Toc11543 </w:instrText>
      </w:r>
      <w:r>
        <w:fldChar w:fldCharType="separate"/>
      </w:r>
      <w:r>
        <w:rPr>
          <w:rFonts w:ascii="方正小标宋_GBK" w:hAnsi="方正小标宋_GBK" w:eastAsia="方正小标宋_GBK" w:cs="方正小标宋_GBK"/>
        </w:rPr>
        <w:t>部门预算财政拨款收支总表</w:t>
      </w:r>
      <w:r>
        <w:tab/>
      </w:r>
      <w:r>
        <w:fldChar w:fldCharType="begin"/>
      </w:r>
      <w:r>
        <w:instrText xml:space="preserve"> PAGEREF _Toc11543 \h </w:instrText>
      </w:r>
      <w:r>
        <w:fldChar w:fldCharType="separate"/>
      </w:r>
      <w:r>
        <w:t>10</w:t>
      </w:r>
      <w:r>
        <w:fldChar w:fldCharType="end"/>
      </w:r>
      <w:r>
        <w:fldChar w:fldCharType="end"/>
      </w:r>
    </w:p>
    <w:p>
      <w:pPr>
        <w:pStyle w:val="4"/>
        <w:tabs>
          <w:tab w:val="right" w:leader="dot" w:pos="14572"/>
        </w:tabs>
      </w:pPr>
      <w:r>
        <w:fldChar w:fldCharType="begin"/>
      </w:r>
      <w:r>
        <w:instrText xml:space="preserve"> HYPERLINK \l _Toc12441 </w:instrText>
      </w:r>
      <w:r>
        <w:fldChar w:fldCharType="separate"/>
      </w:r>
      <w:r>
        <w:rPr>
          <w:rFonts w:ascii="方正小标宋_GBK" w:hAnsi="方正小标宋_GBK" w:eastAsia="方正小标宋_GBK" w:cs="方正小标宋_GBK"/>
        </w:rPr>
        <w:t>部门预算一般公共预算财政拨款支出表</w:t>
      </w:r>
      <w:r>
        <w:tab/>
      </w:r>
      <w:r>
        <w:fldChar w:fldCharType="begin"/>
      </w:r>
      <w:r>
        <w:instrText xml:space="preserve"> PAGEREF _Toc12441 \h </w:instrText>
      </w:r>
      <w:r>
        <w:fldChar w:fldCharType="separate"/>
      </w:r>
      <w:r>
        <w:t>17</w:t>
      </w:r>
      <w:r>
        <w:fldChar w:fldCharType="end"/>
      </w:r>
      <w:r>
        <w:fldChar w:fldCharType="end"/>
      </w:r>
    </w:p>
    <w:p>
      <w:pPr>
        <w:pStyle w:val="4"/>
        <w:tabs>
          <w:tab w:val="right" w:leader="dot" w:pos="14572"/>
        </w:tabs>
      </w:pPr>
      <w:r>
        <w:fldChar w:fldCharType="begin"/>
      </w:r>
      <w:r>
        <w:instrText xml:space="preserve"> HYPERLINK \l _Toc11856 </w:instrText>
      </w:r>
      <w:r>
        <w:fldChar w:fldCharType="separate"/>
      </w:r>
      <w:r>
        <w:rPr>
          <w:rFonts w:ascii="方正小标宋_GBK" w:hAnsi="方正小标宋_GBK" w:eastAsia="方正小标宋_GBK" w:cs="方正小标宋_GBK"/>
        </w:rPr>
        <w:t>部门预算一般公共预算财政拨款基本支出表</w:t>
      </w:r>
      <w:r>
        <w:tab/>
      </w:r>
      <w:r>
        <w:fldChar w:fldCharType="begin"/>
      </w:r>
      <w:r>
        <w:instrText xml:space="preserve"> PAGEREF _Toc11856 \h </w:instrText>
      </w:r>
      <w:r>
        <w:fldChar w:fldCharType="separate"/>
      </w:r>
      <w:r>
        <w:t>19</w:t>
      </w:r>
      <w:r>
        <w:fldChar w:fldCharType="end"/>
      </w:r>
      <w:r>
        <w:fldChar w:fldCharType="end"/>
      </w:r>
    </w:p>
    <w:p>
      <w:pPr>
        <w:pStyle w:val="4"/>
        <w:tabs>
          <w:tab w:val="right" w:leader="dot" w:pos="14572"/>
        </w:tabs>
      </w:pPr>
      <w:r>
        <w:fldChar w:fldCharType="begin"/>
      </w:r>
      <w:r>
        <w:instrText xml:space="preserve"> HYPERLINK \l _Toc9193 </w:instrText>
      </w:r>
      <w:r>
        <w:fldChar w:fldCharType="separate"/>
      </w:r>
      <w:r>
        <w:rPr>
          <w:rFonts w:ascii="方正小标宋_GBK" w:hAnsi="方正小标宋_GBK" w:eastAsia="方正小标宋_GBK" w:cs="方正小标宋_GBK"/>
        </w:rPr>
        <w:t>部门预算政府性基金预算财政拨款支出表</w:t>
      </w:r>
      <w:r>
        <w:tab/>
      </w:r>
      <w:r>
        <w:fldChar w:fldCharType="begin"/>
      </w:r>
      <w:r>
        <w:instrText xml:space="preserve"> PAGEREF _Toc9193 \h </w:instrText>
      </w:r>
      <w:r>
        <w:fldChar w:fldCharType="separate"/>
      </w:r>
      <w:r>
        <w:t>21</w:t>
      </w:r>
      <w:r>
        <w:fldChar w:fldCharType="end"/>
      </w:r>
      <w:r>
        <w:fldChar w:fldCharType="end"/>
      </w:r>
    </w:p>
    <w:p>
      <w:pPr>
        <w:pStyle w:val="4"/>
        <w:tabs>
          <w:tab w:val="right" w:leader="dot" w:pos="14572"/>
        </w:tabs>
      </w:pPr>
      <w:r>
        <w:fldChar w:fldCharType="begin"/>
      </w:r>
      <w:r>
        <w:instrText xml:space="preserve"> HYPERLINK \l _Toc8339 </w:instrText>
      </w:r>
      <w:r>
        <w:fldChar w:fldCharType="separate"/>
      </w:r>
      <w:r>
        <w:rPr>
          <w:rFonts w:ascii="方正小标宋_GBK" w:hAnsi="方正小标宋_GBK" w:eastAsia="方正小标宋_GBK" w:cs="方正小标宋_GBK"/>
        </w:rPr>
        <w:t>部门预算国有资本经营预算财政拨款支出表</w:t>
      </w:r>
      <w:r>
        <w:tab/>
      </w:r>
      <w:r>
        <w:fldChar w:fldCharType="begin"/>
      </w:r>
      <w:r>
        <w:instrText xml:space="preserve"> PAGEREF _Toc8339 \h </w:instrText>
      </w:r>
      <w:r>
        <w:fldChar w:fldCharType="separate"/>
      </w:r>
      <w:r>
        <w:t>22</w:t>
      </w:r>
      <w:r>
        <w:fldChar w:fldCharType="end"/>
      </w:r>
      <w:r>
        <w:fldChar w:fldCharType="end"/>
      </w:r>
    </w:p>
    <w:p>
      <w:pPr>
        <w:pStyle w:val="4"/>
        <w:tabs>
          <w:tab w:val="right" w:leader="dot" w:pos="14572"/>
        </w:tabs>
      </w:pPr>
      <w:r>
        <w:fldChar w:fldCharType="begin"/>
      </w:r>
      <w:r>
        <w:instrText xml:space="preserve"> HYPERLINK \l _Toc21799 </w:instrText>
      </w:r>
      <w:r>
        <w:fldChar w:fldCharType="separate"/>
      </w:r>
      <w:r>
        <w:rPr>
          <w:rFonts w:ascii="方正小标宋_GBK" w:hAnsi="方正小标宋_GBK" w:eastAsia="方正小标宋_GBK" w:cs="方正小标宋_GBK"/>
        </w:rPr>
        <w:t>部门预算财政拨款“三公”经费支出表</w:t>
      </w:r>
      <w:r>
        <w:tab/>
      </w:r>
      <w:r>
        <w:fldChar w:fldCharType="begin"/>
      </w:r>
      <w:r>
        <w:instrText xml:space="preserve"> PAGEREF _Toc21799 \h </w:instrText>
      </w:r>
      <w:r>
        <w:fldChar w:fldCharType="separate"/>
      </w:r>
      <w:r>
        <w:t>23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2"/>
        <w:tabs>
          <w:tab w:val="right" w:leader="dot" w:pos="14572"/>
        </w:tabs>
      </w:pPr>
      <w:r>
        <w:fldChar w:fldCharType="begin"/>
      </w:r>
      <w:r>
        <w:instrText xml:space="preserve">TOC \o "3-3" \h \z \u</w:instrText>
      </w:r>
      <w:r>
        <w:fldChar w:fldCharType="separate"/>
      </w:r>
      <w:r>
        <w:fldChar w:fldCharType="begin"/>
      </w:r>
      <w:r>
        <w:instrText xml:space="preserve"> HYPERLINK \l _Toc31941 </w:instrText>
      </w:r>
      <w:r>
        <w:fldChar w:fldCharType="separate"/>
      </w:r>
      <w:r>
        <w:rPr>
          <w:rFonts w:ascii="黑体" w:hAnsi="黑体" w:eastAsia="黑体" w:cs="黑体"/>
        </w:rPr>
        <w:t>一、部门职责及机构设置情况</w:t>
      </w:r>
      <w:r>
        <w:tab/>
      </w:r>
      <w:r>
        <w:fldChar w:fldCharType="begin"/>
      </w:r>
      <w:r>
        <w:instrText xml:space="preserve"> PAGEREF _Toc31941 \h </w:instrText>
      </w:r>
      <w:r>
        <w:fldChar w:fldCharType="separate"/>
      </w:r>
      <w:r>
        <w:t>24</w:t>
      </w:r>
      <w:r>
        <w:fldChar w:fldCharType="end"/>
      </w:r>
      <w:r>
        <w:fldChar w:fldCharType="end"/>
      </w:r>
    </w:p>
    <w:p>
      <w:pPr>
        <w:pStyle w:val="2"/>
        <w:tabs>
          <w:tab w:val="right" w:leader="dot" w:pos="14572"/>
        </w:tabs>
      </w:pPr>
      <w:r>
        <w:fldChar w:fldCharType="begin"/>
      </w:r>
      <w:r>
        <w:instrText xml:space="preserve"> HYPERLINK \l _Toc14244 </w:instrText>
      </w:r>
      <w:r>
        <w:fldChar w:fldCharType="separate"/>
      </w:r>
      <w:r>
        <w:rPr>
          <w:rFonts w:ascii="黑体" w:hAnsi="黑体" w:eastAsia="黑体" w:cs="黑体"/>
        </w:rPr>
        <w:t>二、部门预算安排的总体情况</w:t>
      </w:r>
      <w:r>
        <w:tab/>
      </w:r>
      <w:r>
        <w:fldChar w:fldCharType="begin"/>
      </w:r>
      <w:r>
        <w:instrText xml:space="preserve"> PAGEREF _Toc14244 \h </w:instrText>
      </w:r>
      <w:r>
        <w:fldChar w:fldCharType="separate"/>
      </w:r>
      <w:r>
        <w:t>25</w:t>
      </w:r>
      <w:r>
        <w:fldChar w:fldCharType="end"/>
      </w:r>
      <w:r>
        <w:fldChar w:fldCharType="end"/>
      </w:r>
    </w:p>
    <w:p>
      <w:pPr>
        <w:pStyle w:val="2"/>
        <w:tabs>
          <w:tab w:val="right" w:leader="dot" w:pos="14572"/>
        </w:tabs>
      </w:pPr>
      <w:r>
        <w:fldChar w:fldCharType="begin"/>
      </w:r>
      <w:r>
        <w:instrText xml:space="preserve"> HYPERLINK \l _Toc19815 </w:instrText>
      </w:r>
      <w:r>
        <w:fldChar w:fldCharType="separate"/>
      </w:r>
      <w:r>
        <w:rPr>
          <w:rFonts w:ascii="黑体" w:hAnsi="黑体" w:eastAsia="黑体" w:cs="黑体"/>
        </w:rPr>
        <w:t>三、机关运行经费安排情况</w:t>
      </w:r>
      <w:r>
        <w:tab/>
      </w:r>
      <w:r>
        <w:fldChar w:fldCharType="begin"/>
      </w:r>
      <w:r>
        <w:instrText xml:space="preserve"> PAGEREF _Toc19815 \h </w:instrText>
      </w:r>
      <w:r>
        <w:fldChar w:fldCharType="separate"/>
      </w:r>
      <w:r>
        <w:t>26</w:t>
      </w:r>
      <w:r>
        <w:fldChar w:fldCharType="end"/>
      </w:r>
      <w:r>
        <w:fldChar w:fldCharType="end"/>
      </w:r>
    </w:p>
    <w:p>
      <w:pPr>
        <w:pStyle w:val="2"/>
        <w:tabs>
          <w:tab w:val="right" w:leader="dot" w:pos="14572"/>
        </w:tabs>
      </w:pPr>
      <w:r>
        <w:fldChar w:fldCharType="begin"/>
      </w:r>
      <w:r>
        <w:instrText xml:space="preserve"> HYPERLINK \l _Toc9902 </w:instrText>
      </w:r>
      <w:r>
        <w:fldChar w:fldCharType="separate"/>
      </w:r>
      <w:r>
        <w:rPr>
          <w:rFonts w:ascii="黑体" w:hAnsi="黑体" w:eastAsia="黑体" w:cs="黑体"/>
        </w:rPr>
        <w:t>四、财政拨款“三公”经费预算情况及增减变化原因</w:t>
      </w:r>
      <w:r>
        <w:tab/>
      </w:r>
      <w:r>
        <w:fldChar w:fldCharType="begin"/>
      </w:r>
      <w:r>
        <w:instrText xml:space="preserve"> PAGEREF _Toc9902 \h </w:instrText>
      </w:r>
      <w:r>
        <w:fldChar w:fldCharType="separate"/>
      </w:r>
      <w:r>
        <w:t>26</w:t>
      </w:r>
      <w:r>
        <w:fldChar w:fldCharType="end"/>
      </w:r>
      <w:r>
        <w:fldChar w:fldCharType="end"/>
      </w:r>
    </w:p>
    <w:p>
      <w:pPr>
        <w:pStyle w:val="2"/>
        <w:tabs>
          <w:tab w:val="right" w:leader="dot" w:pos="14572"/>
        </w:tabs>
      </w:pPr>
      <w:r>
        <w:fldChar w:fldCharType="begin"/>
      </w:r>
      <w:r>
        <w:instrText xml:space="preserve"> HYPERLINK \l _Toc16916 </w:instrText>
      </w:r>
      <w:r>
        <w:fldChar w:fldCharType="separate"/>
      </w:r>
      <w:r>
        <w:rPr>
          <w:rFonts w:ascii="黑体" w:hAnsi="黑体" w:eastAsia="黑体" w:cs="黑体"/>
        </w:rPr>
        <w:t>五、部门整体绩效目标</w:t>
      </w:r>
      <w:r>
        <w:tab/>
      </w:r>
      <w:r>
        <w:fldChar w:fldCharType="begin"/>
      </w:r>
      <w:r>
        <w:instrText xml:space="preserve"> PAGEREF _Toc16916 \h </w:instrText>
      </w:r>
      <w:r>
        <w:fldChar w:fldCharType="separate"/>
      </w:r>
      <w:r>
        <w:t>27</w:t>
      </w:r>
      <w:r>
        <w:fldChar w:fldCharType="end"/>
      </w:r>
      <w:r>
        <w:fldChar w:fldCharType="end"/>
      </w:r>
    </w:p>
    <w:p>
      <w:pPr>
        <w:pStyle w:val="2"/>
        <w:tabs>
          <w:tab w:val="right" w:leader="dot" w:pos="14572"/>
        </w:tabs>
      </w:pPr>
      <w:r>
        <w:fldChar w:fldCharType="begin"/>
      </w:r>
      <w:r>
        <w:instrText xml:space="preserve"> HYPERLINK \l _Toc21851 </w:instrText>
      </w:r>
      <w:r>
        <w:fldChar w:fldCharType="separate"/>
      </w:r>
      <w:r>
        <w:rPr>
          <w:rFonts w:hint="eastAsia" w:ascii="黑体" w:hAnsi="黑体" w:eastAsia="黑体" w:cs="黑体"/>
        </w:rPr>
        <w:t xml:space="preserve">六、 </w:t>
      </w:r>
      <w:r>
        <w:rPr>
          <w:rFonts w:ascii="黑体" w:hAnsi="黑体" w:eastAsia="黑体" w:cs="黑体"/>
        </w:rPr>
        <w:t>部门主管专项资金预算安排情况及绩效目标</w:t>
      </w:r>
      <w:r>
        <w:tab/>
      </w:r>
      <w:r>
        <w:fldChar w:fldCharType="begin"/>
      </w:r>
      <w:r>
        <w:instrText xml:space="preserve"> PAGEREF _Toc21851 \h </w:instrText>
      </w:r>
      <w:r>
        <w:fldChar w:fldCharType="separate"/>
      </w:r>
      <w:r>
        <w:t>31</w:t>
      </w:r>
      <w:r>
        <w:fldChar w:fldCharType="end"/>
      </w:r>
      <w:r>
        <w:fldChar w:fldCharType="end"/>
      </w:r>
    </w:p>
    <w:p>
      <w:pPr>
        <w:pStyle w:val="2"/>
        <w:tabs>
          <w:tab w:val="right" w:leader="dot" w:pos="14572"/>
        </w:tabs>
      </w:pPr>
      <w:r>
        <w:fldChar w:fldCharType="begin"/>
      </w:r>
      <w:r>
        <w:instrText xml:space="preserve"> HYPERLINK \l _Toc6540 </w:instrText>
      </w:r>
      <w:r>
        <w:fldChar w:fldCharType="separate"/>
      </w:r>
      <w:r>
        <w:rPr>
          <w:rFonts w:hint="eastAsia" w:ascii="黑体" w:hAnsi="黑体" w:eastAsia="黑体" w:cs="黑体"/>
          <w:lang w:eastAsia="zh-CN"/>
        </w:rPr>
        <w:t>无。</w:t>
      </w:r>
      <w:r>
        <w:tab/>
      </w:r>
      <w:r>
        <w:fldChar w:fldCharType="begin"/>
      </w:r>
      <w:r>
        <w:instrText xml:space="preserve"> PAGEREF _Toc6540 \h </w:instrText>
      </w:r>
      <w:r>
        <w:fldChar w:fldCharType="separate"/>
      </w:r>
      <w:r>
        <w:t>31</w:t>
      </w:r>
      <w:r>
        <w:fldChar w:fldCharType="end"/>
      </w:r>
      <w:r>
        <w:fldChar w:fldCharType="end"/>
      </w:r>
    </w:p>
    <w:p>
      <w:pPr>
        <w:pStyle w:val="2"/>
        <w:tabs>
          <w:tab w:val="right" w:leader="dot" w:pos="14572"/>
        </w:tabs>
      </w:pPr>
      <w:r>
        <w:fldChar w:fldCharType="begin"/>
      </w:r>
      <w:r>
        <w:instrText xml:space="preserve"> HYPERLINK \l _Toc1947 </w:instrText>
      </w:r>
      <w:r>
        <w:fldChar w:fldCharType="separate"/>
      </w:r>
      <w:r>
        <w:rPr>
          <w:rFonts w:ascii="黑体" w:hAnsi="黑体" w:eastAsia="黑体" w:cs="黑体"/>
        </w:rPr>
        <w:t>七、部门项目预算安排情况及绩效目标</w:t>
      </w:r>
      <w:r>
        <w:tab/>
      </w:r>
      <w:r>
        <w:fldChar w:fldCharType="begin"/>
      </w:r>
      <w:r>
        <w:instrText xml:space="preserve"> PAGEREF _Toc1947 \h </w:instrText>
      </w:r>
      <w:r>
        <w:fldChar w:fldCharType="separate"/>
      </w:r>
      <w:r>
        <w:t>32</w:t>
      </w:r>
      <w:r>
        <w:fldChar w:fldCharType="end"/>
      </w:r>
      <w:r>
        <w:fldChar w:fldCharType="end"/>
      </w:r>
    </w:p>
    <w:p>
      <w:pPr>
        <w:pStyle w:val="2"/>
        <w:tabs>
          <w:tab w:val="right" w:leader="dot" w:pos="14572"/>
        </w:tabs>
      </w:pPr>
      <w:r>
        <w:fldChar w:fldCharType="begin"/>
      </w:r>
      <w:r>
        <w:instrText xml:space="preserve"> HYPERLINK \l _Toc12159 </w:instrText>
      </w:r>
      <w:r>
        <w:fldChar w:fldCharType="separate"/>
      </w:r>
      <w:r>
        <w:rPr>
          <w:rFonts w:ascii="黑体" w:hAnsi="黑体" w:eastAsia="黑体" w:cs="黑体"/>
        </w:rPr>
        <w:t>八、政府采购预算情况</w:t>
      </w:r>
      <w:r>
        <w:tab/>
      </w:r>
      <w:r>
        <w:fldChar w:fldCharType="begin"/>
      </w:r>
      <w:r>
        <w:instrText xml:space="preserve"> PAGEREF _Toc12159 \h </w:instrText>
      </w:r>
      <w:r>
        <w:fldChar w:fldCharType="separate"/>
      </w:r>
      <w:r>
        <w:t>50</w:t>
      </w:r>
      <w:r>
        <w:fldChar w:fldCharType="end"/>
      </w:r>
      <w:r>
        <w:fldChar w:fldCharType="end"/>
      </w:r>
    </w:p>
    <w:p>
      <w:pPr>
        <w:pStyle w:val="2"/>
        <w:tabs>
          <w:tab w:val="right" w:leader="dot" w:pos="14572"/>
        </w:tabs>
      </w:pPr>
      <w:r>
        <w:fldChar w:fldCharType="begin"/>
      </w:r>
      <w:r>
        <w:instrText xml:space="preserve"> HYPERLINK \l _Toc15312 </w:instrText>
      </w:r>
      <w:r>
        <w:fldChar w:fldCharType="separate"/>
      </w:r>
      <w:r>
        <w:rPr>
          <w:rFonts w:ascii="黑体" w:hAnsi="黑体" w:eastAsia="黑体" w:cs="黑体"/>
        </w:rPr>
        <w:t>九、国有资产信息</w:t>
      </w:r>
      <w:r>
        <w:tab/>
      </w:r>
      <w:r>
        <w:fldChar w:fldCharType="begin"/>
      </w:r>
      <w:r>
        <w:instrText xml:space="preserve"> PAGEREF _Toc15312 \h </w:instrText>
      </w:r>
      <w:r>
        <w:fldChar w:fldCharType="separate"/>
      </w:r>
      <w:r>
        <w:t>51</w:t>
      </w:r>
      <w:r>
        <w:fldChar w:fldCharType="end"/>
      </w:r>
      <w:r>
        <w:fldChar w:fldCharType="end"/>
      </w:r>
    </w:p>
    <w:p>
      <w:pPr>
        <w:pStyle w:val="2"/>
        <w:tabs>
          <w:tab w:val="right" w:leader="dot" w:pos="14572"/>
        </w:tabs>
      </w:pPr>
      <w:r>
        <w:fldChar w:fldCharType="begin"/>
      </w:r>
      <w:r>
        <w:instrText xml:space="preserve"> HYPERLINK \l _Toc15445 </w:instrText>
      </w:r>
      <w:r>
        <w:fldChar w:fldCharType="separate"/>
      </w:r>
      <w:r>
        <w:rPr>
          <w:rFonts w:ascii="黑体" w:hAnsi="黑体" w:eastAsia="黑体" w:cs="黑体"/>
        </w:rPr>
        <w:t>十、名词解释</w:t>
      </w:r>
      <w:r>
        <w:tab/>
      </w:r>
      <w:r>
        <w:fldChar w:fldCharType="begin"/>
      </w:r>
      <w:r>
        <w:instrText xml:space="preserve"> PAGEREF _Toc15445 \h </w:instrText>
      </w:r>
      <w:r>
        <w:fldChar w:fldCharType="separate"/>
      </w:r>
      <w:r>
        <w:t>52</w:t>
      </w:r>
      <w:r>
        <w:fldChar w:fldCharType="end"/>
      </w:r>
      <w:r>
        <w:fldChar w:fldCharType="end"/>
      </w:r>
    </w:p>
    <w:p>
      <w:pPr>
        <w:pStyle w:val="2"/>
        <w:tabs>
          <w:tab w:val="right" w:leader="dot" w:pos="14572"/>
        </w:tabs>
      </w:pPr>
      <w:r>
        <w:fldChar w:fldCharType="begin"/>
      </w:r>
      <w:r>
        <w:instrText xml:space="preserve"> HYPERLINK \l _Toc30224 </w:instrText>
      </w:r>
      <w:r>
        <w:fldChar w:fldCharType="separate"/>
      </w:r>
      <w:r>
        <w:rPr>
          <w:rFonts w:ascii="黑体" w:hAnsi="黑体" w:eastAsia="黑体" w:cs="黑体"/>
        </w:rPr>
        <w:t>十一、其他需要说明的事项</w:t>
      </w:r>
      <w:r>
        <w:tab/>
      </w:r>
      <w:r>
        <w:fldChar w:fldCharType="begin"/>
      </w:r>
      <w:r>
        <w:instrText xml:space="preserve"> PAGEREF _Toc30224 \h </w:instrText>
      </w:r>
      <w:r>
        <w:fldChar w:fldCharType="separate"/>
      </w:r>
      <w:r>
        <w:t>53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21486"/>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601衡水市桃城区人民法院</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4899.80</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4381.22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483.93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73.53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154.65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4899.80</w:t>
            </w:r>
          </w:p>
        </w:tc>
        <w:tc>
          <w:tcPr>
            <w:tcW w:w="4535" w:type="dxa"/>
            <w:vAlign w:val="center"/>
          </w:tcPr>
          <w:p>
            <w:pPr>
              <w:pStyle w:val="15"/>
            </w:pPr>
            <w:r>
              <w:t>本年支出合计</w:t>
            </w:r>
          </w:p>
        </w:tc>
        <w:tc>
          <w:tcPr>
            <w:tcW w:w="2126" w:type="dxa"/>
            <w:vAlign w:val="center"/>
          </w:tcPr>
          <w:p>
            <w:pPr>
              <w:pStyle w:val="16"/>
            </w:pPr>
            <w:r>
              <w:t>5093.33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193.53</w:t>
            </w: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5093.33</w:t>
            </w:r>
          </w:p>
        </w:tc>
        <w:tc>
          <w:tcPr>
            <w:tcW w:w="4535" w:type="dxa"/>
            <w:vAlign w:val="center"/>
          </w:tcPr>
          <w:p>
            <w:pPr>
              <w:pStyle w:val="15"/>
            </w:pPr>
            <w:r>
              <w:t>支出总计</w:t>
            </w:r>
          </w:p>
        </w:tc>
        <w:tc>
          <w:tcPr>
            <w:tcW w:w="2126" w:type="dxa"/>
            <w:vAlign w:val="center"/>
          </w:tcPr>
          <w:p>
            <w:pPr>
              <w:pStyle w:val="16"/>
            </w:pPr>
            <w:r>
              <w:t>5093.33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8787"/>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601衡水市桃城区人民法院</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5093.33</w:t>
            </w:r>
          </w:p>
        </w:tc>
        <w:tc>
          <w:tcPr>
            <w:tcW w:w="1134" w:type="dxa"/>
            <w:vAlign w:val="center"/>
          </w:tcPr>
          <w:p>
            <w:pPr>
              <w:pStyle w:val="16"/>
            </w:pPr>
            <w:r>
              <w:t>4899.80</w:t>
            </w:r>
          </w:p>
        </w:tc>
        <w:tc>
          <w:tcPr>
            <w:tcW w:w="1134" w:type="dxa"/>
            <w:vAlign w:val="center"/>
          </w:tcPr>
          <w:p>
            <w:pPr>
              <w:pStyle w:val="16"/>
            </w:pPr>
            <w:r>
              <w:t>4899.80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193.53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4381.22</w:t>
            </w:r>
          </w:p>
        </w:tc>
        <w:tc>
          <w:tcPr>
            <w:tcW w:w="1134" w:type="dxa"/>
            <w:vAlign w:val="center"/>
          </w:tcPr>
          <w:p>
            <w:pPr>
              <w:pStyle w:val="12"/>
            </w:pPr>
            <w:r>
              <w:t>4187.69</w:t>
            </w:r>
          </w:p>
        </w:tc>
        <w:tc>
          <w:tcPr>
            <w:tcW w:w="1134" w:type="dxa"/>
            <w:vAlign w:val="center"/>
          </w:tcPr>
          <w:p>
            <w:pPr>
              <w:pStyle w:val="12"/>
            </w:pPr>
            <w:r>
              <w:t>4187.69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20405</w:t>
            </w:r>
          </w:p>
        </w:tc>
        <w:tc>
          <w:tcPr>
            <w:tcW w:w="1559" w:type="dxa"/>
            <w:vAlign w:val="center"/>
          </w:tcPr>
          <w:p>
            <w:pPr>
              <w:pStyle w:val="13"/>
            </w:pPr>
            <w:r>
              <w:t>法院</w:t>
            </w:r>
          </w:p>
        </w:tc>
        <w:tc>
          <w:tcPr>
            <w:tcW w:w="1134" w:type="dxa"/>
            <w:vAlign w:val="center"/>
          </w:tcPr>
          <w:p>
            <w:pPr>
              <w:pStyle w:val="12"/>
            </w:pPr>
            <w:r>
              <w:t>4381.22</w:t>
            </w:r>
          </w:p>
        </w:tc>
        <w:tc>
          <w:tcPr>
            <w:tcW w:w="1134" w:type="dxa"/>
            <w:vAlign w:val="center"/>
          </w:tcPr>
          <w:p>
            <w:pPr>
              <w:pStyle w:val="12"/>
            </w:pPr>
            <w:r>
              <w:t>4187.69</w:t>
            </w:r>
          </w:p>
        </w:tc>
        <w:tc>
          <w:tcPr>
            <w:tcW w:w="1134" w:type="dxa"/>
            <w:vAlign w:val="center"/>
          </w:tcPr>
          <w:p>
            <w:pPr>
              <w:pStyle w:val="12"/>
            </w:pPr>
            <w:r>
              <w:t>4187.69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193.53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2040501</w:t>
            </w:r>
          </w:p>
        </w:tc>
        <w:tc>
          <w:tcPr>
            <w:tcW w:w="1559" w:type="dxa"/>
            <w:vAlign w:val="center"/>
          </w:tcPr>
          <w:p>
            <w:pPr>
              <w:pStyle w:val="13"/>
            </w:pPr>
            <w:r>
              <w:t>行政运行</w:t>
            </w:r>
          </w:p>
        </w:tc>
        <w:tc>
          <w:tcPr>
            <w:tcW w:w="1134" w:type="dxa"/>
            <w:vAlign w:val="center"/>
          </w:tcPr>
          <w:p>
            <w:pPr>
              <w:pStyle w:val="12"/>
            </w:pPr>
            <w:r>
              <w:t>3582.69</w:t>
            </w:r>
          </w:p>
        </w:tc>
        <w:tc>
          <w:tcPr>
            <w:tcW w:w="1134" w:type="dxa"/>
            <w:vAlign w:val="center"/>
          </w:tcPr>
          <w:p>
            <w:pPr>
              <w:pStyle w:val="12"/>
            </w:pPr>
            <w:r>
              <w:t>3582.69</w:t>
            </w:r>
          </w:p>
        </w:tc>
        <w:tc>
          <w:tcPr>
            <w:tcW w:w="1134" w:type="dxa"/>
            <w:vAlign w:val="center"/>
          </w:tcPr>
          <w:p>
            <w:pPr>
              <w:pStyle w:val="12"/>
            </w:pPr>
            <w:r>
              <w:t>3582.69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2040504</w:t>
            </w:r>
          </w:p>
        </w:tc>
        <w:tc>
          <w:tcPr>
            <w:tcW w:w="1559" w:type="dxa"/>
            <w:vAlign w:val="center"/>
          </w:tcPr>
          <w:p>
            <w:pPr>
              <w:pStyle w:val="13"/>
            </w:pPr>
            <w:r>
              <w:t>案件审判</w:t>
            </w:r>
          </w:p>
        </w:tc>
        <w:tc>
          <w:tcPr>
            <w:tcW w:w="1134" w:type="dxa"/>
            <w:vAlign w:val="center"/>
          </w:tcPr>
          <w:p>
            <w:pPr>
              <w:pStyle w:val="12"/>
            </w:pPr>
            <w:r>
              <w:t>58.67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58.67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2040505</w:t>
            </w:r>
          </w:p>
        </w:tc>
        <w:tc>
          <w:tcPr>
            <w:tcW w:w="1559" w:type="dxa"/>
            <w:vAlign w:val="center"/>
          </w:tcPr>
          <w:p>
            <w:pPr>
              <w:pStyle w:val="13"/>
            </w:pPr>
            <w:r>
              <w:t>案件执行</w:t>
            </w:r>
          </w:p>
        </w:tc>
        <w:tc>
          <w:tcPr>
            <w:tcW w:w="1134" w:type="dxa"/>
            <w:vAlign w:val="center"/>
          </w:tcPr>
          <w:p>
            <w:pPr>
              <w:pStyle w:val="12"/>
            </w:pPr>
            <w:r>
              <w:t>134.87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134.87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2040599</w:t>
            </w:r>
          </w:p>
        </w:tc>
        <w:tc>
          <w:tcPr>
            <w:tcW w:w="1559" w:type="dxa"/>
            <w:vAlign w:val="center"/>
          </w:tcPr>
          <w:p>
            <w:pPr>
              <w:pStyle w:val="13"/>
            </w:pPr>
            <w:r>
              <w:t>其他法院支出</w:t>
            </w:r>
          </w:p>
        </w:tc>
        <w:tc>
          <w:tcPr>
            <w:tcW w:w="1134" w:type="dxa"/>
            <w:vAlign w:val="center"/>
          </w:tcPr>
          <w:p>
            <w:pPr>
              <w:pStyle w:val="12"/>
            </w:pPr>
            <w:r>
              <w:t>605.00</w:t>
            </w:r>
          </w:p>
        </w:tc>
        <w:tc>
          <w:tcPr>
            <w:tcW w:w="1134" w:type="dxa"/>
            <w:vAlign w:val="center"/>
          </w:tcPr>
          <w:p>
            <w:pPr>
              <w:pStyle w:val="12"/>
            </w:pPr>
            <w:r>
              <w:t>605.00</w:t>
            </w:r>
          </w:p>
        </w:tc>
        <w:tc>
          <w:tcPr>
            <w:tcW w:w="1134" w:type="dxa"/>
            <w:vAlign w:val="center"/>
          </w:tcPr>
          <w:p>
            <w:pPr>
              <w:pStyle w:val="12"/>
            </w:pPr>
            <w:r>
              <w:t>605.00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483.93</w:t>
            </w:r>
          </w:p>
        </w:tc>
        <w:tc>
          <w:tcPr>
            <w:tcW w:w="1134" w:type="dxa"/>
            <w:vAlign w:val="center"/>
          </w:tcPr>
          <w:p>
            <w:pPr>
              <w:pStyle w:val="12"/>
            </w:pPr>
            <w:r>
              <w:t>483.93</w:t>
            </w:r>
          </w:p>
        </w:tc>
        <w:tc>
          <w:tcPr>
            <w:tcW w:w="1134" w:type="dxa"/>
            <w:vAlign w:val="center"/>
          </w:tcPr>
          <w:p>
            <w:pPr>
              <w:pStyle w:val="12"/>
            </w:pPr>
            <w:r>
              <w:t>483.93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482.95</w:t>
            </w:r>
          </w:p>
        </w:tc>
        <w:tc>
          <w:tcPr>
            <w:tcW w:w="1134" w:type="dxa"/>
            <w:vAlign w:val="center"/>
          </w:tcPr>
          <w:p>
            <w:pPr>
              <w:pStyle w:val="12"/>
            </w:pPr>
            <w:r>
              <w:t>482.95</w:t>
            </w:r>
          </w:p>
        </w:tc>
        <w:tc>
          <w:tcPr>
            <w:tcW w:w="1134" w:type="dxa"/>
            <w:vAlign w:val="center"/>
          </w:tcPr>
          <w:p>
            <w:pPr>
              <w:pStyle w:val="12"/>
            </w:pPr>
            <w:r>
              <w:t>482.95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234.58</w:t>
            </w:r>
          </w:p>
        </w:tc>
        <w:tc>
          <w:tcPr>
            <w:tcW w:w="1134" w:type="dxa"/>
            <w:vAlign w:val="center"/>
          </w:tcPr>
          <w:p>
            <w:pPr>
              <w:pStyle w:val="12"/>
            </w:pPr>
            <w:r>
              <w:t>234.58</w:t>
            </w:r>
          </w:p>
        </w:tc>
        <w:tc>
          <w:tcPr>
            <w:tcW w:w="1134" w:type="dxa"/>
            <w:vAlign w:val="center"/>
          </w:tcPr>
          <w:p>
            <w:pPr>
              <w:pStyle w:val="12"/>
            </w:pPr>
            <w:r>
              <w:t>234.58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248.37</w:t>
            </w:r>
          </w:p>
        </w:tc>
        <w:tc>
          <w:tcPr>
            <w:tcW w:w="1134" w:type="dxa"/>
            <w:vAlign w:val="center"/>
          </w:tcPr>
          <w:p>
            <w:pPr>
              <w:pStyle w:val="12"/>
            </w:pPr>
            <w:r>
              <w:t>248.37</w:t>
            </w:r>
          </w:p>
        </w:tc>
        <w:tc>
          <w:tcPr>
            <w:tcW w:w="1134" w:type="dxa"/>
            <w:vAlign w:val="center"/>
          </w:tcPr>
          <w:p>
            <w:pPr>
              <w:pStyle w:val="12"/>
            </w:pPr>
            <w:r>
              <w:t>248.37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0.98</w:t>
            </w:r>
          </w:p>
        </w:tc>
        <w:tc>
          <w:tcPr>
            <w:tcW w:w="1134" w:type="dxa"/>
            <w:vAlign w:val="center"/>
          </w:tcPr>
          <w:p>
            <w:pPr>
              <w:pStyle w:val="12"/>
            </w:pPr>
            <w:r>
              <w:t>0.98</w:t>
            </w:r>
          </w:p>
        </w:tc>
        <w:tc>
          <w:tcPr>
            <w:tcW w:w="1134" w:type="dxa"/>
            <w:vAlign w:val="center"/>
          </w:tcPr>
          <w:p>
            <w:pPr>
              <w:pStyle w:val="12"/>
            </w:pPr>
            <w:r>
              <w:t>0.98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0.98</w:t>
            </w:r>
          </w:p>
        </w:tc>
        <w:tc>
          <w:tcPr>
            <w:tcW w:w="1134" w:type="dxa"/>
            <w:vAlign w:val="center"/>
          </w:tcPr>
          <w:p>
            <w:pPr>
              <w:pStyle w:val="12"/>
            </w:pPr>
            <w:r>
              <w:t>0.98</w:t>
            </w:r>
          </w:p>
        </w:tc>
        <w:tc>
          <w:tcPr>
            <w:tcW w:w="1134" w:type="dxa"/>
            <w:vAlign w:val="center"/>
          </w:tcPr>
          <w:p>
            <w:pPr>
              <w:pStyle w:val="12"/>
            </w:pPr>
            <w:r>
              <w:t>0.98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73.53</w:t>
            </w:r>
          </w:p>
        </w:tc>
        <w:tc>
          <w:tcPr>
            <w:tcW w:w="1134" w:type="dxa"/>
            <w:vAlign w:val="center"/>
          </w:tcPr>
          <w:p>
            <w:pPr>
              <w:pStyle w:val="12"/>
            </w:pPr>
            <w:r>
              <w:t>73.53</w:t>
            </w:r>
          </w:p>
        </w:tc>
        <w:tc>
          <w:tcPr>
            <w:tcW w:w="1134" w:type="dxa"/>
            <w:vAlign w:val="center"/>
          </w:tcPr>
          <w:p>
            <w:pPr>
              <w:pStyle w:val="12"/>
            </w:pPr>
            <w:r>
              <w:t>73.53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73.53</w:t>
            </w:r>
          </w:p>
        </w:tc>
        <w:tc>
          <w:tcPr>
            <w:tcW w:w="1134" w:type="dxa"/>
            <w:vAlign w:val="center"/>
          </w:tcPr>
          <w:p>
            <w:pPr>
              <w:pStyle w:val="12"/>
            </w:pPr>
            <w:r>
              <w:t>73.53</w:t>
            </w:r>
          </w:p>
        </w:tc>
        <w:tc>
          <w:tcPr>
            <w:tcW w:w="1134" w:type="dxa"/>
            <w:vAlign w:val="center"/>
          </w:tcPr>
          <w:p>
            <w:pPr>
              <w:pStyle w:val="12"/>
            </w:pPr>
            <w:r>
              <w:t>73.53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73.53</w:t>
            </w:r>
          </w:p>
        </w:tc>
        <w:tc>
          <w:tcPr>
            <w:tcW w:w="1134" w:type="dxa"/>
            <w:vAlign w:val="center"/>
          </w:tcPr>
          <w:p>
            <w:pPr>
              <w:pStyle w:val="12"/>
            </w:pPr>
            <w:r>
              <w:t>73.53</w:t>
            </w:r>
          </w:p>
        </w:tc>
        <w:tc>
          <w:tcPr>
            <w:tcW w:w="1134" w:type="dxa"/>
            <w:vAlign w:val="center"/>
          </w:tcPr>
          <w:p>
            <w:pPr>
              <w:pStyle w:val="12"/>
            </w:pPr>
            <w:r>
              <w:t>73.53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154.65</w:t>
            </w:r>
          </w:p>
        </w:tc>
        <w:tc>
          <w:tcPr>
            <w:tcW w:w="1134" w:type="dxa"/>
            <w:vAlign w:val="center"/>
          </w:tcPr>
          <w:p>
            <w:pPr>
              <w:pStyle w:val="12"/>
            </w:pPr>
            <w:r>
              <w:t>154.65</w:t>
            </w:r>
          </w:p>
        </w:tc>
        <w:tc>
          <w:tcPr>
            <w:tcW w:w="1134" w:type="dxa"/>
            <w:vAlign w:val="center"/>
          </w:tcPr>
          <w:p>
            <w:pPr>
              <w:pStyle w:val="12"/>
            </w:pPr>
            <w:r>
              <w:t>154.65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154.65</w:t>
            </w:r>
          </w:p>
        </w:tc>
        <w:tc>
          <w:tcPr>
            <w:tcW w:w="1134" w:type="dxa"/>
            <w:vAlign w:val="center"/>
          </w:tcPr>
          <w:p>
            <w:pPr>
              <w:pStyle w:val="12"/>
            </w:pPr>
            <w:r>
              <w:t>154.65</w:t>
            </w:r>
          </w:p>
        </w:tc>
        <w:tc>
          <w:tcPr>
            <w:tcW w:w="1134" w:type="dxa"/>
            <w:vAlign w:val="center"/>
          </w:tcPr>
          <w:p>
            <w:pPr>
              <w:pStyle w:val="12"/>
            </w:pPr>
            <w:r>
              <w:t>154.65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154.65</w:t>
            </w:r>
          </w:p>
        </w:tc>
        <w:tc>
          <w:tcPr>
            <w:tcW w:w="1134" w:type="dxa"/>
            <w:vAlign w:val="center"/>
          </w:tcPr>
          <w:p>
            <w:pPr>
              <w:pStyle w:val="12"/>
            </w:pPr>
            <w:r>
              <w:t>154.65</w:t>
            </w:r>
          </w:p>
        </w:tc>
        <w:tc>
          <w:tcPr>
            <w:tcW w:w="1134" w:type="dxa"/>
            <w:vAlign w:val="center"/>
          </w:tcPr>
          <w:p>
            <w:pPr>
              <w:pStyle w:val="12"/>
            </w:pPr>
            <w:r>
              <w:t>154.65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911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601衡水市桃城区人民法院</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5093.33</w:t>
            </w:r>
          </w:p>
        </w:tc>
        <w:tc>
          <w:tcPr>
            <w:tcW w:w="1361" w:type="dxa"/>
            <w:vAlign w:val="center"/>
          </w:tcPr>
          <w:p>
            <w:pPr>
              <w:pStyle w:val="16"/>
            </w:pPr>
            <w:r>
              <w:t>2928.44</w:t>
            </w:r>
          </w:p>
        </w:tc>
        <w:tc>
          <w:tcPr>
            <w:tcW w:w="1361" w:type="dxa"/>
            <w:vAlign w:val="center"/>
          </w:tcPr>
          <w:p>
            <w:pPr>
              <w:pStyle w:val="16"/>
            </w:pPr>
            <w:r>
              <w:t>2164.89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4381.22</w:t>
            </w:r>
          </w:p>
        </w:tc>
        <w:tc>
          <w:tcPr>
            <w:tcW w:w="1361" w:type="dxa"/>
            <w:vAlign w:val="center"/>
          </w:tcPr>
          <w:p>
            <w:pPr>
              <w:pStyle w:val="12"/>
            </w:pPr>
            <w:r>
              <w:t>2216.33</w:t>
            </w:r>
          </w:p>
        </w:tc>
        <w:tc>
          <w:tcPr>
            <w:tcW w:w="1361" w:type="dxa"/>
            <w:vAlign w:val="center"/>
          </w:tcPr>
          <w:p>
            <w:pPr>
              <w:pStyle w:val="12"/>
            </w:pPr>
            <w:r>
              <w:t>2164.89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20405</w:t>
            </w:r>
          </w:p>
        </w:tc>
        <w:tc>
          <w:tcPr>
            <w:tcW w:w="4535" w:type="dxa"/>
            <w:vAlign w:val="center"/>
          </w:tcPr>
          <w:p>
            <w:pPr>
              <w:pStyle w:val="13"/>
            </w:pPr>
            <w:r>
              <w:t>法院</w:t>
            </w:r>
          </w:p>
        </w:tc>
        <w:tc>
          <w:tcPr>
            <w:tcW w:w="1361" w:type="dxa"/>
            <w:vAlign w:val="center"/>
          </w:tcPr>
          <w:p>
            <w:pPr>
              <w:pStyle w:val="12"/>
            </w:pPr>
            <w:r>
              <w:t>4381.22</w:t>
            </w:r>
          </w:p>
        </w:tc>
        <w:tc>
          <w:tcPr>
            <w:tcW w:w="1361" w:type="dxa"/>
            <w:vAlign w:val="center"/>
          </w:tcPr>
          <w:p>
            <w:pPr>
              <w:pStyle w:val="12"/>
            </w:pPr>
            <w:r>
              <w:t>2216.33</w:t>
            </w:r>
          </w:p>
        </w:tc>
        <w:tc>
          <w:tcPr>
            <w:tcW w:w="1361" w:type="dxa"/>
            <w:vAlign w:val="center"/>
          </w:tcPr>
          <w:p>
            <w:pPr>
              <w:pStyle w:val="12"/>
            </w:pPr>
            <w:r>
              <w:t>2164.89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2040501</w:t>
            </w:r>
          </w:p>
        </w:tc>
        <w:tc>
          <w:tcPr>
            <w:tcW w:w="4535" w:type="dxa"/>
            <w:vAlign w:val="center"/>
          </w:tcPr>
          <w:p>
            <w:pPr>
              <w:pStyle w:val="13"/>
            </w:pPr>
            <w:r>
              <w:t>行政运行</w:t>
            </w:r>
          </w:p>
        </w:tc>
        <w:tc>
          <w:tcPr>
            <w:tcW w:w="1361" w:type="dxa"/>
            <w:vAlign w:val="center"/>
          </w:tcPr>
          <w:p>
            <w:pPr>
              <w:pStyle w:val="12"/>
            </w:pPr>
            <w:r>
              <w:t>3582.69</w:t>
            </w:r>
          </w:p>
        </w:tc>
        <w:tc>
          <w:tcPr>
            <w:tcW w:w="1361" w:type="dxa"/>
            <w:vAlign w:val="center"/>
          </w:tcPr>
          <w:p>
            <w:pPr>
              <w:pStyle w:val="12"/>
            </w:pPr>
            <w:r>
              <w:t>2216.33</w:t>
            </w:r>
          </w:p>
        </w:tc>
        <w:tc>
          <w:tcPr>
            <w:tcW w:w="1361" w:type="dxa"/>
            <w:vAlign w:val="center"/>
          </w:tcPr>
          <w:p>
            <w:pPr>
              <w:pStyle w:val="12"/>
            </w:pPr>
            <w:r>
              <w:t>1366.36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2040504</w:t>
            </w:r>
          </w:p>
        </w:tc>
        <w:tc>
          <w:tcPr>
            <w:tcW w:w="4535" w:type="dxa"/>
            <w:vAlign w:val="center"/>
          </w:tcPr>
          <w:p>
            <w:pPr>
              <w:pStyle w:val="13"/>
            </w:pPr>
            <w:r>
              <w:t>案件审判</w:t>
            </w:r>
          </w:p>
        </w:tc>
        <w:tc>
          <w:tcPr>
            <w:tcW w:w="1361" w:type="dxa"/>
            <w:vAlign w:val="center"/>
          </w:tcPr>
          <w:p>
            <w:pPr>
              <w:pStyle w:val="12"/>
            </w:pPr>
            <w:r>
              <w:t>58.67</w:t>
            </w:r>
          </w:p>
        </w:tc>
        <w:tc>
          <w:tcPr>
            <w:tcW w:w="1361" w:type="dxa"/>
            <w:vAlign w:val="center"/>
          </w:tcPr>
          <w:p>
            <w:pPr>
              <w:pStyle w:val="12"/>
            </w:pPr>
          </w:p>
        </w:tc>
        <w:tc>
          <w:tcPr>
            <w:tcW w:w="1361" w:type="dxa"/>
            <w:vAlign w:val="center"/>
          </w:tcPr>
          <w:p>
            <w:pPr>
              <w:pStyle w:val="12"/>
            </w:pPr>
            <w:r>
              <w:t>58.67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2040505</w:t>
            </w:r>
          </w:p>
        </w:tc>
        <w:tc>
          <w:tcPr>
            <w:tcW w:w="4535" w:type="dxa"/>
            <w:vAlign w:val="center"/>
          </w:tcPr>
          <w:p>
            <w:pPr>
              <w:pStyle w:val="13"/>
            </w:pPr>
            <w:r>
              <w:t>案件执行</w:t>
            </w:r>
          </w:p>
        </w:tc>
        <w:tc>
          <w:tcPr>
            <w:tcW w:w="1361" w:type="dxa"/>
            <w:vAlign w:val="center"/>
          </w:tcPr>
          <w:p>
            <w:pPr>
              <w:pStyle w:val="12"/>
            </w:pPr>
            <w:r>
              <w:t>134.87</w:t>
            </w:r>
          </w:p>
        </w:tc>
        <w:tc>
          <w:tcPr>
            <w:tcW w:w="1361" w:type="dxa"/>
            <w:vAlign w:val="center"/>
          </w:tcPr>
          <w:p>
            <w:pPr>
              <w:pStyle w:val="12"/>
            </w:pPr>
          </w:p>
        </w:tc>
        <w:tc>
          <w:tcPr>
            <w:tcW w:w="1361" w:type="dxa"/>
            <w:vAlign w:val="center"/>
          </w:tcPr>
          <w:p>
            <w:pPr>
              <w:pStyle w:val="12"/>
            </w:pPr>
            <w:r>
              <w:t>134.87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2040599</w:t>
            </w:r>
          </w:p>
        </w:tc>
        <w:tc>
          <w:tcPr>
            <w:tcW w:w="4535" w:type="dxa"/>
            <w:vAlign w:val="center"/>
          </w:tcPr>
          <w:p>
            <w:pPr>
              <w:pStyle w:val="13"/>
            </w:pPr>
            <w:r>
              <w:t>其他法院支出</w:t>
            </w:r>
          </w:p>
        </w:tc>
        <w:tc>
          <w:tcPr>
            <w:tcW w:w="1361" w:type="dxa"/>
            <w:vAlign w:val="center"/>
          </w:tcPr>
          <w:p>
            <w:pPr>
              <w:pStyle w:val="12"/>
            </w:pPr>
            <w:r>
              <w:t>605.00</w:t>
            </w:r>
          </w:p>
        </w:tc>
        <w:tc>
          <w:tcPr>
            <w:tcW w:w="1361" w:type="dxa"/>
            <w:vAlign w:val="center"/>
          </w:tcPr>
          <w:p>
            <w:pPr>
              <w:pStyle w:val="12"/>
            </w:pPr>
          </w:p>
        </w:tc>
        <w:tc>
          <w:tcPr>
            <w:tcW w:w="1361" w:type="dxa"/>
            <w:vAlign w:val="center"/>
          </w:tcPr>
          <w:p>
            <w:pPr>
              <w:pStyle w:val="12"/>
            </w:pPr>
            <w:r>
              <w:t>605.00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483.93</w:t>
            </w:r>
          </w:p>
        </w:tc>
        <w:tc>
          <w:tcPr>
            <w:tcW w:w="1361" w:type="dxa"/>
            <w:vAlign w:val="center"/>
          </w:tcPr>
          <w:p>
            <w:pPr>
              <w:pStyle w:val="12"/>
            </w:pPr>
            <w:r>
              <w:t>483.93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482.95</w:t>
            </w:r>
          </w:p>
        </w:tc>
        <w:tc>
          <w:tcPr>
            <w:tcW w:w="1361" w:type="dxa"/>
            <w:vAlign w:val="center"/>
          </w:tcPr>
          <w:p>
            <w:pPr>
              <w:pStyle w:val="12"/>
            </w:pPr>
            <w:r>
              <w:t>482.95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234.58</w:t>
            </w:r>
          </w:p>
        </w:tc>
        <w:tc>
          <w:tcPr>
            <w:tcW w:w="1361" w:type="dxa"/>
            <w:vAlign w:val="center"/>
          </w:tcPr>
          <w:p>
            <w:pPr>
              <w:pStyle w:val="12"/>
            </w:pPr>
            <w:r>
              <w:t>234.58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248.37</w:t>
            </w:r>
          </w:p>
        </w:tc>
        <w:tc>
          <w:tcPr>
            <w:tcW w:w="1361" w:type="dxa"/>
            <w:vAlign w:val="center"/>
          </w:tcPr>
          <w:p>
            <w:pPr>
              <w:pStyle w:val="12"/>
            </w:pPr>
            <w:r>
              <w:t>248.37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0.98</w:t>
            </w:r>
          </w:p>
        </w:tc>
        <w:tc>
          <w:tcPr>
            <w:tcW w:w="1361" w:type="dxa"/>
            <w:vAlign w:val="center"/>
          </w:tcPr>
          <w:p>
            <w:pPr>
              <w:pStyle w:val="12"/>
            </w:pPr>
            <w:r>
              <w:t>0.98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0.98</w:t>
            </w:r>
          </w:p>
        </w:tc>
        <w:tc>
          <w:tcPr>
            <w:tcW w:w="1361" w:type="dxa"/>
            <w:vAlign w:val="center"/>
          </w:tcPr>
          <w:p>
            <w:pPr>
              <w:pStyle w:val="12"/>
            </w:pPr>
            <w:r>
              <w:t>0.98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73.53</w:t>
            </w:r>
          </w:p>
        </w:tc>
        <w:tc>
          <w:tcPr>
            <w:tcW w:w="1361" w:type="dxa"/>
            <w:vAlign w:val="center"/>
          </w:tcPr>
          <w:p>
            <w:pPr>
              <w:pStyle w:val="12"/>
            </w:pPr>
            <w:r>
              <w:t>73.53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73.53</w:t>
            </w:r>
          </w:p>
        </w:tc>
        <w:tc>
          <w:tcPr>
            <w:tcW w:w="1361" w:type="dxa"/>
            <w:vAlign w:val="center"/>
          </w:tcPr>
          <w:p>
            <w:pPr>
              <w:pStyle w:val="12"/>
            </w:pPr>
            <w:r>
              <w:t>73.53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73.53</w:t>
            </w:r>
          </w:p>
        </w:tc>
        <w:tc>
          <w:tcPr>
            <w:tcW w:w="1361" w:type="dxa"/>
            <w:vAlign w:val="center"/>
          </w:tcPr>
          <w:p>
            <w:pPr>
              <w:pStyle w:val="12"/>
            </w:pPr>
            <w:r>
              <w:t>73.53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154.65</w:t>
            </w:r>
          </w:p>
        </w:tc>
        <w:tc>
          <w:tcPr>
            <w:tcW w:w="1361" w:type="dxa"/>
            <w:vAlign w:val="center"/>
          </w:tcPr>
          <w:p>
            <w:pPr>
              <w:pStyle w:val="12"/>
            </w:pPr>
            <w:r>
              <w:t>154.65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154.65</w:t>
            </w:r>
          </w:p>
        </w:tc>
        <w:tc>
          <w:tcPr>
            <w:tcW w:w="1361" w:type="dxa"/>
            <w:vAlign w:val="center"/>
          </w:tcPr>
          <w:p>
            <w:pPr>
              <w:pStyle w:val="12"/>
            </w:pPr>
            <w:r>
              <w:t>154.65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154.65</w:t>
            </w:r>
          </w:p>
        </w:tc>
        <w:tc>
          <w:tcPr>
            <w:tcW w:w="1361" w:type="dxa"/>
            <w:vAlign w:val="center"/>
          </w:tcPr>
          <w:p>
            <w:pPr>
              <w:pStyle w:val="12"/>
            </w:pPr>
            <w:r>
              <w:t>154.65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11543"/>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601衡水市桃城区人民法院</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4899.80</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4381.22</w:t>
            </w:r>
          </w:p>
        </w:tc>
        <w:tc>
          <w:tcPr>
            <w:tcW w:w="1474" w:type="dxa"/>
            <w:vAlign w:val="center"/>
          </w:tcPr>
          <w:p>
            <w:pPr>
              <w:pStyle w:val="12"/>
            </w:pPr>
            <w:r>
              <w:t>4381.22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483.93</w:t>
            </w:r>
          </w:p>
        </w:tc>
        <w:tc>
          <w:tcPr>
            <w:tcW w:w="1474" w:type="dxa"/>
            <w:vAlign w:val="center"/>
          </w:tcPr>
          <w:p>
            <w:pPr>
              <w:pStyle w:val="12"/>
            </w:pPr>
            <w:r>
              <w:t>483.93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73.53</w:t>
            </w:r>
          </w:p>
        </w:tc>
        <w:tc>
          <w:tcPr>
            <w:tcW w:w="1474" w:type="dxa"/>
            <w:vAlign w:val="center"/>
          </w:tcPr>
          <w:p>
            <w:pPr>
              <w:pStyle w:val="12"/>
            </w:pPr>
            <w:r>
              <w:t>73.53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154.65</w:t>
            </w:r>
          </w:p>
        </w:tc>
        <w:tc>
          <w:tcPr>
            <w:tcW w:w="1474" w:type="dxa"/>
            <w:vAlign w:val="center"/>
          </w:tcPr>
          <w:p>
            <w:pPr>
              <w:pStyle w:val="12"/>
            </w:pPr>
            <w:r>
              <w:t>154.65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4899.80</w:t>
            </w:r>
          </w:p>
        </w:tc>
        <w:tc>
          <w:tcPr>
            <w:tcW w:w="3402" w:type="dxa"/>
            <w:vAlign w:val="center"/>
          </w:tcPr>
          <w:p>
            <w:pPr>
              <w:pStyle w:val="15"/>
            </w:pPr>
            <w:r>
              <w:t>本年支出合计</w:t>
            </w:r>
          </w:p>
        </w:tc>
        <w:tc>
          <w:tcPr>
            <w:tcW w:w="1474" w:type="dxa"/>
            <w:vAlign w:val="center"/>
          </w:tcPr>
          <w:p>
            <w:pPr>
              <w:pStyle w:val="16"/>
            </w:pPr>
            <w:r>
              <w:t>5093.33</w:t>
            </w:r>
          </w:p>
        </w:tc>
        <w:tc>
          <w:tcPr>
            <w:tcW w:w="1474" w:type="dxa"/>
            <w:vAlign w:val="center"/>
          </w:tcPr>
          <w:p>
            <w:pPr>
              <w:pStyle w:val="16"/>
            </w:pPr>
            <w:r>
              <w:t>5093.33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193.53</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193.53</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5093.33</w:t>
            </w:r>
          </w:p>
        </w:tc>
        <w:tc>
          <w:tcPr>
            <w:tcW w:w="3402" w:type="dxa"/>
            <w:vAlign w:val="center"/>
          </w:tcPr>
          <w:p>
            <w:pPr>
              <w:pStyle w:val="15"/>
            </w:pPr>
            <w:r>
              <w:t>支出总计</w:t>
            </w:r>
          </w:p>
        </w:tc>
        <w:tc>
          <w:tcPr>
            <w:tcW w:w="1474" w:type="dxa"/>
            <w:vAlign w:val="center"/>
          </w:tcPr>
          <w:p>
            <w:pPr>
              <w:pStyle w:val="16"/>
            </w:pPr>
            <w:r>
              <w:t>5093.33</w:t>
            </w:r>
          </w:p>
        </w:tc>
        <w:tc>
          <w:tcPr>
            <w:tcW w:w="1474" w:type="dxa"/>
            <w:vAlign w:val="center"/>
          </w:tcPr>
          <w:p>
            <w:pPr>
              <w:pStyle w:val="16"/>
            </w:pPr>
            <w:r>
              <w:t>5093.33</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12441"/>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601衡水市桃城区人民法院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5093.33</w:t>
            </w:r>
          </w:p>
        </w:tc>
        <w:tc>
          <w:tcPr>
            <w:tcW w:w="2551" w:type="dxa"/>
            <w:vAlign w:val="center"/>
          </w:tcPr>
          <w:p>
            <w:pPr>
              <w:pStyle w:val="16"/>
            </w:pPr>
            <w:r>
              <w:t>2928.44</w:t>
            </w:r>
          </w:p>
        </w:tc>
        <w:tc>
          <w:tcPr>
            <w:tcW w:w="2551" w:type="dxa"/>
            <w:vAlign w:val="center"/>
          </w:tcPr>
          <w:p>
            <w:pPr>
              <w:pStyle w:val="16"/>
            </w:pPr>
            <w:r>
              <w:t>2164.89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4381.22</w:t>
            </w:r>
          </w:p>
        </w:tc>
        <w:tc>
          <w:tcPr>
            <w:tcW w:w="2551" w:type="dxa"/>
            <w:vAlign w:val="center"/>
          </w:tcPr>
          <w:p>
            <w:pPr>
              <w:pStyle w:val="12"/>
            </w:pPr>
            <w:r>
              <w:t>2216.33</w:t>
            </w:r>
          </w:p>
        </w:tc>
        <w:tc>
          <w:tcPr>
            <w:tcW w:w="2551" w:type="dxa"/>
            <w:vAlign w:val="center"/>
          </w:tcPr>
          <w:p>
            <w:pPr>
              <w:pStyle w:val="12"/>
            </w:pPr>
            <w:r>
              <w:t>2164.89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20405</w:t>
            </w:r>
          </w:p>
        </w:tc>
        <w:tc>
          <w:tcPr>
            <w:tcW w:w="4535" w:type="dxa"/>
            <w:vAlign w:val="center"/>
          </w:tcPr>
          <w:p>
            <w:pPr>
              <w:pStyle w:val="13"/>
            </w:pPr>
            <w:r>
              <w:t>法院</w:t>
            </w:r>
          </w:p>
        </w:tc>
        <w:tc>
          <w:tcPr>
            <w:tcW w:w="2551" w:type="dxa"/>
            <w:vAlign w:val="center"/>
          </w:tcPr>
          <w:p>
            <w:pPr>
              <w:pStyle w:val="12"/>
            </w:pPr>
            <w:r>
              <w:t>4381.22</w:t>
            </w:r>
          </w:p>
        </w:tc>
        <w:tc>
          <w:tcPr>
            <w:tcW w:w="2551" w:type="dxa"/>
            <w:vAlign w:val="center"/>
          </w:tcPr>
          <w:p>
            <w:pPr>
              <w:pStyle w:val="12"/>
            </w:pPr>
            <w:r>
              <w:t>2216.33</w:t>
            </w:r>
          </w:p>
        </w:tc>
        <w:tc>
          <w:tcPr>
            <w:tcW w:w="2551" w:type="dxa"/>
            <w:vAlign w:val="center"/>
          </w:tcPr>
          <w:p>
            <w:pPr>
              <w:pStyle w:val="12"/>
            </w:pPr>
            <w:r>
              <w:t>2164.89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2040501</w:t>
            </w:r>
          </w:p>
        </w:tc>
        <w:tc>
          <w:tcPr>
            <w:tcW w:w="4535" w:type="dxa"/>
            <w:vAlign w:val="center"/>
          </w:tcPr>
          <w:p>
            <w:pPr>
              <w:pStyle w:val="13"/>
            </w:pPr>
            <w:r>
              <w:t>行政运行</w:t>
            </w:r>
          </w:p>
        </w:tc>
        <w:tc>
          <w:tcPr>
            <w:tcW w:w="2551" w:type="dxa"/>
            <w:vAlign w:val="center"/>
          </w:tcPr>
          <w:p>
            <w:pPr>
              <w:pStyle w:val="12"/>
            </w:pPr>
            <w:r>
              <w:t>3582.69</w:t>
            </w:r>
          </w:p>
        </w:tc>
        <w:tc>
          <w:tcPr>
            <w:tcW w:w="2551" w:type="dxa"/>
            <w:vAlign w:val="center"/>
          </w:tcPr>
          <w:p>
            <w:pPr>
              <w:pStyle w:val="12"/>
            </w:pPr>
            <w:r>
              <w:t>2216.33</w:t>
            </w:r>
          </w:p>
        </w:tc>
        <w:tc>
          <w:tcPr>
            <w:tcW w:w="2551" w:type="dxa"/>
            <w:vAlign w:val="center"/>
          </w:tcPr>
          <w:p>
            <w:pPr>
              <w:pStyle w:val="12"/>
            </w:pPr>
            <w:r>
              <w:t>1366.36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2040504</w:t>
            </w:r>
          </w:p>
        </w:tc>
        <w:tc>
          <w:tcPr>
            <w:tcW w:w="4535" w:type="dxa"/>
            <w:vAlign w:val="center"/>
          </w:tcPr>
          <w:p>
            <w:pPr>
              <w:pStyle w:val="13"/>
            </w:pPr>
            <w:r>
              <w:t>案件审判</w:t>
            </w:r>
          </w:p>
        </w:tc>
        <w:tc>
          <w:tcPr>
            <w:tcW w:w="2551" w:type="dxa"/>
            <w:vAlign w:val="center"/>
          </w:tcPr>
          <w:p>
            <w:pPr>
              <w:pStyle w:val="12"/>
            </w:pPr>
            <w:r>
              <w:t>58.67</w:t>
            </w:r>
          </w:p>
        </w:tc>
        <w:tc>
          <w:tcPr>
            <w:tcW w:w="2551" w:type="dxa"/>
            <w:vAlign w:val="center"/>
          </w:tcPr>
          <w:p>
            <w:pPr>
              <w:pStyle w:val="12"/>
            </w:pPr>
          </w:p>
        </w:tc>
        <w:tc>
          <w:tcPr>
            <w:tcW w:w="2551" w:type="dxa"/>
            <w:vAlign w:val="center"/>
          </w:tcPr>
          <w:p>
            <w:pPr>
              <w:pStyle w:val="12"/>
            </w:pPr>
            <w:r>
              <w:t>58.67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2040505</w:t>
            </w:r>
          </w:p>
        </w:tc>
        <w:tc>
          <w:tcPr>
            <w:tcW w:w="4535" w:type="dxa"/>
            <w:vAlign w:val="center"/>
          </w:tcPr>
          <w:p>
            <w:pPr>
              <w:pStyle w:val="13"/>
            </w:pPr>
            <w:r>
              <w:t>案件执行</w:t>
            </w:r>
          </w:p>
        </w:tc>
        <w:tc>
          <w:tcPr>
            <w:tcW w:w="2551" w:type="dxa"/>
            <w:vAlign w:val="center"/>
          </w:tcPr>
          <w:p>
            <w:pPr>
              <w:pStyle w:val="12"/>
            </w:pPr>
            <w:r>
              <w:t>134.87</w:t>
            </w:r>
          </w:p>
        </w:tc>
        <w:tc>
          <w:tcPr>
            <w:tcW w:w="2551" w:type="dxa"/>
            <w:vAlign w:val="center"/>
          </w:tcPr>
          <w:p>
            <w:pPr>
              <w:pStyle w:val="12"/>
            </w:pPr>
          </w:p>
        </w:tc>
        <w:tc>
          <w:tcPr>
            <w:tcW w:w="2551" w:type="dxa"/>
            <w:vAlign w:val="center"/>
          </w:tcPr>
          <w:p>
            <w:pPr>
              <w:pStyle w:val="12"/>
            </w:pPr>
            <w:r>
              <w:t>134.87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2040599</w:t>
            </w:r>
          </w:p>
        </w:tc>
        <w:tc>
          <w:tcPr>
            <w:tcW w:w="4535" w:type="dxa"/>
            <w:vAlign w:val="center"/>
          </w:tcPr>
          <w:p>
            <w:pPr>
              <w:pStyle w:val="13"/>
            </w:pPr>
            <w:r>
              <w:t>其他法院支出</w:t>
            </w:r>
          </w:p>
        </w:tc>
        <w:tc>
          <w:tcPr>
            <w:tcW w:w="2551" w:type="dxa"/>
            <w:vAlign w:val="center"/>
          </w:tcPr>
          <w:p>
            <w:pPr>
              <w:pStyle w:val="12"/>
            </w:pPr>
            <w:r>
              <w:t>605.00</w:t>
            </w:r>
          </w:p>
        </w:tc>
        <w:tc>
          <w:tcPr>
            <w:tcW w:w="2551" w:type="dxa"/>
            <w:vAlign w:val="center"/>
          </w:tcPr>
          <w:p>
            <w:pPr>
              <w:pStyle w:val="12"/>
            </w:pPr>
          </w:p>
        </w:tc>
        <w:tc>
          <w:tcPr>
            <w:tcW w:w="2551" w:type="dxa"/>
            <w:vAlign w:val="center"/>
          </w:tcPr>
          <w:p>
            <w:pPr>
              <w:pStyle w:val="12"/>
            </w:pPr>
            <w:r>
              <w:t>605.00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483.93</w:t>
            </w:r>
          </w:p>
        </w:tc>
        <w:tc>
          <w:tcPr>
            <w:tcW w:w="2551" w:type="dxa"/>
            <w:vAlign w:val="center"/>
          </w:tcPr>
          <w:p>
            <w:pPr>
              <w:pStyle w:val="12"/>
            </w:pPr>
            <w:r>
              <w:t>483.93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482.95</w:t>
            </w:r>
          </w:p>
        </w:tc>
        <w:tc>
          <w:tcPr>
            <w:tcW w:w="2551" w:type="dxa"/>
            <w:vAlign w:val="center"/>
          </w:tcPr>
          <w:p>
            <w:pPr>
              <w:pStyle w:val="12"/>
            </w:pPr>
            <w:r>
              <w:t>482.95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234.58</w:t>
            </w:r>
          </w:p>
        </w:tc>
        <w:tc>
          <w:tcPr>
            <w:tcW w:w="2551" w:type="dxa"/>
            <w:vAlign w:val="center"/>
          </w:tcPr>
          <w:p>
            <w:pPr>
              <w:pStyle w:val="12"/>
            </w:pPr>
            <w:r>
              <w:t>234.58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248.37</w:t>
            </w:r>
          </w:p>
        </w:tc>
        <w:tc>
          <w:tcPr>
            <w:tcW w:w="2551" w:type="dxa"/>
            <w:vAlign w:val="center"/>
          </w:tcPr>
          <w:p>
            <w:pPr>
              <w:pStyle w:val="12"/>
            </w:pPr>
            <w:r>
              <w:t>248.37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0.98</w:t>
            </w:r>
          </w:p>
        </w:tc>
        <w:tc>
          <w:tcPr>
            <w:tcW w:w="2551" w:type="dxa"/>
            <w:vAlign w:val="center"/>
          </w:tcPr>
          <w:p>
            <w:pPr>
              <w:pStyle w:val="12"/>
            </w:pPr>
            <w:r>
              <w:t>0.98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0.98</w:t>
            </w:r>
          </w:p>
        </w:tc>
        <w:tc>
          <w:tcPr>
            <w:tcW w:w="2551" w:type="dxa"/>
            <w:vAlign w:val="center"/>
          </w:tcPr>
          <w:p>
            <w:pPr>
              <w:pStyle w:val="12"/>
            </w:pPr>
            <w:r>
              <w:t>0.98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73.53</w:t>
            </w:r>
          </w:p>
        </w:tc>
        <w:tc>
          <w:tcPr>
            <w:tcW w:w="2551" w:type="dxa"/>
            <w:vAlign w:val="center"/>
          </w:tcPr>
          <w:p>
            <w:pPr>
              <w:pStyle w:val="12"/>
            </w:pPr>
            <w:r>
              <w:t>73.53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73.53</w:t>
            </w:r>
          </w:p>
        </w:tc>
        <w:tc>
          <w:tcPr>
            <w:tcW w:w="2551" w:type="dxa"/>
            <w:vAlign w:val="center"/>
          </w:tcPr>
          <w:p>
            <w:pPr>
              <w:pStyle w:val="12"/>
            </w:pPr>
            <w:r>
              <w:t>73.53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73.53</w:t>
            </w:r>
          </w:p>
        </w:tc>
        <w:tc>
          <w:tcPr>
            <w:tcW w:w="2551" w:type="dxa"/>
            <w:vAlign w:val="center"/>
          </w:tcPr>
          <w:p>
            <w:pPr>
              <w:pStyle w:val="12"/>
            </w:pPr>
            <w:r>
              <w:t>73.53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154.65</w:t>
            </w:r>
          </w:p>
        </w:tc>
        <w:tc>
          <w:tcPr>
            <w:tcW w:w="2551" w:type="dxa"/>
            <w:vAlign w:val="center"/>
          </w:tcPr>
          <w:p>
            <w:pPr>
              <w:pStyle w:val="12"/>
            </w:pPr>
            <w:r>
              <w:t>154.65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154.65</w:t>
            </w:r>
          </w:p>
        </w:tc>
        <w:tc>
          <w:tcPr>
            <w:tcW w:w="2551" w:type="dxa"/>
            <w:vAlign w:val="center"/>
          </w:tcPr>
          <w:p>
            <w:pPr>
              <w:pStyle w:val="12"/>
            </w:pPr>
            <w:r>
              <w:t>154.65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154.65</w:t>
            </w:r>
          </w:p>
        </w:tc>
        <w:tc>
          <w:tcPr>
            <w:tcW w:w="2551" w:type="dxa"/>
            <w:vAlign w:val="center"/>
          </w:tcPr>
          <w:p>
            <w:pPr>
              <w:pStyle w:val="12"/>
            </w:pPr>
            <w:r>
              <w:t>154.65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1185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601衡水市桃城区人民法院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2928.44</w:t>
            </w:r>
          </w:p>
        </w:tc>
        <w:tc>
          <w:tcPr>
            <w:tcW w:w="2551" w:type="dxa"/>
            <w:vAlign w:val="center"/>
          </w:tcPr>
          <w:p>
            <w:pPr>
              <w:pStyle w:val="16"/>
            </w:pPr>
            <w:r>
              <w:t>2648.17</w:t>
            </w:r>
          </w:p>
        </w:tc>
        <w:tc>
          <w:tcPr>
            <w:tcW w:w="2551" w:type="dxa"/>
            <w:vAlign w:val="center"/>
          </w:tcPr>
          <w:p>
            <w:pPr>
              <w:pStyle w:val="16"/>
            </w:pPr>
            <w:r>
              <w:t>280.27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2412.56</w:t>
            </w:r>
          </w:p>
        </w:tc>
        <w:tc>
          <w:tcPr>
            <w:tcW w:w="2551" w:type="dxa"/>
            <w:vAlign w:val="center"/>
          </w:tcPr>
          <w:p>
            <w:pPr>
              <w:pStyle w:val="12"/>
            </w:pPr>
            <w:r>
              <w:t>2412.56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718.24</w:t>
            </w:r>
          </w:p>
        </w:tc>
        <w:tc>
          <w:tcPr>
            <w:tcW w:w="2551" w:type="dxa"/>
            <w:vAlign w:val="center"/>
          </w:tcPr>
          <w:p>
            <w:pPr>
              <w:pStyle w:val="12"/>
            </w:pPr>
            <w:r>
              <w:t>718.24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498.67</w:t>
            </w:r>
          </w:p>
        </w:tc>
        <w:tc>
          <w:tcPr>
            <w:tcW w:w="2551" w:type="dxa"/>
            <w:vAlign w:val="center"/>
          </w:tcPr>
          <w:p>
            <w:pPr>
              <w:pStyle w:val="12"/>
            </w:pPr>
            <w:r>
              <w:t>498.67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714.06</w:t>
            </w:r>
          </w:p>
        </w:tc>
        <w:tc>
          <w:tcPr>
            <w:tcW w:w="2551" w:type="dxa"/>
            <w:vAlign w:val="center"/>
          </w:tcPr>
          <w:p>
            <w:pPr>
              <w:pStyle w:val="12"/>
            </w:pPr>
            <w:r>
              <w:t>714.06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248.37</w:t>
            </w:r>
          </w:p>
        </w:tc>
        <w:tc>
          <w:tcPr>
            <w:tcW w:w="2551" w:type="dxa"/>
            <w:vAlign w:val="center"/>
          </w:tcPr>
          <w:p>
            <w:pPr>
              <w:pStyle w:val="12"/>
            </w:pPr>
            <w:r>
              <w:t>248.37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73.53</w:t>
            </w:r>
          </w:p>
        </w:tc>
        <w:tc>
          <w:tcPr>
            <w:tcW w:w="2551" w:type="dxa"/>
            <w:vAlign w:val="center"/>
          </w:tcPr>
          <w:p>
            <w:pPr>
              <w:pStyle w:val="12"/>
            </w:pPr>
            <w:r>
              <w:t>73.53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5.04</w:t>
            </w:r>
          </w:p>
        </w:tc>
        <w:tc>
          <w:tcPr>
            <w:tcW w:w="2551" w:type="dxa"/>
            <w:vAlign w:val="center"/>
          </w:tcPr>
          <w:p>
            <w:pPr>
              <w:pStyle w:val="12"/>
            </w:pPr>
            <w:r>
              <w:t>5.04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154.65</w:t>
            </w:r>
          </w:p>
        </w:tc>
        <w:tc>
          <w:tcPr>
            <w:tcW w:w="2551" w:type="dxa"/>
            <w:vAlign w:val="center"/>
          </w:tcPr>
          <w:p>
            <w:pPr>
              <w:pStyle w:val="12"/>
            </w:pPr>
            <w:r>
              <w:t>154.65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280.27</w:t>
            </w:r>
          </w:p>
        </w:tc>
        <w:tc>
          <w:tcPr>
            <w:tcW w:w="2551" w:type="dxa"/>
            <w:vAlign w:val="center"/>
          </w:tcPr>
          <w:p>
            <w:pPr>
              <w:pStyle w:val="12"/>
            </w:pPr>
          </w:p>
        </w:tc>
        <w:tc>
          <w:tcPr>
            <w:tcW w:w="2551" w:type="dxa"/>
            <w:vAlign w:val="center"/>
          </w:tcPr>
          <w:p>
            <w:pPr>
              <w:pStyle w:val="12"/>
            </w:pPr>
            <w:r>
              <w:t>280.27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50.40</w:t>
            </w:r>
          </w:p>
        </w:tc>
        <w:tc>
          <w:tcPr>
            <w:tcW w:w="2551" w:type="dxa"/>
            <w:vAlign w:val="center"/>
          </w:tcPr>
          <w:p>
            <w:pPr>
              <w:pStyle w:val="12"/>
            </w:pPr>
          </w:p>
        </w:tc>
        <w:tc>
          <w:tcPr>
            <w:tcW w:w="2551" w:type="dxa"/>
            <w:vAlign w:val="center"/>
          </w:tcPr>
          <w:p>
            <w:pPr>
              <w:pStyle w:val="12"/>
            </w:pPr>
            <w:r>
              <w:t>50.40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57.63</w:t>
            </w:r>
          </w:p>
        </w:tc>
        <w:tc>
          <w:tcPr>
            <w:tcW w:w="2551" w:type="dxa"/>
            <w:vAlign w:val="center"/>
          </w:tcPr>
          <w:p>
            <w:pPr>
              <w:pStyle w:val="12"/>
            </w:pPr>
          </w:p>
        </w:tc>
        <w:tc>
          <w:tcPr>
            <w:tcW w:w="2551" w:type="dxa"/>
            <w:vAlign w:val="center"/>
          </w:tcPr>
          <w:p>
            <w:pPr>
              <w:pStyle w:val="12"/>
            </w:pPr>
            <w:r>
              <w:t>57.63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25.00</w:t>
            </w:r>
          </w:p>
        </w:tc>
        <w:tc>
          <w:tcPr>
            <w:tcW w:w="2551" w:type="dxa"/>
            <w:vAlign w:val="center"/>
          </w:tcPr>
          <w:p>
            <w:pPr>
              <w:pStyle w:val="12"/>
            </w:pPr>
          </w:p>
        </w:tc>
        <w:tc>
          <w:tcPr>
            <w:tcW w:w="2551" w:type="dxa"/>
            <w:vAlign w:val="center"/>
          </w:tcPr>
          <w:p>
            <w:pPr>
              <w:pStyle w:val="12"/>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12.09</w:t>
            </w:r>
          </w:p>
        </w:tc>
        <w:tc>
          <w:tcPr>
            <w:tcW w:w="2551" w:type="dxa"/>
            <w:vAlign w:val="center"/>
          </w:tcPr>
          <w:p>
            <w:pPr>
              <w:pStyle w:val="12"/>
            </w:pPr>
          </w:p>
        </w:tc>
        <w:tc>
          <w:tcPr>
            <w:tcW w:w="2551" w:type="dxa"/>
            <w:vAlign w:val="center"/>
          </w:tcPr>
          <w:p>
            <w:pPr>
              <w:pStyle w:val="12"/>
            </w:pPr>
            <w:r>
              <w:t>12.09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16.02</w:t>
            </w:r>
          </w:p>
        </w:tc>
        <w:tc>
          <w:tcPr>
            <w:tcW w:w="2551" w:type="dxa"/>
            <w:vAlign w:val="center"/>
          </w:tcPr>
          <w:p>
            <w:pPr>
              <w:pStyle w:val="12"/>
            </w:pPr>
          </w:p>
        </w:tc>
        <w:tc>
          <w:tcPr>
            <w:tcW w:w="2551" w:type="dxa"/>
            <w:vAlign w:val="center"/>
          </w:tcPr>
          <w:p>
            <w:pPr>
              <w:pStyle w:val="12"/>
            </w:pPr>
            <w:r>
              <w:t>16.02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36.47</w:t>
            </w:r>
          </w:p>
        </w:tc>
        <w:tc>
          <w:tcPr>
            <w:tcW w:w="2551" w:type="dxa"/>
            <w:vAlign w:val="center"/>
          </w:tcPr>
          <w:p>
            <w:pPr>
              <w:pStyle w:val="12"/>
            </w:pPr>
          </w:p>
        </w:tc>
        <w:tc>
          <w:tcPr>
            <w:tcW w:w="2551" w:type="dxa"/>
            <w:vAlign w:val="center"/>
          </w:tcPr>
          <w:p>
            <w:pPr>
              <w:pStyle w:val="12"/>
            </w:pPr>
            <w:r>
              <w:t>36.47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81.11</w:t>
            </w:r>
          </w:p>
        </w:tc>
        <w:tc>
          <w:tcPr>
            <w:tcW w:w="2551" w:type="dxa"/>
            <w:vAlign w:val="center"/>
          </w:tcPr>
          <w:p>
            <w:pPr>
              <w:pStyle w:val="12"/>
            </w:pPr>
          </w:p>
        </w:tc>
        <w:tc>
          <w:tcPr>
            <w:tcW w:w="2551" w:type="dxa"/>
            <w:vAlign w:val="center"/>
          </w:tcPr>
          <w:p>
            <w:pPr>
              <w:pStyle w:val="12"/>
            </w:pPr>
            <w:r>
              <w:t>81.11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1.55</w:t>
            </w:r>
          </w:p>
        </w:tc>
        <w:tc>
          <w:tcPr>
            <w:tcW w:w="2551" w:type="dxa"/>
            <w:vAlign w:val="center"/>
          </w:tcPr>
          <w:p>
            <w:pPr>
              <w:pStyle w:val="12"/>
            </w:pPr>
          </w:p>
        </w:tc>
        <w:tc>
          <w:tcPr>
            <w:tcW w:w="2551" w:type="dxa"/>
            <w:vAlign w:val="center"/>
          </w:tcPr>
          <w:p>
            <w:pPr>
              <w:pStyle w:val="12"/>
            </w:pPr>
            <w:r>
              <w:t>1.55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235.61</w:t>
            </w:r>
          </w:p>
        </w:tc>
        <w:tc>
          <w:tcPr>
            <w:tcW w:w="2551" w:type="dxa"/>
            <w:vAlign w:val="center"/>
          </w:tcPr>
          <w:p>
            <w:pPr>
              <w:pStyle w:val="12"/>
            </w:pPr>
            <w:r>
              <w:t>235.61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234.58</w:t>
            </w:r>
          </w:p>
        </w:tc>
        <w:tc>
          <w:tcPr>
            <w:tcW w:w="2551" w:type="dxa"/>
            <w:vAlign w:val="center"/>
          </w:tcPr>
          <w:p>
            <w:pPr>
              <w:pStyle w:val="12"/>
            </w:pPr>
            <w:r>
              <w:t>234.58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0.98</w:t>
            </w:r>
          </w:p>
        </w:tc>
        <w:tc>
          <w:tcPr>
            <w:tcW w:w="2551" w:type="dxa"/>
            <w:vAlign w:val="center"/>
          </w:tcPr>
          <w:p>
            <w:pPr>
              <w:pStyle w:val="12"/>
            </w:pPr>
            <w:r>
              <w:t>0.98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0.05</w:t>
            </w:r>
          </w:p>
        </w:tc>
        <w:tc>
          <w:tcPr>
            <w:tcW w:w="2551" w:type="dxa"/>
            <w:vAlign w:val="center"/>
          </w:tcPr>
          <w:p>
            <w:pPr>
              <w:pStyle w:val="12"/>
            </w:pPr>
            <w:r>
              <w:t>0.05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9193"/>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601衡水市桃城区人民法院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8339"/>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601衡水市桃城区人民法院</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2179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601衡水市桃城区人民法院</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67.70</w:t>
            </w:r>
          </w:p>
        </w:tc>
        <w:tc>
          <w:tcPr>
            <w:tcW w:w="2381" w:type="dxa"/>
            <w:vAlign w:val="center"/>
          </w:tcPr>
          <w:p>
            <w:pPr>
              <w:pStyle w:val="16"/>
            </w:pPr>
            <w:r>
              <w:t>67.70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67.70</w:t>
            </w:r>
          </w:p>
        </w:tc>
        <w:tc>
          <w:tcPr>
            <w:tcW w:w="2381" w:type="dxa"/>
            <w:vAlign w:val="center"/>
          </w:tcPr>
          <w:p>
            <w:pPr>
              <w:pStyle w:val="12"/>
            </w:pPr>
            <w:r>
              <w:t>67.70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67.70</w:t>
            </w:r>
          </w:p>
        </w:tc>
        <w:tc>
          <w:tcPr>
            <w:tcW w:w="2381" w:type="dxa"/>
            <w:vAlign w:val="center"/>
          </w:tcPr>
          <w:p>
            <w:pPr>
              <w:pStyle w:val="12"/>
            </w:pPr>
            <w:r>
              <w:t>67.70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r>
              <w:t>30.00</w:t>
            </w:r>
          </w:p>
        </w:tc>
        <w:tc>
          <w:tcPr>
            <w:tcW w:w="2381" w:type="dxa"/>
            <w:vAlign w:val="center"/>
          </w:tcPr>
          <w:p>
            <w:pPr>
              <w:pStyle w:val="12"/>
            </w:pPr>
            <w:r>
              <w:t>30.00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37.70</w:t>
            </w:r>
          </w:p>
        </w:tc>
        <w:tc>
          <w:tcPr>
            <w:tcW w:w="2381" w:type="dxa"/>
            <w:vAlign w:val="center"/>
          </w:tcPr>
          <w:p>
            <w:pPr>
              <w:pStyle w:val="12"/>
            </w:pPr>
            <w:r>
              <w:t>37.70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9"/>
      </w:pPr>
      <w:r>
        <w:rPr>
          <w:rFonts w:ascii="方正小标宋_GBK" w:hAnsi="方正小标宋_GBK" w:eastAsia="方正小标宋_GBK" w:cs="方正小标宋_GBK"/>
          <w:color w:val="000000"/>
          <w:sz w:val="44"/>
        </w:rPr>
        <w:t>衡水市桃城区人民法院2024年部门预算信息公开情况说明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按照《中华人民共和国预算法》、《地方预决算公开操作规程》和《关于进一步推进预算公开工作的实施意见》规定，现将衡水市桃城区人民法院2024年部门预算公开如下：</w:t>
      </w:r>
    </w:p>
    <w:p>
      <w:pPr>
        <w:spacing w:before="10" w:after="10" w:line="360" w:lineRule="auto"/>
        <w:ind w:firstLine="640"/>
        <w:jc w:val="left"/>
        <w:outlineLvl w:val="2"/>
      </w:pPr>
      <w:bookmarkStart w:id="9" w:name="_Toc31941"/>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根据《衡水市桃城区人民法院职能配置、内设机构和人员编制规定》，衡水市桃城区人民法院的主要职责是：</w:t>
      </w:r>
    </w:p>
    <w:p>
      <w:pPr>
        <w:pStyle w:val="18"/>
      </w:pPr>
      <w:r>
        <w:t>（一）刑事审判：打击犯罪，维护地方稳定，特别是侵犯人身权、财产权犯罪行为、破坏市场经济行为的犯罪；积极配合反腐高压形势，重点打击职务犯罪行为。</w:t>
      </w:r>
    </w:p>
    <w:p>
      <w:pPr>
        <w:pStyle w:val="18"/>
      </w:pPr>
      <w:r>
        <w:t>（二）民事审判：稳妥审理好传统民事案件，解决好婚姻家庭、邻里纠纷等民间矛盾纠纷，依法妥善审理劳动就业、社会保障、农民工工资等民生领域的各类案件，保护好社会弱势群体的合法权益。通过商事案件的审理保障了我区社会经济结构调整的顺利进行，保障地方经济发展。</w:t>
      </w:r>
    </w:p>
    <w:p>
      <w:pPr>
        <w:pStyle w:val="18"/>
      </w:pPr>
      <w:r>
        <w:t>（三）行政审判：注重保护行政相对人的合法权益，促进干群关系和谐相处，做到行政审判法律效果与政治效果的高度统一。通过前往有关行政单位进行执法授课、邀请执法人员旁听庭审等形式，提高行政执法人员法律素质，促进行政机关依法行政。</w:t>
      </w:r>
    </w:p>
    <w:p>
      <w:pPr>
        <w:pStyle w:val="18"/>
      </w:pPr>
      <w:r>
        <w:t>（四）对执行队伍实行集约化管理，提高执行工作效率。积极利用网络执行查控等措施，实现法院与主要金融机构之间的信息互通，通过失信被执行人名单推送、严厉打击拒不执行的“老赖”行为，促使其自动履行。执结一批涉案多年的“骨头”案和积压案，最大限度地保护申请执行人的合法权益，维护司法权威。</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衡水市桃城区人民法院本级</w:t>
            </w:r>
          </w:p>
        </w:tc>
        <w:tc>
          <w:tcPr>
            <w:tcW w:w="1843" w:type="dxa"/>
            <w:vAlign w:val="center"/>
          </w:tcPr>
          <w:p>
            <w:pPr>
              <w:pStyle w:val="14"/>
            </w:pPr>
            <w:r>
              <w:t>行政</w:t>
            </w:r>
          </w:p>
        </w:tc>
        <w:tc>
          <w:tcPr>
            <w:tcW w:w="2126" w:type="dxa"/>
            <w:vAlign w:val="center"/>
          </w:tcPr>
          <w:p>
            <w:pPr>
              <w:pStyle w:val="14"/>
            </w:pPr>
            <w:r>
              <w:t>副处（县）级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14244"/>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按照预算管理有关规定，目前部门预算的编制实行综合预算管理，即全部收入和支出都反映在预算中。衡水市桃城区人民法院机关及所属事业单位的收支包含在部门预算中。</w:t>
      </w:r>
    </w:p>
    <w:p>
      <w:pPr>
        <w:pStyle w:val="19"/>
      </w:pPr>
      <w:r>
        <w:t>1、收入说明</w:t>
      </w:r>
    </w:p>
    <w:p>
      <w:pPr>
        <w:pStyle w:val="19"/>
      </w:pPr>
      <w:r>
        <w:t>反映本部门当年全部收入。2024年预算收入5093.33万元，其中：一般公共预算收入4899.80万元，基金预算收入0.00万元，国有资本经营预算收入0.00万元，财政专户核拨收入0.00万元，单位资金收入0.00万元，上年结转结余193.53万元。</w:t>
      </w:r>
    </w:p>
    <w:p>
      <w:pPr>
        <w:pStyle w:val="19"/>
      </w:pPr>
      <w:r>
        <w:t>2、支出说明</w:t>
      </w:r>
    </w:p>
    <w:p>
      <w:pPr>
        <w:pStyle w:val="19"/>
      </w:pPr>
      <w:r>
        <w:t>收支预算总表支出栏、基本支出表、项目支出表按经济分类和支出功能分类科目编制，反映衡水市桃城区人民法院年度部门预算中支出预算的总体情况。2024年支出预算5093.33万元，其中基本支出2928.44万元，包括人员经费2648.17万元和日常公用经费280.27万元；项目支出2164.89万元，主要为上级转移支付资金、运行保障及办案业务经费、劳务派遣人员经费等。</w:t>
      </w:r>
    </w:p>
    <w:p>
      <w:pPr>
        <w:pStyle w:val="19"/>
      </w:pPr>
      <w:r>
        <w:t>3、比上年增减情况</w:t>
      </w:r>
    </w:p>
    <w:p>
      <w:pPr>
        <w:pStyle w:val="19"/>
      </w:pPr>
      <w:r>
        <w:t>2024年预算收支安排5093.33万元，较2023年预算增加1303.75万元，其中：基本支出增加193.93万元，主要为</w:t>
      </w:r>
      <w:r>
        <w:rPr>
          <w:rFonts w:hint="eastAsia"/>
          <w:lang w:val="en-US" w:eastAsia="zh-CN"/>
        </w:rPr>
        <w:t>2</w:t>
      </w:r>
      <w:r>
        <w:t>024年预算人员经费增加工资及五险一金预留。项目支出增加1109.82万元，主要为将上级转移支付结转资金列入预算，增加本年上级转移支付资金、运行保障及办案业务经费项目。</w:t>
      </w:r>
    </w:p>
    <w:p>
      <w:pPr>
        <w:spacing w:before="10" w:after="10" w:line="360" w:lineRule="auto"/>
        <w:ind w:firstLine="640"/>
        <w:jc w:val="left"/>
        <w:outlineLvl w:val="2"/>
      </w:pPr>
      <w:bookmarkStart w:id="11" w:name="_Toc19815"/>
      <w:r>
        <w:rPr>
          <w:rFonts w:ascii="黑体" w:hAnsi="黑体" w:eastAsia="黑体" w:cs="黑体"/>
          <w:color w:val="000000"/>
          <w:sz w:val="32"/>
        </w:rPr>
        <w:t>三、机关运行经费安排情况</w:t>
      </w:r>
      <w:bookmarkEnd w:id="11"/>
    </w:p>
    <w:p>
      <w:pPr>
        <w:pStyle w:val="20"/>
      </w:pPr>
      <w:r>
        <w:t>2024年，我部门机关运行经费共计安排280.27万元，主要用于日常维修、办公用房水电费、办公用房取暖费、办公用房物业管理费等日常运行支出。</w:t>
      </w:r>
    </w:p>
    <w:p>
      <w:pPr>
        <w:spacing w:before="10" w:after="10" w:line="360" w:lineRule="auto"/>
        <w:ind w:firstLine="640"/>
        <w:jc w:val="left"/>
        <w:outlineLvl w:val="2"/>
      </w:pPr>
      <w:bookmarkStart w:id="12" w:name="_Toc9902"/>
      <w:r>
        <w:rPr>
          <w:rFonts w:ascii="黑体" w:hAnsi="黑体" w:eastAsia="黑体" w:cs="黑体"/>
          <w:color w:val="000000"/>
          <w:sz w:val="32"/>
        </w:rPr>
        <w:t>四、财政拨款“三公”经费预算情况及增减变化原因</w:t>
      </w:r>
      <w:bookmarkEnd w:id="12"/>
    </w:p>
    <w:p>
      <w:pPr>
        <w:pStyle w:val="21"/>
        <w:rPr>
          <w:rFonts w:hint="eastAsia"/>
          <w:lang w:eastAsia="zh-CN"/>
        </w:rPr>
      </w:pPr>
      <w:r>
        <w:t>2024年，我部门财政拨款“三公”经费预算安排</w:t>
      </w:r>
      <w:r>
        <w:rPr>
          <w:rFonts w:hint="eastAsia"/>
          <w:lang w:val="en-US" w:eastAsia="zh-CN"/>
        </w:rPr>
        <w:t>67.70</w:t>
      </w:r>
      <w:r>
        <w:t>万元，其中因公出国（境）费0</w:t>
      </w:r>
      <w:r>
        <w:rPr>
          <w:rFonts w:hint="eastAsia"/>
          <w:lang w:val="en-US" w:eastAsia="zh-CN"/>
        </w:rPr>
        <w:t>.00</w:t>
      </w:r>
      <w:r>
        <w:t>万元；公务用车购置及运维费</w:t>
      </w:r>
      <w:r>
        <w:rPr>
          <w:rFonts w:hint="eastAsia"/>
          <w:lang w:val="en-US" w:eastAsia="zh-CN"/>
        </w:rPr>
        <w:t>67</w:t>
      </w:r>
      <w:bookmarkStart w:id="21" w:name="_GoBack"/>
      <w:bookmarkEnd w:id="21"/>
      <w:r>
        <w:rPr>
          <w:rFonts w:hint="eastAsia"/>
          <w:lang w:val="en-US" w:eastAsia="zh-CN"/>
        </w:rPr>
        <w:t>.70</w:t>
      </w:r>
      <w:r>
        <w:t>万元（其中：公务用车购置费为</w:t>
      </w:r>
      <w:r>
        <w:rPr>
          <w:rFonts w:hint="eastAsia"/>
          <w:lang w:val="en-US" w:eastAsia="zh-CN"/>
        </w:rPr>
        <w:t>30.00</w:t>
      </w:r>
      <w:r>
        <w:t>万元，公务用车运维费</w:t>
      </w:r>
      <w:r>
        <w:rPr>
          <w:rFonts w:hint="eastAsia"/>
          <w:lang w:val="en-US" w:eastAsia="zh-CN"/>
        </w:rPr>
        <w:t>37.70</w:t>
      </w:r>
      <w:r>
        <w:t>万元)；公务接待费0</w:t>
      </w:r>
      <w:r>
        <w:rPr>
          <w:rFonts w:hint="eastAsia"/>
          <w:lang w:val="en-US" w:eastAsia="zh-CN"/>
        </w:rPr>
        <w:t>.00</w:t>
      </w:r>
      <w:r>
        <w:t>万元。与2023年相比增加</w:t>
      </w:r>
      <w:r>
        <w:rPr>
          <w:rFonts w:hint="eastAsia"/>
          <w:lang w:val="en-US" w:eastAsia="zh-CN"/>
        </w:rPr>
        <w:t>67.70</w:t>
      </w:r>
      <w:r>
        <w:t>万元，增减变化的主要原因是</w:t>
      </w:r>
      <w:r>
        <w:rPr>
          <w:rFonts w:hint="eastAsia"/>
          <w:lang w:eastAsia="zh-CN"/>
        </w:rPr>
        <w:t>：</w:t>
      </w:r>
    </w:p>
    <w:p>
      <w:pPr>
        <w:pStyle w:val="21"/>
      </w:pPr>
      <w:r>
        <w:t>因公出国（境）费较上年持平，无增减变化。</w:t>
      </w:r>
    </w:p>
    <w:p>
      <w:pPr>
        <w:pStyle w:val="21"/>
      </w:pPr>
      <w:r>
        <w:t>公务用车购置及运维费，较上年增加67.70万元，主要是因为上年年初预算项目不包含上级转移支付项目，而公务用车购置及运维费列支在上级转移支付资金项目中，（其中：公务用车购置费较上年增加30万元，主要是因为上年年初预算项目不包含上级转移支付项目，而公务用车购置费用列支在上级转移支付资金项目中；公务用车运行维护费，较上年增加37.70万元，主要是因为上年年初预算项目不包含上级转移支付项目，而公务用车运维费列支在上级转移支付资金项目中)；</w:t>
      </w:r>
    </w:p>
    <w:p>
      <w:pPr>
        <w:pStyle w:val="21"/>
      </w:pPr>
      <w:r>
        <w:t>公务接待费较上年持平，无增减变化。</w:t>
      </w:r>
    </w:p>
    <w:p>
      <w:pPr>
        <w:spacing w:before="10" w:after="10" w:line="360" w:lineRule="auto"/>
        <w:ind w:firstLine="640"/>
        <w:jc w:val="left"/>
        <w:outlineLvl w:val="2"/>
      </w:pPr>
      <w:bookmarkStart w:id="13" w:name="_Toc16916"/>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按照上级法院和区委、政府要求，完成2024年审判执行工作任务，预计审执结案件1.5万件左右。</w:t>
      </w:r>
    </w:p>
    <w:p>
      <w:pPr>
        <w:pStyle w:val="22"/>
      </w:pPr>
      <w:r>
        <w:t>认真贯彻落实习近平新时代中国特色社会主义思想和党的二十大精神，紧紧围绕“让人民群众在每一个司法案件中感受到公平正义”的目标，不断强化审执主业，落实司法改革举措，尽职履责，勇于担当，全面贯彻新发展理念，公正司法、司法为民，维护稳定、服务大局，为新时代经济强区、美丽桃城建设提供强有力的司法保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val="en-US" w:eastAsia="zh-CN"/>
        </w:rPr>
        <w:t>1.</w:t>
      </w:r>
      <w:r>
        <w:t>案件审判管理和执行</w:t>
      </w:r>
    </w:p>
    <w:p>
      <w:pPr>
        <w:pStyle w:val="23"/>
      </w:pPr>
      <w:r>
        <w:t>依法审判法律规定由桃城区人民法院管辖的刑事、民事、行政等案件，依法办理发生法律效力判决、其他法律文书的执行，做好审判工作。</w:t>
      </w:r>
    </w:p>
    <w:p>
      <w:pPr>
        <w:pStyle w:val="23"/>
      </w:pPr>
      <w:r>
        <w:rPr>
          <w:rFonts w:hint="eastAsia"/>
          <w:lang w:eastAsia="zh-CN"/>
        </w:rPr>
        <w:t>（</w:t>
      </w:r>
      <w:r>
        <w:t>1</w:t>
      </w:r>
      <w:r>
        <w:rPr>
          <w:rFonts w:hint="eastAsia"/>
          <w:lang w:eastAsia="zh-CN"/>
        </w:rPr>
        <w:t>）</w:t>
      </w:r>
      <w:r>
        <w:t>案件审判：</w:t>
      </w:r>
    </w:p>
    <w:p>
      <w:pPr>
        <w:pStyle w:val="23"/>
      </w:pPr>
      <w:r>
        <w:t>依法惩治刑事犯罪，监督行政机关依法行政，促进社会和谐，维护社会稳定，服务全县工作大局，发挥服务保障职能。</w:t>
      </w:r>
    </w:p>
    <w:p>
      <w:pPr>
        <w:pStyle w:val="23"/>
      </w:pPr>
      <w:r>
        <w:rPr>
          <w:rFonts w:hint="eastAsia"/>
          <w:lang w:eastAsia="zh-CN"/>
        </w:rPr>
        <w:t>一是</w:t>
      </w:r>
      <w:r>
        <w:t>刑事审判：打击犯罪，维护地方稳定，特别是侵犯人身权、财产权犯罪行为、破坏市场经济行为的犯罪；积极配合反腐高压形势，重点打击职务犯罪行为。</w:t>
      </w:r>
    </w:p>
    <w:p>
      <w:pPr>
        <w:pStyle w:val="23"/>
      </w:pPr>
      <w:r>
        <w:rPr>
          <w:rFonts w:hint="eastAsia"/>
          <w:lang w:eastAsia="zh-CN"/>
        </w:rPr>
        <w:t>二是</w:t>
      </w:r>
      <w:r>
        <w:t>民事审判：稳妥审理好传统民事案件，解决好婚姻家庭、邻里纠纷等民间矛盾纠纷，依法妥善审理劳动就业、社会保障、农民工工资等民生领域的各类案件，保护好社会弱势群体的合法权益。通过商事案件的审理保障了我区社会经济结构调整的顺利进行，保障地方经济发展。</w:t>
      </w:r>
    </w:p>
    <w:p>
      <w:pPr>
        <w:pStyle w:val="23"/>
      </w:pPr>
      <w:r>
        <w:rPr>
          <w:rFonts w:hint="eastAsia"/>
          <w:lang w:eastAsia="zh-CN"/>
        </w:rPr>
        <w:t>三是</w:t>
      </w:r>
      <w:r>
        <w:t>行政审判：注重保护行政相对人的合法权益，促进干群关系和谐相处，做到行政审判法律效果与政治效果的高度统一。通过前往有关行政单位进行执法授课、邀请执法人员旁听庭审等形式，提高行政执法人员法律素质，促进行政机关依法行政。</w:t>
      </w:r>
    </w:p>
    <w:p>
      <w:pPr>
        <w:pStyle w:val="23"/>
      </w:pPr>
      <w:r>
        <w:rPr>
          <w:rFonts w:hint="eastAsia"/>
          <w:lang w:eastAsia="zh-CN"/>
        </w:rPr>
        <w:t>（</w:t>
      </w:r>
      <w:r>
        <w:t>2</w:t>
      </w:r>
      <w:r>
        <w:rPr>
          <w:rFonts w:hint="eastAsia"/>
          <w:lang w:eastAsia="zh-CN"/>
        </w:rPr>
        <w:t>）</w:t>
      </w:r>
      <w:r>
        <w:t>案件判决执行：</w:t>
      </w:r>
    </w:p>
    <w:p>
      <w:pPr>
        <w:pStyle w:val="23"/>
      </w:pPr>
      <w:r>
        <w:t>对执行队伍实行集约化管理，提高执行工作效率。积极利用网络执行查控等措施，实现法院与主要金融机构之间的信息互通，通过失信被执行人名单推送、严厉打击拒不执行的“老赖”行为，促使其自动履行。执结一批涉案多年的“骨头”案和积压案，最大限度地保护申请执行人的合法权益，维护司法权威。</w:t>
      </w:r>
    </w:p>
    <w:p>
      <w:pPr>
        <w:pStyle w:val="23"/>
      </w:pPr>
      <w:r>
        <w:t>全面提升案件质效，包括院领导在内的员额法官全部纳入分案系统，承担一线办案任务。建立法官专业会议制度，统一法律适用和裁判尺度，指导审判实践。深入推进以审判为中心的刑事诉讼制度改革，防止冤假错案的发生。</w:t>
      </w:r>
    </w:p>
    <w:p>
      <w:pPr>
        <w:pStyle w:val="23"/>
      </w:pPr>
      <w:r>
        <w:rPr>
          <w:rFonts w:hint="eastAsia"/>
          <w:lang w:val="en-US" w:eastAsia="zh-CN"/>
        </w:rPr>
        <w:t>2.</w:t>
      </w:r>
      <w:r>
        <w:t>司法救助和国家赔偿</w:t>
      </w:r>
    </w:p>
    <w:p>
      <w:pPr>
        <w:pStyle w:val="23"/>
      </w:pPr>
      <w:r>
        <w:t>完成涉法涉诉类案件的息诉罢访工作，依法办理国家赔偿案件。</w:t>
      </w:r>
    </w:p>
    <w:p>
      <w:pPr>
        <w:pStyle w:val="23"/>
      </w:pPr>
      <w:r>
        <w:rPr>
          <w:rFonts w:hint="eastAsia"/>
          <w:lang w:eastAsia="zh-CN"/>
        </w:rPr>
        <w:t>（</w:t>
      </w:r>
      <w:r>
        <w:t>1</w:t>
      </w:r>
      <w:r>
        <w:rPr>
          <w:rFonts w:hint="eastAsia"/>
          <w:lang w:eastAsia="zh-CN"/>
        </w:rPr>
        <w:t>）</w:t>
      </w:r>
      <w:r>
        <w:t>涉法涉诉工作。完成涉法涉诉类上访案件的息诉罢访工作，做好“两会”、重大活动期间的维稳工作，接待分流越级上访人员、协助处理到上级法院的集体访和闹访人员的稳控遣返工作。</w:t>
      </w:r>
    </w:p>
    <w:p>
      <w:pPr>
        <w:pStyle w:val="23"/>
      </w:pPr>
      <w:r>
        <w:rPr>
          <w:rFonts w:hint="eastAsia"/>
          <w:lang w:eastAsia="zh-CN"/>
        </w:rPr>
        <w:t>（</w:t>
      </w:r>
      <w:r>
        <w:t>2</w:t>
      </w:r>
      <w:r>
        <w:rPr>
          <w:rFonts w:hint="eastAsia"/>
          <w:lang w:eastAsia="zh-CN"/>
        </w:rPr>
        <w:t>）</w:t>
      </w:r>
      <w:r>
        <w:t>司法救助。对受到侵害但无法获得有效赔偿的当事人给予资助。主要包括以下几类当事人：一是没有固定生活来源的老、弱、病、残等，二是正在享受最低生活保障、农村特困户救济或领取失业金，无其他收入的，三是因不可抗力的造成生活困难正在接受国家救济的，四是对于道路交通事故等民事侵权行为造成人身伤害，无法经过诉讼获得赔偿，造成生活困难的。另外在追索赡养费、抚养费、抚育费的执行案件中，因被执行人没有履行能力，造成申请执行人生活困难的，也需救助。</w:t>
      </w:r>
    </w:p>
    <w:p>
      <w:pPr>
        <w:pStyle w:val="23"/>
      </w:pPr>
      <w:r>
        <w:rPr>
          <w:rFonts w:hint="eastAsia"/>
          <w:lang w:eastAsia="zh-CN"/>
        </w:rPr>
        <w:t>（</w:t>
      </w:r>
      <w:r>
        <w:t>3</w:t>
      </w:r>
      <w:r>
        <w:rPr>
          <w:rFonts w:hint="eastAsia"/>
          <w:lang w:eastAsia="zh-CN"/>
        </w:rPr>
        <w:t>）</w:t>
      </w:r>
      <w:r>
        <w:t xml:space="preserve">国家赔偿  </w:t>
      </w:r>
    </w:p>
    <w:p>
      <w:pPr>
        <w:pStyle w:val="23"/>
      </w:pPr>
      <w:r>
        <w:t>依法办理国家赔偿案件，执行赔偿委员会决定事项，审查处理赔偿告诉申诉案件。主要工作包括调查、取证，审理。保障被侵害人的合法权益，促进行政机关依法行政。</w:t>
      </w:r>
    </w:p>
    <w:p>
      <w:pPr>
        <w:pStyle w:val="23"/>
      </w:pPr>
      <w:r>
        <w:rPr>
          <w:rFonts w:hint="eastAsia"/>
          <w:lang w:val="en-US" w:eastAsia="zh-CN"/>
        </w:rPr>
        <w:t>3.</w:t>
      </w:r>
      <w:r>
        <w:t>法院事务管理</w:t>
      </w:r>
    </w:p>
    <w:p>
      <w:pPr>
        <w:pStyle w:val="23"/>
      </w:pPr>
      <w:r>
        <w:t>全力推进信息化，构建新型智慧法院。一是要进一步推进电子诉讼平台发展，坚持问题导向和需求牵引，面向群众，全方位提升电子诉讼的应用范围。二是全面推进司法数据资源的开发利用，充分发挥审执业务、审判管理等各部门优势，形成有效合力，做好司法大数据统计、分析工作。三是着力提升干警信息化应用水平，实现法院核心业务全部网上办理，推进信息技术对人民法院工作全覆盖。</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1.精准发力强职能，提升司法服务水平</w:t>
      </w:r>
    </w:p>
    <w:p>
      <w:pPr>
        <w:pStyle w:val="24"/>
      </w:pPr>
      <w:r>
        <w:t>一是全面贯彻实施宪法，结合法院工作实际，深入开展宪法教育活动，弘扬宪法精神。二是推进扫黑除恶斗争向纵深发展，在对涉黑恶势力打击遏制的基础上，深挖根治，铲除“保护伞”，净化社会环境。三是充分发挥司法审判职能作用，服务支持供给侧结构性改革，营造法治营商环境，促进民营经济发展。四是推进法治社会建设，支持行政机关规范执法，加强对民生类案件的审执，维护妇女儿童等弱势群体的合法权益，做实做细社会稳定工作。五是加大执行力度，巩固既有成绩的同时，继续创新机制，不断完善联合惩戒体系，构建综合治理大格局。</w:t>
      </w:r>
    </w:p>
    <w:p>
      <w:pPr>
        <w:pStyle w:val="24"/>
      </w:pPr>
    </w:p>
    <w:p>
      <w:pPr>
        <w:pStyle w:val="24"/>
      </w:pPr>
      <w:r>
        <w:t>2.深化改革促审判，全面提高审执质效</w:t>
      </w:r>
    </w:p>
    <w:p>
      <w:pPr>
        <w:pStyle w:val="24"/>
      </w:pPr>
      <w:r>
        <w:t>一是进一步深化司法改革，积极探索综合配套改革制度，以更高的站位、更大的力度把新时代法院改革推向深入。二是强化司法监督管理，探索更加科学系统的审判监督管理体系，确保法官在监督体系下依法行使审判权。三是以司法审判为保障，完善多元化纠化解机制，实现纠纷诉中、诉外的有机分流，真正体现司法为民宗旨。</w:t>
      </w:r>
    </w:p>
    <w:p>
      <w:pPr>
        <w:pStyle w:val="24"/>
      </w:pPr>
    </w:p>
    <w:p>
      <w:pPr>
        <w:pStyle w:val="24"/>
      </w:pPr>
      <w:r>
        <w:t>3.全力推进信息化，构建新型智慧法院</w:t>
      </w:r>
    </w:p>
    <w:p>
      <w:pPr>
        <w:pStyle w:val="24"/>
        <w:sectPr>
          <w:pgSz w:w="16840" w:h="11900" w:orient="landscape"/>
          <w:pgMar w:top="1361" w:right="1020" w:bottom="1361" w:left="1020" w:header="720" w:footer="720" w:gutter="0"/>
          <w:cols w:space="720" w:num="1"/>
        </w:sectPr>
      </w:pPr>
      <w:r>
        <w:t>一是要进一步推进电子诉讼平台发展，坚持问题导向和需求牵引，面向群众，全方位提升电子诉讼的应用范围。二是全面推进司法数据资源的开发利用，充分发挥审执业务、审判管理等各部门优势，形成有效合力，做好司法大数据统计、分析工作。三是着力提升干警信息化应用水平，实现法院核心业务全部网上办理，推进信息技术对人民法院工作全覆盖。</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21851"/>
      <w:r>
        <w:rPr>
          <w:rFonts w:ascii="黑体" w:hAnsi="黑体" w:eastAsia="黑体" w:cs="黑体"/>
          <w:color w:val="000000"/>
          <w:sz w:val="32"/>
        </w:rPr>
        <w:t>部门主管专项资金预算安排情况及绩效目标</w:t>
      </w:r>
      <w:bookmarkEnd w:id="14"/>
    </w:p>
    <w:p>
      <w:pPr>
        <w:numPr>
          <w:ilvl w:val="0"/>
          <w:numId w:val="0"/>
        </w:numPr>
        <w:spacing w:before="10" w:after="10" w:line="360" w:lineRule="auto"/>
        <w:ind w:firstLine="1280" w:firstLineChars="4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bookmarkStart w:id="15" w:name="_Toc6540"/>
      <w:r>
        <w:rPr>
          <w:rFonts w:hint="eastAsia" w:ascii="黑体" w:hAnsi="黑体" w:eastAsia="黑体" w:cs="黑体"/>
          <w:color w:val="000000"/>
          <w:sz w:val="32"/>
          <w:lang w:eastAsia="zh-CN"/>
        </w:rPr>
        <w:t>无。</w:t>
      </w:r>
      <w:bookmarkEnd w:id="15"/>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6" w:name="_Toc1947"/>
      <w:r>
        <w:rPr>
          <w:rFonts w:ascii="黑体" w:hAnsi="黑体" w:eastAsia="黑体" w:cs="黑体"/>
          <w:color w:val="000000"/>
          <w:sz w:val="32"/>
        </w:rPr>
        <w:t>七、部门项目预算安排情况及绩效目标</w:t>
      </w:r>
      <w:bookmarkEnd w:id="16"/>
    </w:p>
    <w:p>
      <w:pPr>
        <w:spacing w:before="0" w:after="0"/>
        <w:ind w:firstLine="560"/>
        <w:jc w:val="left"/>
        <w:outlineLvl w:val="9"/>
      </w:pPr>
      <w:r>
        <w:rPr>
          <w:rFonts w:ascii="方正仿宋_GBK" w:hAnsi="方正仿宋_GBK" w:eastAsia="方正仿宋_GBK" w:cs="方正仿宋_GBK"/>
          <w:color w:val="000000"/>
          <w:sz w:val="28"/>
        </w:rPr>
        <w:t>1、2023年法院建设补助资金绩效目标表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13110023P00713210227E</w:t>
            </w:r>
          </w:p>
        </w:tc>
        <w:tc>
          <w:tcPr>
            <w:tcW w:w="2835" w:type="dxa"/>
            <w:vAlign w:val="center"/>
          </w:tcPr>
          <w:p>
            <w:pPr>
              <w:pStyle w:val="11"/>
            </w:pPr>
            <w:r>
              <w:t>项目名称</w:t>
            </w:r>
          </w:p>
        </w:tc>
        <w:tc>
          <w:tcPr>
            <w:tcW w:w="6094" w:type="dxa"/>
            <w:gridSpan w:val="3"/>
            <w:vAlign w:val="center"/>
          </w:tcPr>
          <w:p>
            <w:pPr>
              <w:pStyle w:val="13"/>
            </w:pPr>
            <w:r>
              <w:t>2023年法院建设补助资金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110.07</w:t>
            </w:r>
          </w:p>
        </w:tc>
        <w:tc>
          <w:tcPr>
            <w:tcW w:w="2835" w:type="dxa"/>
            <w:vAlign w:val="center"/>
          </w:tcPr>
          <w:p>
            <w:pPr>
              <w:pStyle w:val="11"/>
            </w:pPr>
            <w:r>
              <w:t>其中：财政    资金</w:t>
            </w:r>
          </w:p>
        </w:tc>
        <w:tc>
          <w:tcPr>
            <w:tcW w:w="2551" w:type="dxa"/>
            <w:vAlign w:val="center"/>
          </w:tcPr>
          <w:p>
            <w:pPr>
              <w:pStyle w:val="13"/>
            </w:pPr>
            <w:r>
              <w:t>110.07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妥善审理经济转型过程中印发的各类矛盾纠纷，依法维护国家安全和社会稳定，严惩各类严重刑事犯罪，积极推挤平安社区建设，营造良好的法制环境。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3"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1.妥善审理经济转型过程中印发的各类矛盾纠纷，依法维护国家安全和社会稳定，严惩各类严重刑事犯罪，积极推挤平安社区建设，营造良好的法制环境。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监管系统重大保障处理响应时间</w:t>
            </w:r>
          </w:p>
        </w:tc>
        <w:tc>
          <w:tcPr>
            <w:tcW w:w="5386" w:type="dxa"/>
            <w:vAlign w:val="center"/>
          </w:tcPr>
          <w:p>
            <w:pPr>
              <w:pStyle w:val="13"/>
            </w:pPr>
            <w:r>
              <w:t>监管系统重大保障处理响应时间</w:t>
            </w:r>
          </w:p>
        </w:tc>
        <w:tc>
          <w:tcPr>
            <w:tcW w:w="2268" w:type="dxa"/>
            <w:vAlign w:val="center"/>
          </w:tcPr>
          <w:p>
            <w:pPr>
              <w:pStyle w:val="13"/>
            </w:pPr>
            <w:r>
              <w:t>≥95%</w:t>
            </w:r>
          </w:p>
        </w:tc>
        <w:tc>
          <w:tcPr>
            <w:tcW w:w="1276" w:type="dxa"/>
            <w:vAlign w:val="center"/>
          </w:tcPr>
          <w:p>
            <w:pPr>
              <w:pStyle w:val="13"/>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≥95%</w:t>
            </w:r>
          </w:p>
        </w:tc>
        <w:tc>
          <w:tcPr>
            <w:tcW w:w="1276" w:type="dxa"/>
            <w:vAlign w:val="center"/>
          </w:tcPr>
          <w:p>
            <w:pPr>
              <w:pStyle w:val="13"/>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案件结案率(%)</w:t>
            </w:r>
          </w:p>
        </w:tc>
        <w:tc>
          <w:tcPr>
            <w:tcW w:w="5386" w:type="dxa"/>
            <w:vAlign w:val="center"/>
          </w:tcPr>
          <w:p>
            <w:pPr>
              <w:pStyle w:val="13"/>
            </w:pPr>
            <w:r>
              <w:t>案件判决数与审判案件的比率</w:t>
            </w:r>
          </w:p>
        </w:tc>
        <w:tc>
          <w:tcPr>
            <w:tcW w:w="2268" w:type="dxa"/>
            <w:vAlign w:val="center"/>
          </w:tcPr>
          <w:p>
            <w:pPr>
              <w:pStyle w:val="13"/>
            </w:pPr>
            <w:r>
              <w:t>≥85%</w:t>
            </w:r>
          </w:p>
        </w:tc>
        <w:tc>
          <w:tcPr>
            <w:tcW w:w="1276" w:type="dxa"/>
            <w:vAlign w:val="center"/>
          </w:tcPr>
          <w:p>
            <w:pPr>
              <w:pStyle w:val="13"/>
            </w:pPr>
            <w:r>
              <w:t>案件判决数与审判案件的比率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群众来访接待率</w:t>
            </w:r>
          </w:p>
        </w:tc>
        <w:tc>
          <w:tcPr>
            <w:tcW w:w="5386" w:type="dxa"/>
            <w:vAlign w:val="center"/>
          </w:tcPr>
          <w:p>
            <w:pPr>
              <w:pStyle w:val="13"/>
            </w:pPr>
            <w:r>
              <w:t>群众来访接待率</w:t>
            </w:r>
          </w:p>
        </w:tc>
        <w:tc>
          <w:tcPr>
            <w:tcW w:w="2268" w:type="dxa"/>
            <w:vAlign w:val="center"/>
          </w:tcPr>
          <w:p>
            <w:pPr>
              <w:pStyle w:val="13"/>
            </w:pPr>
            <w:r>
              <w:t>≥95%</w:t>
            </w:r>
          </w:p>
        </w:tc>
        <w:tc>
          <w:tcPr>
            <w:tcW w:w="1276" w:type="dxa"/>
            <w:vAlign w:val="center"/>
          </w:tcPr>
          <w:p>
            <w:pPr>
              <w:pStyle w:val="13"/>
            </w:pPr>
            <w:r>
              <w:t>群众来访接待率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持续促进政务信息队伍建设</w:t>
            </w:r>
          </w:p>
        </w:tc>
        <w:tc>
          <w:tcPr>
            <w:tcW w:w="5386" w:type="dxa"/>
            <w:vAlign w:val="center"/>
          </w:tcPr>
          <w:p>
            <w:pPr>
              <w:pStyle w:val="13"/>
            </w:pPr>
            <w:r>
              <w:t>持续促进政务信息队伍建设</w:t>
            </w:r>
          </w:p>
        </w:tc>
        <w:tc>
          <w:tcPr>
            <w:tcW w:w="2268" w:type="dxa"/>
            <w:vAlign w:val="center"/>
          </w:tcPr>
          <w:p>
            <w:pPr>
              <w:pStyle w:val="13"/>
            </w:pPr>
            <w:r>
              <w:t>≥95%</w:t>
            </w:r>
          </w:p>
        </w:tc>
        <w:tc>
          <w:tcPr>
            <w:tcW w:w="1276" w:type="dxa"/>
            <w:vAlign w:val="center"/>
          </w:tcPr>
          <w:p>
            <w:pPr>
              <w:pStyle w:val="13"/>
            </w:pPr>
            <w:r>
              <w:t>持续促进政务信息队伍建设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保障相关业务、工作等开展的情况</w:t>
            </w:r>
          </w:p>
        </w:tc>
        <w:tc>
          <w:tcPr>
            <w:tcW w:w="2268" w:type="dxa"/>
            <w:vAlign w:val="center"/>
          </w:tcPr>
          <w:p>
            <w:pPr>
              <w:pStyle w:val="13"/>
            </w:pPr>
            <w:r>
              <w:t>≥95%</w:t>
            </w:r>
          </w:p>
        </w:tc>
        <w:tc>
          <w:tcPr>
            <w:tcW w:w="1276" w:type="dxa"/>
            <w:vAlign w:val="center"/>
          </w:tcPr>
          <w:p>
            <w:pPr>
              <w:pStyle w:val="13"/>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案件调解率</w:t>
            </w:r>
          </w:p>
        </w:tc>
        <w:tc>
          <w:tcPr>
            <w:tcW w:w="5386" w:type="dxa"/>
            <w:vAlign w:val="center"/>
          </w:tcPr>
          <w:p>
            <w:pPr>
              <w:pStyle w:val="13"/>
            </w:pPr>
            <w:r>
              <w:t>案件调解率</w:t>
            </w:r>
          </w:p>
        </w:tc>
        <w:tc>
          <w:tcPr>
            <w:tcW w:w="2268" w:type="dxa"/>
            <w:vAlign w:val="center"/>
          </w:tcPr>
          <w:p>
            <w:pPr>
              <w:pStyle w:val="13"/>
            </w:pPr>
            <w:r>
              <w:t>≥20%</w:t>
            </w:r>
          </w:p>
        </w:tc>
        <w:tc>
          <w:tcPr>
            <w:tcW w:w="1276" w:type="dxa"/>
            <w:vAlign w:val="center"/>
          </w:tcPr>
          <w:p>
            <w:pPr>
              <w:pStyle w:val="13"/>
            </w:pPr>
            <w:r>
              <w:t>案件调解率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加强节约集约利用，促进生态文明建设</w:t>
            </w:r>
          </w:p>
        </w:tc>
        <w:tc>
          <w:tcPr>
            <w:tcW w:w="5386" w:type="dxa"/>
            <w:vAlign w:val="center"/>
          </w:tcPr>
          <w:p>
            <w:pPr>
              <w:pStyle w:val="13"/>
            </w:pPr>
            <w:r>
              <w:t>加强节约集约利用，促进生态文明建设</w:t>
            </w:r>
          </w:p>
        </w:tc>
        <w:tc>
          <w:tcPr>
            <w:tcW w:w="2268" w:type="dxa"/>
            <w:vAlign w:val="center"/>
          </w:tcPr>
          <w:p>
            <w:pPr>
              <w:pStyle w:val="13"/>
            </w:pPr>
            <w:r>
              <w:t>≥95%</w:t>
            </w:r>
          </w:p>
        </w:tc>
        <w:tc>
          <w:tcPr>
            <w:tcW w:w="1276" w:type="dxa"/>
            <w:vAlign w:val="center"/>
          </w:tcPr>
          <w:p>
            <w:pPr>
              <w:pStyle w:val="13"/>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受益群众满意度调查</w:t>
            </w:r>
          </w:p>
        </w:tc>
        <w:tc>
          <w:tcPr>
            <w:tcW w:w="5386" w:type="dxa"/>
            <w:vAlign w:val="center"/>
          </w:tcPr>
          <w:p>
            <w:pPr>
              <w:pStyle w:val="13"/>
            </w:pPr>
            <w:r>
              <w:t>受益群众满意度调查</w:t>
            </w:r>
          </w:p>
        </w:tc>
        <w:tc>
          <w:tcPr>
            <w:tcW w:w="2268" w:type="dxa"/>
            <w:vAlign w:val="center"/>
          </w:tcPr>
          <w:p>
            <w:pPr>
              <w:pStyle w:val="13"/>
            </w:pPr>
            <w:r>
              <w:t>≥95%</w:t>
            </w:r>
          </w:p>
        </w:tc>
        <w:tc>
          <w:tcPr>
            <w:tcW w:w="1276" w:type="dxa"/>
            <w:vAlign w:val="center"/>
          </w:tcPr>
          <w:p>
            <w:pPr>
              <w:pStyle w:val="13"/>
            </w:pPr>
            <w:r>
              <w:t>受益群众满意度调查</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2、2023年省级基层公检法司转移支付资金绩效目标表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13110023P00713210226T</w:t>
            </w:r>
          </w:p>
        </w:tc>
        <w:tc>
          <w:tcPr>
            <w:tcW w:w="2835" w:type="dxa"/>
            <w:vAlign w:val="center"/>
          </w:tcPr>
          <w:p>
            <w:pPr>
              <w:pStyle w:val="11"/>
            </w:pPr>
            <w:r>
              <w:t>项目名称</w:t>
            </w:r>
          </w:p>
        </w:tc>
        <w:tc>
          <w:tcPr>
            <w:tcW w:w="6094" w:type="dxa"/>
            <w:gridSpan w:val="3"/>
            <w:vAlign w:val="center"/>
          </w:tcPr>
          <w:p>
            <w:pPr>
              <w:pStyle w:val="13"/>
            </w:pPr>
            <w:r>
              <w:t>2023年省级基层公检法司转移支付资金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58.67</w:t>
            </w:r>
          </w:p>
        </w:tc>
        <w:tc>
          <w:tcPr>
            <w:tcW w:w="2835" w:type="dxa"/>
            <w:vAlign w:val="center"/>
          </w:tcPr>
          <w:p>
            <w:pPr>
              <w:pStyle w:val="11"/>
            </w:pPr>
            <w:r>
              <w:t>其中：财政    资金</w:t>
            </w:r>
          </w:p>
        </w:tc>
        <w:tc>
          <w:tcPr>
            <w:tcW w:w="2551" w:type="dxa"/>
            <w:vAlign w:val="center"/>
          </w:tcPr>
          <w:p>
            <w:pPr>
              <w:pStyle w:val="13"/>
            </w:pPr>
            <w:r>
              <w:t>58.67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妥善审理经济转型过程中印发的各类矛盾纠纷，依法维护国家安全和社会稳定，严惩各类严重刑事犯罪，积极推挤平安社区建设，营造良好的法制环境。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3"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1.妥善审理经济转型过程中印发的各类矛盾纠纷，依法维护国家安全和社会稳定，严惩各类严重刑事犯罪，积极推挤平安社区建设，营造良好的法制环境。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监管系统重大保障处理响应时间</w:t>
            </w:r>
          </w:p>
        </w:tc>
        <w:tc>
          <w:tcPr>
            <w:tcW w:w="5386" w:type="dxa"/>
            <w:vAlign w:val="center"/>
          </w:tcPr>
          <w:p>
            <w:pPr>
              <w:pStyle w:val="13"/>
            </w:pPr>
            <w:r>
              <w:t>监管系统重大保障处理响应时间</w:t>
            </w:r>
          </w:p>
        </w:tc>
        <w:tc>
          <w:tcPr>
            <w:tcW w:w="2268" w:type="dxa"/>
            <w:vAlign w:val="center"/>
          </w:tcPr>
          <w:p>
            <w:pPr>
              <w:pStyle w:val="13"/>
            </w:pPr>
            <w:r>
              <w:t>≥95%</w:t>
            </w:r>
          </w:p>
        </w:tc>
        <w:tc>
          <w:tcPr>
            <w:tcW w:w="1276" w:type="dxa"/>
            <w:vAlign w:val="center"/>
          </w:tcPr>
          <w:p>
            <w:pPr>
              <w:pStyle w:val="13"/>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≥95%</w:t>
            </w:r>
          </w:p>
        </w:tc>
        <w:tc>
          <w:tcPr>
            <w:tcW w:w="1276" w:type="dxa"/>
            <w:vAlign w:val="center"/>
          </w:tcPr>
          <w:p>
            <w:pPr>
              <w:pStyle w:val="13"/>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案件结案率(%)</w:t>
            </w:r>
          </w:p>
        </w:tc>
        <w:tc>
          <w:tcPr>
            <w:tcW w:w="5386" w:type="dxa"/>
            <w:vAlign w:val="center"/>
          </w:tcPr>
          <w:p>
            <w:pPr>
              <w:pStyle w:val="13"/>
            </w:pPr>
            <w:r>
              <w:t>案件判决数与审判案件的比率</w:t>
            </w:r>
          </w:p>
        </w:tc>
        <w:tc>
          <w:tcPr>
            <w:tcW w:w="2268" w:type="dxa"/>
            <w:vAlign w:val="center"/>
          </w:tcPr>
          <w:p>
            <w:pPr>
              <w:pStyle w:val="13"/>
            </w:pPr>
            <w:r>
              <w:t>≥85%</w:t>
            </w:r>
          </w:p>
        </w:tc>
        <w:tc>
          <w:tcPr>
            <w:tcW w:w="1276" w:type="dxa"/>
            <w:vAlign w:val="center"/>
          </w:tcPr>
          <w:p>
            <w:pPr>
              <w:pStyle w:val="13"/>
            </w:pPr>
            <w:r>
              <w:t>案件判决数与审判案件的比率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群众来访接待率</w:t>
            </w:r>
          </w:p>
        </w:tc>
        <w:tc>
          <w:tcPr>
            <w:tcW w:w="5386" w:type="dxa"/>
            <w:vAlign w:val="center"/>
          </w:tcPr>
          <w:p>
            <w:pPr>
              <w:pStyle w:val="13"/>
            </w:pPr>
            <w:r>
              <w:t>群众来访接待率</w:t>
            </w:r>
          </w:p>
        </w:tc>
        <w:tc>
          <w:tcPr>
            <w:tcW w:w="2268" w:type="dxa"/>
            <w:vAlign w:val="center"/>
          </w:tcPr>
          <w:p>
            <w:pPr>
              <w:pStyle w:val="13"/>
            </w:pPr>
            <w:r>
              <w:t>≥95%</w:t>
            </w:r>
          </w:p>
        </w:tc>
        <w:tc>
          <w:tcPr>
            <w:tcW w:w="1276" w:type="dxa"/>
            <w:vAlign w:val="center"/>
          </w:tcPr>
          <w:p>
            <w:pPr>
              <w:pStyle w:val="13"/>
            </w:pPr>
            <w:r>
              <w:t>群众来访接待率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持续促进政务信息队伍建设</w:t>
            </w:r>
          </w:p>
        </w:tc>
        <w:tc>
          <w:tcPr>
            <w:tcW w:w="5386" w:type="dxa"/>
            <w:vAlign w:val="center"/>
          </w:tcPr>
          <w:p>
            <w:pPr>
              <w:pStyle w:val="13"/>
            </w:pPr>
            <w:r>
              <w:t>持续促进政务信息队伍建设</w:t>
            </w:r>
          </w:p>
        </w:tc>
        <w:tc>
          <w:tcPr>
            <w:tcW w:w="2268" w:type="dxa"/>
            <w:vAlign w:val="center"/>
          </w:tcPr>
          <w:p>
            <w:pPr>
              <w:pStyle w:val="13"/>
            </w:pPr>
            <w:r>
              <w:t>≥95%</w:t>
            </w:r>
          </w:p>
        </w:tc>
        <w:tc>
          <w:tcPr>
            <w:tcW w:w="1276" w:type="dxa"/>
            <w:vAlign w:val="center"/>
          </w:tcPr>
          <w:p>
            <w:pPr>
              <w:pStyle w:val="13"/>
            </w:pPr>
            <w:r>
              <w:t>持续促进政务信息队伍建设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保障相关业务、工作等开展的情况</w:t>
            </w:r>
          </w:p>
        </w:tc>
        <w:tc>
          <w:tcPr>
            <w:tcW w:w="2268" w:type="dxa"/>
            <w:vAlign w:val="center"/>
          </w:tcPr>
          <w:p>
            <w:pPr>
              <w:pStyle w:val="13"/>
            </w:pPr>
            <w:r>
              <w:t>≥95%</w:t>
            </w:r>
          </w:p>
        </w:tc>
        <w:tc>
          <w:tcPr>
            <w:tcW w:w="1276" w:type="dxa"/>
            <w:vAlign w:val="center"/>
          </w:tcPr>
          <w:p>
            <w:pPr>
              <w:pStyle w:val="13"/>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案件调解率</w:t>
            </w:r>
          </w:p>
        </w:tc>
        <w:tc>
          <w:tcPr>
            <w:tcW w:w="5386" w:type="dxa"/>
            <w:vAlign w:val="center"/>
          </w:tcPr>
          <w:p>
            <w:pPr>
              <w:pStyle w:val="13"/>
            </w:pPr>
            <w:r>
              <w:t>案件调解率</w:t>
            </w:r>
          </w:p>
        </w:tc>
        <w:tc>
          <w:tcPr>
            <w:tcW w:w="2268" w:type="dxa"/>
            <w:vAlign w:val="center"/>
          </w:tcPr>
          <w:p>
            <w:pPr>
              <w:pStyle w:val="13"/>
            </w:pPr>
            <w:r>
              <w:t>≥20%</w:t>
            </w:r>
          </w:p>
        </w:tc>
        <w:tc>
          <w:tcPr>
            <w:tcW w:w="1276" w:type="dxa"/>
            <w:vAlign w:val="center"/>
          </w:tcPr>
          <w:p>
            <w:pPr>
              <w:pStyle w:val="13"/>
            </w:pPr>
            <w:r>
              <w:t>案件调解率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加强节约集约利用，促进生态文明建设</w:t>
            </w:r>
          </w:p>
        </w:tc>
        <w:tc>
          <w:tcPr>
            <w:tcW w:w="5386" w:type="dxa"/>
            <w:vAlign w:val="center"/>
          </w:tcPr>
          <w:p>
            <w:pPr>
              <w:pStyle w:val="13"/>
            </w:pPr>
            <w:r>
              <w:t>加强节约集约利用，促进生态文明建设</w:t>
            </w:r>
          </w:p>
        </w:tc>
        <w:tc>
          <w:tcPr>
            <w:tcW w:w="2268" w:type="dxa"/>
            <w:vAlign w:val="center"/>
          </w:tcPr>
          <w:p>
            <w:pPr>
              <w:pStyle w:val="13"/>
            </w:pPr>
            <w:r>
              <w:t>≥95%</w:t>
            </w:r>
          </w:p>
        </w:tc>
        <w:tc>
          <w:tcPr>
            <w:tcW w:w="1276" w:type="dxa"/>
            <w:vAlign w:val="center"/>
          </w:tcPr>
          <w:p>
            <w:pPr>
              <w:pStyle w:val="13"/>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受益群众满意度调查</w:t>
            </w:r>
          </w:p>
        </w:tc>
        <w:tc>
          <w:tcPr>
            <w:tcW w:w="5386" w:type="dxa"/>
            <w:vAlign w:val="center"/>
          </w:tcPr>
          <w:p>
            <w:pPr>
              <w:pStyle w:val="13"/>
            </w:pPr>
            <w:r>
              <w:t>受益群众满意度调查</w:t>
            </w:r>
          </w:p>
        </w:tc>
        <w:tc>
          <w:tcPr>
            <w:tcW w:w="2268" w:type="dxa"/>
            <w:vAlign w:val="center"/>
          </w:tcPr>
          <w:p>
            <w:pPr>
              <w:pStyle w:val="13"/>
            </w:pPr>
            <w:r>
              <w:t>≥95%</w:t>
            </w:r>
          </w:p>
        </w:tc>
        <w:tc>
          <w:tcPr>
            <w:tcW w:w="1276" w:type="dxa"/>
            <w:vAlign w:val="center"/>
          </w:tcPr>
          <w:p>
            <w:pPr>
              <w:pStyle w:val="13"/>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3、2023年中央政法纪检监察转移支付资金绩效目标表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13110023P007132102257</w:t>
            </w:r>
          </w:p>
        </w:tc>
        <w:tc>
          <w:tcPr>
            <w:tcW w:w="2835" w:type="dxa"/>
            <w:vAlign w:val="center"/>
          </w:tcPr>
          <w:p>
            <w:pPr>
              <w:pStyle w:val="11"/>
            </w:pPr>
            <w:r>
              <w:t>项目名称</w:t>
            </w:r>
          </w:p>
        </w:tc>
        <w:tc>
          <w:tcPr>
            <w:tcW w:w="6094" w:type="dxa"/>
            <w:gridSpan w:val="3"/>
            <w:vAlign w:val="center"/>
          </w:tcPr>
          <w:p>
            <w:pPr>
              <w:pStyle w:val="13"/>
            </w:pPr>
            <w:r>
              <w:t>2023年中央政法纪检监察转移支付资金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2.27</w:t>
            </w:r>
          </w:p>
        </w:tc>
        <w:tc>
          <w:tcPr>
            <w:tcW w:w="2835" w:type="dxa"/>
            <w:vAlign w:val="center"/>
          </w:tcPr>
          <w:p>
            <w:pPr>
              <w:pStyle w:val="11"/>
            </w:pPr>
            <w:r>
              <w:t>其中：财政    资金</w:t>
            </w:r>
          </w:p>
        </w:tc>
        <w:tc>
          <w:tcPr>
            <w:tcW w:w="2551" w:type="dxa"/>
            <w:vAlign w:val="center"/>
          </w:tcPr>
          <w:p>
            <w:pPr>
              <w:pStyle w:val="13"/>
            </w:pPr>
            <w:r>
              <w:t>2.27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妥善审理经济转型过程中印发的各类矛盾纠纷，依法维护国家安全和社会稳定，严惩各类严重刑事犯罪，积极推挤平安社区建设，营造良好的法制环境。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3"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1.目标内容1</w:t>
            </w:r>
          </w:p>
          <w:p>
            <w:pPr>
              <w:pStyle w:val="13"/>
            </w:pPr>
            <w:r>
              <w:t>2.妥善审理经济转型过程中印发的各类矛盾纠纷，依法维护国家安全和社会稳定，严惩各类严重刑事犯罪，积极推挤平安社区建设，营造良好的法制环境。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监管系统重大保障处理响应时间</w:t>
            </w:r>
          </w:p>
        </w:tc>
        <w:tc>
          <w:tcPr>
            <w:tcW w:w="5386" w:type="dxa"/>
            <w:vAlign w:val="center"/>
          </w:tcPr>
          <w:p>
            <w:pPr>
              <w:pStyle w:val="13"/>
            </w:pPr>
            <w:r>
              <w:t>监管系统重大保障处理响应时间</w:t>
            </w:r>
          </w:p>
        </w:tc>
        <w:tc>
          <w:tcPr>
            <w:tcW w:w="2268" w:type="dxa"/>
            <w:vAlign w:val="center"/>
          </w:tcPr>
          <w:p>
            <w:pPr>
              <w:pStyle w:val="13"/>
            </w:pPr>
            <w:r>
              <w:t>≥95%</w:t>
            </w:r>
          </w:p>
        </w:tc>
        <w:tc>
          <w:tcPr>
            <w:tcW w:w="1276" w:type="dxa"/>
            <w:vAlign w:val="center"/>
          </w:tcPr>
          <w:p>
            <w:pPr>
              <w:pStyle w:val="13"/>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≥95%</w:t>
            </w:r>
          </w:p>
        </w:tc>
        <w:tc>
          <w:tcPr>
            <w:tcW w:w="1276" w:type="dxa"/>
            <w:vAlign w:val="center"/>
          </w:tcPr>
          <w:p>
            <w:pPr>
              <w:pStyle w:val="13"/>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案件结案率(%)</w:t>
            </w:r>
          </w:p>
        </w:tc>
        <w:tc>
          <w:tcPr>
            <w:tcW w:w="5386" w:type="dxa"/>
            <w:vAlign w:val="center"/>
          </w:tcPr>
          <w:p>
            <w:pPr>
              <w:pStyle w:val="13"/>
            </w:pPr>
            <w:r>
              <w:t>案件判决数与审判案件的比率</w:t>
            </w:r>
          </w:p>
        </w:tc>
        <w:tc>
          <w:tcPr>
            <w:tcW w:w="2268" w:type="dxa"/>
            <w:vAlign w:val="center"/>
          </w:tcPr>
          <w:p>
            <w:pPr>
              <w:pStyle w:val="13"/>
            </w:pPr>
            <w:r>
              <w:t>≥80%</w:t>
            </w:r>
          </w:p>
        </w:tc>
        <w:tc>
          <w:tcPr>
            <w:tcW w:w="1276" w:type="dxa"/>
            <w:vAlign w:val="center"/>
          </w:tcPr>
          <w:p>
            <w:pPr>
              <w:pStyle w:val="13"/>
            </w:pPr>
            <w:r>
              <w:t>案件判决数与审判案件的比率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群众来访接待率</w:t>
            </w:r>
          </w:p>
        </w:tc>
        <w:tc>
          <w:tcPr>
            <w:tcW w:w="5386" w:type="dxa"/>
            <w:vAlign w:val="center"/>
          </w:tcPr>
          <w:p>
            <w:pPr>
              <w:pStyle w:val="13"/>
            </w:pPr>
            <w:r>
              <w:t>群众来访接待率</w:t>
            </w:r>
          </w:p>
        </w:tc>
        <w:tc>
          <w:tcPr>
            <w:tcW w:w="2268" w:type="dxa"/>
            <w:vAlign w:val="center"/>
          </w:tcPr>
          <w:p>
            <w:pPr>
              <w:pStyle w:val="13"/>
            </w:pPr>
            <w:r>
              <w:t>≥95%</w:t>
            </w:r>
          </w:p>
        </w:tc>
        <w:tc>
          <w:tcPr>
            <w:tcW w:w="1276" w:type="dxa"/>
            <w:vAlign w:val="center"/>
          </w:tcPr>
          <w:p>
            <w:pPr>
              <w:pStyle w:val="13"/>
            </w:pPr>
            <w:r>
              <w:t>群众来访接待率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持续促进政务信息队伍建设</w:t>
            </w:r>
          </w:p>
        </w:tc>
        <w:tc>
          <w:tcPr>
            <w:tcW w:w="5386" w:type="dxa"/>
            <w:vAlign w:val="center"/>
          </w:tcPr>
          <w:p>
            <w:pPr>
              <w:pStyle w:val="13"/>
            </w:pPr>
            <w:r>
              <w:t>持续促进政务信息队伍建设</w:t>
            </w:r>
          </w:p>
        </w:tc>
        <w:tc>
          <w:tcPr>
            <w:tcW w:w="2268" w:type="dxa"/>
            <w:vAlign w:val="center"/>
          </w:tcPr>
          <w:p>
            <w:pPr>
              <w:pStyle w:val="13"/>
            </w:pPr>
            <w:r>
              <w:t>≥95%</w:t>
            </w:r>
          </w:p>
        </w:tc>
        <w:tc>
          <w:tcPr>
            <w:tcW w:w="1276" w:type="dxa"/>
            <w:vAlign w:val="center"/>
          </w:tcPr>
          <w:p>
            <w:pPr>
              <w:pStyle w:val="13"/>
            </w:pPr>
            <w:r>
              <w:t>持续促进政务信息队伍建设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保障相关业务、工作等开展的情况</w:t>
            </w:r>
          </w:p>
        </w:tc>
        <w:tc>
          <w:tcPr>
            <w:tcW w:w="2268" w:type="dxa"/>
            <w:vAlign w:val="center"/>
          </w:tcPr>
          <w:p>
            <w:pPr>
              <w:pStyle w:val="13"/>
            </w:pPr>
            <w:r>
              <w:t>≥95%</w:t>
            </w:r>
          </w:p>
        </w:tc>
        <w:tc>
          <w:tcPr>
            <w:tcW w:w="1276" w:type="dxa"/>
            <w:vAlign w:val="center"/>
          </w:tcPr>
          <w:p>
            <w:pPr>
              <w:pStyle w:val="13"/>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案件调解率</w:t>
            </w:r>
          </w:p>
        </w:tc>
        <w:tc>
          <w:tcPr>
            <w:tcW w:w="5386" w:type="dxa"/>
            <w:vAlign w:val="center"/>
          </w:tcPr>
          <w:p>
            <w:pPr>
              <w:pStyle w:val="13"/>
            </w:pPr>
            <w:r>
              <w:t>案件调解率</w:t>
            </w:r>
          </w:p>
        </w:tc>
        <w:tc>
          <w:tcPr>
            <w:tcW w:w="2268" w:type="dxa"/>
            <w:vAlign w:val="center"/>
          </w:tcPr>
          <w:p>
            <w:pPr>
              <w:pStyle w:val="13"/>
            </w:pPr>
            <w:r>
              <w:t>≥20%</w:t>
            </w:r>
          </w:p>
        </w:tc>
        <w:tc>
          <w:tcPr>
            <w:tcW w:w="1276" w:type="dxa"/>
            <w:vAlign w:val="center"/>
          </w:tcPr>
          <w:p>
            <w:pPr>
              <w:pStyle w:val="13"/>
            </w:pPr>
            <w:r>
              <w:t>案件调解率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加强节约集约利用，促进生态文明建设</w:t>
            </w:r>
          </w:p>
        </w:tc>
        <w:tc>
          <w:tcPr>
            <w:tcW w:w="5386" w:type="dxa"/>
            <w:vAlign w:val="center"/>
          </w:tcPr>
          <w:p>
            <w:pPr>
              <w:pStyle w:val="13"/>
            </w:pPr>
            <w:r>
              <w:t>加强节约集约利用，促进生态文明建设</w:t>
            </w:r>
          </w:p>
        </w:tc>
        <w:tc>
          <w:tcPr>
            <w:tcW w:w="2268" w:type="dxa"/>
            <w:vAlign w:val="center"/>
          </w:tcPr>
          <w:p>
            <w:pPr>
              <w:pStyle w:val="13"/>
            </w:pPr>
            <w:r>
              <w:t>≥95%</w:t>
            </w:r>
          </w:p>
        </w:tc>
        <w:tc>
          <w:tcPr>
            <w:tcW w:w="1276" w:type="dxa"/>
            <w:vAlign w:val="center"/>
          </w:tcPr>
          <w:p>
            <w:pPr>
              <w:pStyle w:val="13"/>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受益群众满意度调查</w:t>
            </w:r>
          </w:p>
        </w:tc>
        <w:tc>
          <w:tcPr>
            <w:tcW w:w="5386" w:type="dxa"/>
            <w:vAlign w:val="center"/>
          </w:tcPr>
          <w:p>
            <w:pPr>
              <w:pStyle w:val="13"/>
            </w:pPr>
            <w:r>
              <w:t>受益群众满意度调查</w:t>
            </w:r>
          </w:p>
        </w:tc>
        <w:tc>
          <w:tcPr>
            <w:tcW w:w="2268" w:type="dxa"/>
            <w:vAlign w:val="center"/>
          </w:tcPr>
          <w:p>
            <w:pPr>
              <w:pStyle w:val="13"/>
            </w:pPr>
            <w:r>
              <w:t>≥95%</w:t>
            </w:r>
          </w:p>
        </w:tc>
        <w:tc>
          <w:tcPr>
            <w:tcW w:w="1276" w:type="dxa"/>
            <w:vAlign w:val="center"/>
          </w:tcPr>
          <w:p>
            <w:pPr>
              <w:pStyle w:val="13"/>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4、2024年法院建设补助经费绩效目标表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13110024P00713210340L</w:t>
            </w:r>
          </w:p>
        </w:tc>
        <w:tc>
          <w:tcPr>
            <w:tcW w:w="2835" w:type="dxa"/>
            <w:vAlign w:val="center"/>
          </w:tcPr>
          <w:p>
            <w:pPr>
              <w:pStyle w:val="11"/>
            </w:pPr>
            <w:r>
              <w:t>项目名称</w:t>
            </w:r>
          </w:p>
        </w:tc>
        <w:tc>
          <w:tcPr>
            <w:tcW w:w="6094" w:type="dxa"/>
            <w:gridSpan w:val="3"/>
            <w:vAlign w:val="center"/>
          </w:tcPr>
          <w:p>
            <w:pPr>
              <w:pStyle w:val="13"/>
            </w:pPr>
            <w:r>
              <w:t>2024年法院建设补助经费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280.00</w:t>
            </w:r>
          </w:p>
        </w:tc>
        <w:tc>
          <w:tcPr>
            <w:tcW w:w="2835" w:type="dxa"/>
            <w:vAlign w:val="center"/>
          </w:tcPr>
          <w:p>
            <w:pPr>
              <w:pStyle w:val="11"/>
            </w:pPr>
            <w:r>
              <w:t>其中：财政    资金</w:t>
            </w:r>
          </w:p>
        </w:tc>
        <w:tc>
          <w:tcPr>
            <w:tcW w:w="2551" w:type="dxa"/>
            <w:vAlign w:val="center"/>
          </w:tcPr>
          <w:p>
            <w:pPr>
              <w:pStyle w:val="13"/>
            </w:pPr>
            <w:r>
              <w:t>280.00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妥善审理经济转型过程中印发的各类矛盾纠纷，依法维护国家安全和社会稳定，严惩各类严重刑事犯罪，积极推挤平安社区建设，营造良好的法制环境。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3"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1.妥善审理经济转型过程中印发的各类矛盾纠纷，依法维护国家安全和社会稳定，严惩各类严重刑事犯罪，积极推挤平安社区建设，营造良好的法制环境。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监管系统重大保障处理响应时间</w:t>
            </w:r>
          </w:p>
        </w:tc>
        <w:tc>
          <w:tcPr>
            <w:tcW w:w="5386" w:type="dxa"/>
            <w:vAlign w:val="center"/>
          </w:tcPr>
          <w:p>
            <w:pPr>
              <w:pStyle w:val="13"/>
            </w:pPr>
            <w:r>
              <w:t>监管系统重大保障处理响应时间</w:t>
            </w:r>
          </w:p>
        </w:tc>
        <w:tc>
          <w:tcPr>
            <w:tcW w:w="2268" w:type="dxa"/>
            <w:vAlign w:val="center"/>
          </w:tcPr>
          <w:p>
            <w:pPr>
              <w:pStyle w:val="13"/>
            </w:pPr>
            <w:r>
              <w:t>≥95%</w:t>
            </w:r>
          </w:p>
        </w:tc>
        <w:tc>
          <w:tcPr>
            <w:tcW w:w="1276" w:type="dxa"/>
            <w:vAlign w:val="center"/>
          </w:tcPr>
          <w:p>
            <w:pPr>
              <w:pStyle w:val="13"/>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≥95%</w:t>
            </w:r>
          </w:p>
        </w:tc>
        <w:tc>
          <w:tcPr>
            <w:tcW w:w="1276" w:type="dxa"/>
            <w:vAlign w:val="center"/>
          </w:tcPr>
          <w:p>
            <w:pPr>
              <w:pStyle w:val="13"/>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案件结案率(%)</w:t>
            </w:r>
          </w:p>
        </w:tc>
        <w:tc>
          <w:tcPr>
            <w:tcW w:w="5386" w:type="dxa"/>
            <w:vAlign w:val="center"/>
          </w:tcPr>
          <w:p>
            <w:pPr>
              <w:pStyle w:val="13"/>
            </w:pPr>
            <w:r>
              <w:t>案件判决数与审判案件的比率</w:t>
            </w:r>
          </w:p>
        </w:tc>
        <w:tc>
          <w:tcPr>
            <w:tcW w:w="2268" w:type="dxa"/>
            <w:vAlign w:val="center"/>
          </w:tcPr>
          <w:p>
            <w:pPr>
              <w:pStyle w:val="13"/>
            </w:pPr>
            <w:r>
              <w:t>≥85%</w:t>
            </w:r>
          </w:p>
        </w:tc>
        <w:tc>
          <w:tcPr>
            <w:tcW w:w="1276" w:type="dxa"/>
            <w:vAlign w:val="center"/>
          </w:tcPr>
          <w:p>
            <w:pPr>
              <w:pStyle w:val="13"/>
            </w:pPr>
            <w:r>
              <w:t>案件判决数与审判案件的比率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成本控制情况</w:t>
            </w:r>
          </w:p>
        </w:tc>
        <w:tc>
          <w:tcPr>
            <w:tcW w:w="2268" w:type="dxa"/>
            <w:vAlign w:val="center"/>
          </w:tcPr>
          <w:p>
            <w:pPr>
              <w:pStyle w:val="13"/>
            </w:pPr>
            <w:r>
              <w:t>各项支出不高于行业标准或其他行业平均标准</w:t>
            </w:r>
          </w:p>
        </w:tc>
        <w:tc>
          <w:tcPr>
            <w:tcW w:w="1276" w:type="dxa"/>
            <w:vAlign w:val="center"/>
          </w:tcPr>
          <w:p>
            <w:pPr>
              <w:pStyle w:val="13"/>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持续促进政务信息队伍建设</w:t>
            </w:r>
          </w:p>
        </w:tc>
        <w:tc>
          <w:tcPr>
            <w:tcW w:w="5386" w:type="dxa"/>
            <w:vAlign w:val="center"/>
          </w:tcPr>
          <w:p>
            <w:pPr>
              <w:pStyle w:val="13"/>
            </w:pPr>
            <w:r>
              <w:t>持续促进政务信息队伍建设</w:t>
            </w:r>
          </w:p>
        </w:tc>
        <w:tc>
          <w:tcPr>
            <w:tcW w:w="2268" w:type="dxa"/>
            <w:vAlign w:val="center"/>
          </w:tcPr>
          <w:p>
            <w:pPr>
              <w:pStyle w:val="13"/>
            </w:pPr>
            <w:r>
              <w:t>≥95%</w:t>
            </w:r>
          </w:p>
        </w:tc>
        <w:tc>
          <w:tcPr>
            <w:tcW w:w="1276" w:type="dxa"/>
            <w:vAlign w:val="center"/>
          </w:tcPr>
          <w:p>
            <w:pPr>
              <w:pStyle w:val="13"/>
            </w:pPr>
            <w:r>
              <w:t>持续促进政务信息队伍建设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受益群众满意度调查</w:t>
            </w:r>
          </w:p>
        </w:tc>
        <w:tc>
          <w:tcPr>
            <w:tcW w:w="5386" w:type="dxa"/>
            <w:vAlign w:val="center"/>
          </w:tcPr>
          <w:p>
            <w:pPr>
              <w:pStyle w:val="13"/>
            </w:pPr>
            <w:r>
              <w:t>受益群众满意度调查</w:t>
            </w:r>
          </w:p>
        </w:tc>
        <w:tc>
          <w:tcPr>
            <w:tcW w:w="2268" w:type="dxa"/>
            <w:vAlign w:val="center"/>
          </w:tcPr>
          <w:p>
            <w:pPr>
              <w:pStyle w:val="13"/>
            </w:pPr>
            <w:r>
              <w:t>≥95%</w:t>
            </w:r>
          </w:p>
        </w:tc>
        <w:tc>
          <w:tcPr>
            <w:tcW w:w="1276" w:type="dxa"/>
            <w:vAlign w:val="center"/>
          </w:tcPr>
          <w:p>
            <w:pPr>
              <w:pStyle w:val="13"/>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5、2024年省级基层公检法司转移支付资金绩效目标表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13110024P00713210338M</w:t>
            </w:r>
          </w:p>
        </w:tc>
        <w:tc>
          <w:tcPr>
            <w:tcW w:w="2835" w:type="dxa"/>
            <w:vAlign w:val="center"/>
          </w:tcPr>
          <w:p>
            <w:pPr>
              <w:pStyle w:val="11"/>
            </w:pPr>
            <w:r>
              <w:t>项目名称</w:t>
            </w:r>
          </w:p>
        </w:tc>
        <w:tc>
          <w:tcPr>
            <w:tcW w:w="6094" w:type="dxa"/>
            <w:gridSpan w:val="3"/>
            <w:vAlign w:val="center"/>
          </w:tcPr>
          <w:p>
            <w:pPr>
              <w:pStyle w:val="13"/>
            </w:pPr>
            <w:r>
              <w:t>2024年省级基层公检法司转移支付资金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97.00</w:t>
            </w:r>
          </w:p>
        </w:tc>
        <w:tc>
          <w:tcPr>
            <w:tcW w:w="2835" w:type="dxa"/>
            <w:vAlign w:val="center"/>
          </w:tcPr>
          <w:p>
            <w:pPr>
              <w:pStyle w:val="11"/>
            </w:pPr>
            <w:r>
              <w:t>其中：财政    资金</w:t>
            </w:r>
          </w:p>
        </w:tc>
        <w:tc>
          <w:tcPr>
            <w:tcW w:w="2551" w:type="dxa"/>
            <w:vAlign w:val="center"/>
          </w:tcPr>
          <w:p>
            <w:pPr>
              <w:pStyle w:val="13"/>
            </w:pPr>
            <w:r>
              <w:t>97.00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妥善审理经济转型过程中印发的各类矛盾纠纷，依法维护国家安全和社会稳定，严惩各类严重刑事犯罪，积极推挤平安社区建设，营造良好的法制环境。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3"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1.妥善审理经济转型过程中印发的各类矛盾纠纷，依法维护国家安全和社会稳定，严惩各类严重刑事犯罪，积极推挤平安社区建设，营造良好的法制环境。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监管系统重大保障处理响应时间</w:t>
            </w:r>
          </w:p>
        </w:tc>
        <w:tc>
          <w:tcPr>
            <w:tcW w:w="5386" w:type="dxa"/>
            <w:vAlign w:val="center"/>
          </w:tcPr>
          <w:p>
            <w:pPr>
              <w:pStyle w:val="13"/>
            </w:pPr>
            <w:r>
              <w:t>监管系统重大保障处理响应时间</w:t>
            </w:r>
          </w:p>
        </w:tc>
        <w:tc>
          <w:tcPr>
            <w:tcW w:w="2268" w:type="dxa"/>
            <w:vAlign w:val="center"/>
          </w:tcPr>
          <w:p>
            <w:pPr>
              <w:pStyle w:val="13"/>
            </w:pPr>
            <w:r>
              <w:t>≥95%</w:t>
            </w:r>
          </w:p>
        </w:tc>
        <w:tc>
          <w:tcPr>
            <w:tcW w:w="1276" w:type="dxa"/>
            <w:vAlign w:val="center"/>
          </w:tcPr>
          <w:p>
            <w:pPr>
              <w:pStyle w:val="13"/>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≥95%</w:t>
            </w:r>
          </w:p>
        </w:tc>
        <w:tc>
          <w:tcPr>
            <w:tcW w:w="1276" w:type="dxa"/>
            <w:vAlign w:val="center"/>
          </w:tcPr>
          <w:p>
            <w:pPr>
              <w:pStyle w:val="13"/>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案件结案率(%)</w:t>
            </w:r>
          </w:p>
        </w:tc>
        <w:tc>
          <w:tcPr>
            <w:tcW w:w="5386" w:type="dxa"/>
            <w:vAlign w:val="center"/>
          </w:tcPr>
          <w:p>
            <w:pPr>
              <w:pStyle w:val="13"/>
            </w:pPr>
            <w:r>
              <w:t>案件判决数与审判案件的比率</w:t>
            </w:r>
          </w:p>
        </w:tc>
        <w:tc>
          <w:tcPr>
            <w:tcW w:w="2268" w:type="dxa"/>
            <w:vAlign w:val="center"/>
          </w:tcPr>
          <w:p>
            <w:pPr>
              <w:pStyle w:val="13"/>
            </w:pPr>
            <w:r>
              <w:t>≥85%</w:t>
            </w:r>
          </w:p>
        </w:tc>
        <w:tc>
          <w:tcPr>
            <w:tcW w:w="1276" w:type="dxa"/>
            <w:vAlign w:val="center"/>
          </w:tcPr>
          <w:p>
            <w:pPr>
              <w:pStyle w:val="13"/>
            </w:pPr>
            <w:r>
              <w:t>案件判决数与审判案件的比率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成本控制情况</w:t>
            </w:r>
          </w:p>
        </w:tc>
        <w:tc>
          <w:tcPr>
            <w:tcW w:w="2268" w:type="dxa"/>
            <w:vAlign w:val="center"/>
          </w:tcPr>
          <w:p>
            <w:pPr>
              <w:pStyle w:val="13"/>
            </w:pPr>
            <w:r>
              <w:t>各项支出不高于行业标准或其他行业平均标准</w:t>
            </w:r>
          </w:p>
        </w:tc>
        <w:tc>
          <w:tcPr>
            <w:tcW w:w="1276" w:type="dxa"/>
            <w:vAlign w:val="center"/>
          </w:tcPr>
          <w:p>
            <w:pPr>
              <w:pStyle w:val="13"/>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持续促进政务信息队伍建设</w:t>
            </w:r>
          </w:p>
        </w:tc>
        <w:tc>
          <w:tcPr>
            <w:tcW w:w="5386" w:type="dxa"/>
            <w:vAlign w:val="center"/>
          </w:tcPr>
          <w:p>
            <w:pPr>
              <w:pStyle w:val="13"/>
            </w:pPr>
            <w:r>
              <w:t>持续促进政务信息队伍建设</w:t>
            </w:r>
          </w:p>
        </w:tc>
        <w:tc>
          <w:tcPr>
            <w:tcW w:w="2268" w:type="dxa"/>
            <w:vAlign w:val="center"/>
          </w:tcPr>
          <w:p>
            <w:pPr>
              <w:pStyle w:val="13"/>
            </w:pPr>
            <w:r>
              <w:t>≥95%</w:t>
            </w:r>
          </w:p>
        </w:tc>
        <w:tc>
          <w:tcPr>
            <w:tcW w:w="1276" w:type="dxa"/>
            <w:vAlign w:val="center"/>
          </w:tcPr>
          <w:p>
            <w:pPr>
              <w:pStyle w:val="13"/>
            </w:pPr>
            <w:r>
              <w:t>持续促进政务信息队伍建设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受益群众满意度调查</w:t>
            </w:r>
          </w:p>
        </w:tc>
        <w:tc>
          <w:tcPr>
            <w:tcW w:w="5386" w:type="dxa"/>
            <w:vAlign w:val="center"/>
          </w:tcPr>
          <w:p>
            <w:pPr>
              <w:pStyle w:val="13"/>
            </w:pPr>
            <w:r>
              <w:t>受益群众满意度调查</w:t>
            </w:r>
          </w:p>
        </w:tc>
        <w:tc>
          <w:tcPr>
            <w:tcW w:w="2268" w:type="dxa"/>
            <w:vAlign w:val="center"/>
          </w:tcPr>
          <w:p>
            <w:pPr>
              <w:pStyle w:val="13"/>
            </w:pPr>
            <w:r>
              <w:t>≥95%</w:t>
            </w:r>
          </w:p>
        </w:tc>
        <w:tc>
          <w:tcPr>
            <w:tcW w:w="1276" w:type="dxa"/>
            <w:vAlign w:val="center"/>
          </w:tcPr>
          <w:p>
            <w:pPr>
              <w:pStyle w:val="13"/>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6、2024年中央政法纪检监察转移支付资金绩效目标表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13110024P007132103399</w:t>
            </w:r>
          </w:p>
        </w:tc>
        <w:tc>
          <w:tcPr>
            <w:tcW w:w="2835" w:type="dxa"/>
            <w:vAlign w:val="center"/>
          </w:tcPr>
          <w:p>
            <w:pPr>
              <w:pStyle w:val="11"/>
            </w:pPr>
            <w:r>
              <w:t>项目名称</w:t>
            </w:r>
          </w:p>
        </w:tc>
        <w:tc>
          <w:tcPr>
            <w:tcW w:w="6094" w:type="dxa"/>
            <w:gridSpan w:val="3"/>
            <w:vAlign w:val="center"/>
          </w:tcPr>
          <w:p>
            <w:pPr>
              <w:pStyle w:val="13"/>
            </w:pPr>
            <w:r>
              <w:t>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228.00</w:t>
            </w:r>
          </w:p>
        </w:tc>
        <w:tc>
          <w:tcPr>
            <w:tcW w:w="2835" w:type="dxa"/>
            <w:vAlign w:val="center"/>
          </w:tcPr>
          <w:p>
            <w:pPr>
              <w:pStyle w:val="11"/>
            </w:pPr>
            <w:r>
              <w:t>其中：财政    资金</w:t>
            </w:r>
          </w:p>
        </w:tc>
        <w:tc>
          <w:tcPr>
            <w:tcW w:w="2551" w:type="dxa"/>
            <w:vAlign w:val="center"/>
          </w:tcPr>
          <w:p>
            <w:pPr>
              <w:pStyle w:val="13"/>
            </w:pPr>
            <w:r>
              <w:t>228.00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妥善审理经济转型过程中印发的各类矛盾纠纷，依法维护国家安全和社会稳定，严惩各类严重刑事犯罪，积极推挤平安社区建设，营造良好的法制环境。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3"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1.妥善审理经济转型过程中印发的各类矛盾纠纷，依法维护国家安全和社会稳定，严惩各类严重刑事犯罪，积极推挤平安社区建设，营造良好的法制环境。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监管系统重大保障处理响应时间</w:t>
            </w:r>
          </w:p>
        </w:tc>
        <w:tc>
          <w:tcPr>
            <w:tcW w:w="5386" w:type="dxa"/>
            <w:vAlign w:val="center"/>
          </w:tcPr>
          <w:p>
            <w:pPr>
              <w:pStyle w:val="13"/>
            </w:pPr>
            <w:r>
              <w:t>监管系统重大保障处理响应时间</w:t>
            </w:r>
          </w:p>
        </w:tc>
        <w:tc>
          <w:tcPr>
            <w:tcW w:w="2268" w:type="dxa"/>
            <w:vAlign w:val="center"/>
          </w:tcPr>
          <w:p>
            <w:pPr>
              <w:pStyle w:val="13"/>
            </w:pPr>
            <w:r>
              <w:t>≥95%</w:t>
            </w:r>
          </w:p>
        </w:tc>
        <w:tc>
          <w:tcPr>
            <w:tcW w:w="1276" w:type="dxa"/>
            <w:vAlign w:val="center"/>
          </w:tcPr>
          <w:p>
            <w:pPr>
              <w:pStyle w:val="13"/>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≥95%</w:t>
            </w:r>
          </w:p>
        </w:tc>
        <w:tc>
          <w:tcPr>
            <w:tcW w:w="1276" w:type="dxa"/>
            <w:vAlign w:val="center"/>
          </w:tcPr>
          <w:p>
            <w:pPr>
              <w:pStyle w:val="13"/>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案件结案率(%)</w:t>
            </w:r>
          </w:p>
        </w:tc>
        <w:tc>
          <w:tcPr>
            <w:tcW w:w="5386" w:type="dxa"/>
            <w:vAlign w:val="center"/>
          </w:tcPr>
          <w:p>
            <w:pPr>
              <w:pStyle w:val="13"/>
            </w:pPr>
            <w:r>
              <w:t>案件判决数与审判案件的比率</w:t>
            </w:r>
          </w:p>
        </w:tc>
        <w:tc>
          <w:tcPr>
            <w:tcW w:w="2268" w:type="dxa"/>
            <w:vAlign w:val="center"/>
          </w:tcPr>
          <w:p>
            <w:pPr>
              <w:pStyle w:val="13"/>
            </w:pPr>
            <w:r>
              <w:t>≥85%</w:t>
            </w:r>
          </w:p>
        </w:tc>
        <w:tc>
          <w:tcPr>
            <w:tcW w:w="1276" w:type="dxa"/>
            <w:vAlign w:val="center"/>
          </w:tcPr>
          <w:p>
            <w:pPr>
              <w:pStyle w:val="13"/>
            </w:pPr>
            <w:r>
              <w:t>案件判决数与审判案件的比率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成本控制情况</w:t>
            </w:r>
          </w:p>
        </w:tc>
        <w:tc>
          <w:tcPr>
            <w:tcW w:w="2268" w:type="dxa"/>
            <w:vAlign w:val="center"/>
          </w:tcPr>
          <w:p>
            <w:pPr>
              <w:pStyle w:val="13"/>
            </w:pPr>
            <w:r>
              <w:t>各项支出不高于行业标准或其他行业平均标准</w:t>
            </w:r>
          </w:p>
        </w:tc>
        <w:tc>
          <w:tcPr>
            <w:tcW w:w="1276" w:type="dxa"/>
            <w:vAlign w:val="center"/>
          </w:tcPr>
          <w:p>
            <w:pPr>
              <w:pStyle w:val="13"/>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持续促进政务信息队伍建设</w:t>
            </w:r>
          </w:p>
        </w:tc>
        <w:tc>
          <w:tcPr>
            <w:tcW w:w="5386" w:type="dxa"/>
            <w:vAlign w:val="center"/>
          </w:tcPr>
          <w:p>
            <w:pPr>
              <w:pStyle w:val="13"/>
            </w:pPr>
            <w:r>
              <w:t>持续促进政务信息队伍建设</w:t>
            </w:r>
          </w:p>
        </w:tc>
        <w:tc>
          <w:tcPr>
            <w:tcW w:w="2268" w:type="dxa"/>
            <w:vAlign w:val="center"/>
          </w:tcPr>
          <w:p>
            <w:pPr>
              <w:pStyle w:val="13"/>
            </w:pPr>
            <w:r>
              <w:t>≥95%</w:t>
            </w:r>
          </w:p>
        </w:tc>
        <w:tc>
          <w:tcPr>
            <w:tcW w:w="1276" w:type="dxa"/>
            <w:vAlign w:val="center"/>
          </w:tcPr>
          <w:p>
            <w:pPr>
              <w:pStyle w:val="13"/>
            </w:pPr>
            <w:r>
              <w:t>持续促进政务信息队伍建设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受益群众满意度调查</w:t>
            </w:r>
          </w:p>
        </w:tc>
        <w:tc>
          <w:tcPr>
            <w:tcW w:w="5386" w:type="dxa"/>
            <w:vAlign w:val="center"/>
          </w:tcPr>
          <w:p>
            <w:pPr>
              <w:pStyle w:val="13"/>
            </w:pPr>
            <w:r>
              <w:t>受益群众满意度调查</w:t>
            </w:r>
          </w:p>
        </w:tc>
        <w:tc>
          <w:tcPr>
            <w:tcW w:w="2268" w:type="dxa"/>
            <w:vAlign w:val="center"/>
          </w:tcPr>
          <w:p>
            <w:pPr>
              <w:pStyle w:val="13"/>
            </w:pPr>
            <w:r>
              <w:t>≥95%</w:t>
            </w:r>
          </w:p>
        </w:tc>
        <w:tc>
          <w:tcPr>
            <w:tcW w:w="1276" w:type="dxa"/>
            <w:vAlign w:val="center"/>
          </w:tcPr>
          <w:p>
            <w:pPr>
              <w:pStyle w:val="13"/>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7、第二批法院建设补助资金绩效目标表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13110023P00713210243P</w:t>
            </w:r>
          </w:p>
        </w:tc>
        <w:tc>
          <w:tcPr>
            <w:tcW w:w="2835" w:type="dxa"/>
            <w:vAlign w:val="center"/>
          </w:tcPr>
          <w:p>
            <w:pPr>
              <w:pStyle w:val="11"/>
            </w:pPr>
            <w:r>
              <w:t>项目名称</w:t>
            </w:r>
          </w:p>
        </w:tc>
        <w:tc>
          <w:tcPr>
            <w:tcW w:w="6094" w:type="dxa"/>
            <w:gridSpan w:val="3"/>
            <w:vAlign w:val="center"/>
          </w:tcPr>
          <w:p>
            <w:pPr>
              <w:pStyle w:val="13"/>
            </w:pPr>
            <w:r>
              <w:t>第二批法院建设补助资金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22.52</w:t>
            </w:r>
          </w:p>
        </w:tc>
        <w:tc>
          <w:tcPr>
            <w:tcW w:w="2835" w:type="dxa"/>
            <w:vAlign w:val="center"/>
          </w:tcPr>
          <w:p>
            <w:pPr>
              <w:pStyle w:val="11"/>
            </w:pPr>
            <w:r>
              <w:t>其中：财政    资金</w:t>
            </w:r>
          </w:p>
        </w:tc>
        <w:tc>
          <w:tcPr>
            <w:tcW w:w="2551" w:type="dxa"/>
            <w:vAlign w:val="center"/>
          </w:tcPr>
          <w:p>
            <w:pPr>
              <w:pStyle w:val="13"/>
            </w:pPr>
            <w:r>
              <w:t>22.52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妥善审理经济转型过程中印发的各类矛盾纠纷，依法维护国家安全和社会稳定，严惩各类严重刑事犯罪，积极推挤平安社区建设，营造良好的法制环境。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3"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1.妥善审理经济转型过程中印发的各类矛盾纠纷，依法维护国家安全和社会稳定，严惩各类严重刑事犯罪，积极推挤平安社区建设，营造良好的法制环境。</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监管系统重大保障处理响应时间</w:t>
            </w:r>
          </w:p>
        </w:tc>
        <w:tc>
          <w:tcPr>
            <w:tcW w:w="5386" w:type="dxa"/>
            <w:vAlign w:val="center"/>
          </w:tcPr>
          <w:p>
            <w:pPr>
              <w:pStyle w:val="13"/>
            </w:pPr>
            <w:r>
              <w:t>监管系统重大保障处理响应时间</w:t>
            </w:r>
          </w:p>
        </w:tc>
        <w:tc>
          <w:tcPr>
            <w:tcW w:w="2268" w:type="dxa"/>
            <w:vAlign w:val="center"/>
          </w:tcPr>
          <w:p>
            <w:pPr>
              <w:pStyle w:val="13"/>
            </w:pPr>
            <w:r>
              <w:t>≥95%</w:t>
            </w:r>
          </w:p>
        </w:tc>
        <w:tc>
          <w:tcPr>
            <w:tcW w:w="1276" w:type="dxa"/>
            <w:vAlign w:val="center"/>
          </w:tcPr>
          <w:p>
            <w:pPr>
              <w:pStyle w:val="13"/>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≥95%</w:t>
            </w:r>
          </w:p>
        </w:tc>
        <w:tc>
          <w:tcPr>
            <w:tcW w:w="1276" w:type="dxa"/>
            <w:vAlign w:val="center"/>
          </w:tcPr>
          <w:p>
            <w:pPr>
              <w:pStyle w:val="13"/>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案件结案率(%)</w:t>
            </w:r>
          </w:p>
        </w:tc>
        <w:tc>
          <w:tcPr>
            <w:tcW w:w="5386" w:type="dxa"/>
            <w:vAlign w:val="center"/>
          </w:tcPr>
          <w:p>
            <w:pPr>
              <w:pStyle w:val="13"/>
            </w:pPr>
            <w:r>
              <w:t>案件判决数与审判案件的比率</w:t>
            </w:r>
          </w:p>
        </w:tc>
        <w:tc>
          <w:tcPr>
            <w:tcW w:w="2268" w:type="dxa"/>
            <w:vAlign w:val="center"/>
          </w:tcPr>
          <w:p>
            <w:pPr>
              <w:pStyle w:val="13"/>
            </w:pPr>
            <w:r>
              <w:t>≥85%</w:t>
            </w:r>
          </w:p>
        </w:tc>
        <w:tc>
          <w:tcPr>
            <w:tcW w:w="1276" w:type="dxa"/>
            <w:vAlign w:val="center"/>
          </w:tcPr>
          <w:p>
            <w:pPr>
              <w:pStyle w:val="13"/>
            </w:pPr>
            <w:r>
              <w:t>案件判决数与审判案件的比率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群众来访接待率</w:t>
            </w:r>
          </w:p>
        </w:tc>
        <w:tc>
          <w:tcPr>
            <w:tcW w:w="5386" w:type="dxa"/>
            <w:vAlign w:val="center"/>
          </w:tcPr>
          <w:p>
            <w:pPr>
              <w:pStyle w:val="13"/>
            </w:pPr>
            <w:r>
              <w:t>群众来访接待率</w:t>
            </w:r>
          </w:p>
        </w:tc>
        <w:tc>
          <w:tcPr>
            <w:tcW w:w="2268" w:type="dxa"/>
            <w:vAlign w:val="center"/>
          </w:tcPr>
          <w:p>
            <w:pPr>
              <w:pStyle w:val="13"/>
            </w:pPr>
            <w:r>
              <w:t>≥95%</w:t>
            </w:r>
          </w:p>
        </w:tc>
        <w:tc>
          <w:tcPr>
            <w:tcW w:w="1276" w:type="dxa"/>
            <w:vAlign w:val="center"/>
          </w:tcPr>
          <w:p>
            <w:pPr>
              <w:pStyle w:val="13"/>
            </w:pPr>
            <w:r>
              <w:t>群众来访接待率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持续促进政务信息队伍建设</w:t>
            </w:r>
          </w:p>
        </w:tc>
        <w:tc>
          <w:tcPr>
            <w:tcW w:w="5386" w:type="dxa"/>
            <w:vAlign w:val="center"/>
          </w:tcPr>
          <w:p>
            <w:pPr>
              <w:pStyle w:val="13"/>
            </w:pPr>
            <w:r>
              <w:t>持续促进政务信息队伍建设</w:t>
            </w:r>
          </w:p>
        </w:tc>
        <w:tc>
          <w:tcPr>
            <w:tcW w:w="2268" w:type="dxa"/>
            <w:vAlign w:val="center"/>
          </w:tcPr>
          <w:p>
            <w:pPr>
              <w:pStyle w:val="13"/>
            </w:pPr>
            <w:r>
              <w:t>≥95%</w:t>
            </w:r>
          </w:p>
        </w:tc>
        <w:tc>
          <w:tcPr>
            <w:tcW w:w="1276" w:type="dxa"/>
            <w:vAlign w:val="center"/>
          </w:tcPr>
          <w:p>
            <w:pPr>
              <w:pStyle w:val="13"/>
            </w:pPr>
            <w:r>
              <w:t>持续促进政务信息队伍建设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业务保障能力</w:t>
            </w:r>
          </w:p>
        </w:tc>
        <w:tc>
          <w:tcPr>
            <w:tcW w:w="5386" w:type="dxa"/>
            <w:vAlign w:val="center"/>
          </w:tcPr>
          <w:p>
            <w:pPr>
              <w:pStyle w:val="13"/>
            </w:pPr>
            <w:r>
              <w:t>保障相关业务、工作等开展的情况</w:t>
            </w:r>
          </w:p>
        </w:tc>
        <w:tc>
          <w:tcPr>
            <w:tcW w:w="2268" w:type="dxa"/>
            <w:vAlign w:val="center"/>
          </w:tcPr>
          <w:p>
            <w:pPr>
              <w:pStyle w:val="13"/>
            </w:pPr>
            <w:r>
              <w:t>≥95%</w:t>
            </w:r>
          </w:p>
        </w:tc>
        <w:tc>
          <w:tcPr>
            <w:tcW w:w="1276" w:type="dxa"/>
            <w:vAlign w:val="center"/>
          </w:tcPr>
          <w:p>
            <w:pPr>
              <w:pStyle w:val="13"/>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案件调解率</w:t>
            </w:r>
          </w:p>
        </w:tc>
        <w:tc>
          <w:tcPr>
            <w:tcW w:w="5386" w:type="dxa"/>
            <w:vAlign w:val="center"/>
          </w:tcPr>
          <w:p>
            <w:pPr>
              <w:pStyle w:val="13"/>
            </w:pPr>
            <w:r>
              <w:t>案件调解率</w:t>
            </w:r>
          </w:p>
        </w:tc>
        <w:tc>
          <w:tcPr>
            <w:tcW w:w="2268" w:type="dxa"/>
            <w:vAlign w:val="center"/>
          </w:tcPr>
          <w:p>
            <w:pPr>
              <w:pStyle w:val="13"/>
            </w:pPr>
            <w:r>
              <w:t>≥20%</w:t>
            </w:r>
          </w:p>
        </w:tc>
        <w:tc>
          <w:tcPr>
            <w:tcW w:w="1276" w:type="dxa"/>
            <w:vAlign w:val="center"/>
          </w:tcPr>
          <w:p>
            <w:pPr>
              <w:pStyle w:val="13"/>
            </w:pPr>
            <w:r>
              <w:t>案件调解率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加强节约集约利用，促进生态文明建设</w:t>
            </w:r>
          </w:p>
        </w:tc>
        <w:tc>
          <w:tcPr>
            <w:tcW w:w="5386" w:type="dxa"/>
            <w:vAlign w:val="center"/>
          </w:tcPr>
          <w:p>
            <w:pPr>
              <w:pStyle w:val="13"/>
            </w:pPr>
            <w:r>
              <w:t>加强节约集约利用，促进生态文明建设</w:t>
            </w:r>
          </w:p>
        </w:tc>
        <w:tc>
          <w:tcPr>
            <w:tcW w:w="2268" w:type="dxa"/>
            <w:vAlign w:val="center"/>
          </w:tcPr>
          <w:p>
            <w:pPr>
              <w:pStyle w:val="13"/>
            </w:pPr>
            <w:r>
              <w:t>≥95%</w:t>
            </w:r>
          </w:p>
        </w:tc>
        <w:tc>
          <w:tcPr>
            <w:tcW w:w="1276" w:type="dxa"/>
            <w:vAlign w:val="center"/>
          </w:tcPr>
          <w:p>
            <w:pPr>
              <w:pStyle w:val="13"/>
            </w:pPr>
            <w:r>
              <w:t>加强节约集约利用，促进生态文明建设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受益群众满意度调查</w:t>
            </w:r>
          </w:p>
        </w:tc>
        <w:tc>
          <w:tcPr>
            <w:tcW w:w="5386" w:type="dxa"/>
            <w:vAlign w:val="center"/>
          </w:tcPr>
          <w:p>
            <w:pPr>
              <w:pStyle w:val="13"/>
            </w:pPr>
            <w:r>
              <w:t>受益群众满意度调查</w:t>
            </w:r>
          </w:p>
        </w:tc>
        <w:tc>
          <w:tcPr>
            <w:tcW w:w="2268" w:type="dxa"/>
            <w:vAlign w:val="center"/>
          </w:tcPr>
          <w:p>
            <w:pPr>
              <w:pStyle w:val="13"/>
            </w:pPr>
            <w:r>
              <w:t>≥95%</w:t>
            </w:r>
          </w:p>
        </w:tc>
        <w:tc>
          <w:tcPr>
            <w:tcW w:w="1276" w:type="dxa"/>
            <w:vAlign w:val="center"/>
          </w:tcPr>
          <w:p>
            <w:pPr>
              <w:pStyle w:val="13"/>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8、电子卷宗扫描经费绩效目标表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13110024P007132103347</w:t>
            </w:r>
          </w:p>
        </w:tc>
        <w:tc>
          <w:tcPr>
            <w:tcW w:w="2835" w:type="dxa"/>
            <w:vAlign w:val="center"/>
          </w:tcPr>
          <w:p>
            <w:pPr>
              <w:pStyle w:val="11"/>
            </w:pPr>
            <w:r>
              <w:t>项目名称</w:t>
            </w:r>
          </w:p>
        </w:tc>
        <w:tc>
          <w:tcPr>
            <w:tcW w:w="6094" w:type="dxa"/>
            <w:gridSpan w:val="3"/>
            <w:vAlign w:val="center"/>
          </w:tcPr>
          <w:p>
            <w:pPr>
              <w:pStyle w:val="13"/>
            </w:pPr>
            <w:r>
              <w:t>电子卷宗扫描经费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50.36</w:t>
            </w:r>
          </w:p>
        </w:tc>
        <w:tc>
          <w:tcPr>
            <w:tcW w:w="2835" w:type="dxa"/>
            <w:vAlign w:val="center"/>
          </w:tcPr>
          <w:p>
            <w:pPr>
              <w:pStyle w:val="11"/>
            </w:pPr>
            <w:r>
              <w:t>其中：财政    资金</w:t>
            </w:r>
          </w:p>
        </w:tc>
        <w:tc>
          <w:tcPr>
            <w:tcW w:w="2551" w:type="dxa"/>
            <w:vAlign w:val="center"/>
          </w:tcPr>
          <w:p>
            <w:pPr>
              <w:pStyle w:val="13"/>
            </w:pPr>
            <w:r>
              <w:t>50.36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按时拨付卷宗扫描公司劳务费。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3"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1.按时拨付卷宗扫描公司劳务费。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扫描卷宗的数量</w:t>
            </w:r>
          </w:p>
        </w:tc>
        <w:tc>
          <w:tcPr>
            <w:tcW w:w="5386" w:type="dxa"/>
            <w:vAlign w:val="center"/>
          </w:tcPr>
          <w:p>
            <w:pPr>
              <w:pStyle w:val="13"/>
            </w:pPr>
            <w:r>
              <w:t>扫描卷宗的数量达到要求</w:t>
            </w:r>
          </w:p>
        </w:tc>
        <w:tc>
          <w:tcPr>
            <w:tcW w:w="2268" w:type="dxa"/>
            <w:vAlign w:val="center"/>
          </w:tcPr>
          <w:p>
            <w:pPr>
              <w:pStyle w:val="13"/>
            </w:pPr>
            <w:r>
              <w:t>≥95%</w:t>
            </w:r>
          </w:p>
        </w:tc>
        <w:tc>
          <w:tcPr>
            <w:tcW w:w="1276" w:type="dxa"/>
            <w:vAlign w:val="center"/>
          </w:tcPr>
          <w:p>
            <w:pPr>
              <w:pStyle w:val="13"/>
            </w:pPr>
            <w:r>
              <w:t>扫描卷宗的数量达到要求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外包公司扫描人员工作完成率</w:t>
            </w:r>
          </w:p>
        </w:tc>
        <w:tc>
          <w:tcPr>
            <w:tcW w:w="5386" w:type="dxa"/>
            <w:vAlign w:val="center"/>
          </w:tcPr>
          <w:p>
            <w:pPr>
              <w:pStyle w:val="13"/>
            </w:pPr>
            <w:r>
              <w:t>开庭记录、案卷整理归档等工作完成情况</w:t>
            </w:r>
          </w:p>
        </w:tc>
        <w:tc>
          <w:tcPr>
            <w:tcW w:w="2268" w:type="dxa"/>
            <w:vAlign w:val="center"/>
          </w:tcPr>
          <w:p>
            <w:pPr>
              <w:pStyle w:val="13"/>
            </w:pPr>
            <w:r>
              <w:t>≥95%</w:t>
            </w:r>
          </w:p>
        </w:tc>
        <w:tc>
          <w:tcPr>
            <w:tcW w:w="1276" w:type="dxa"/>
            <w:vAlign w:val="center"/>
          </w:tcPr>
          <w:p>
            <w:pPr>
              <w:pStyle w:val="13"/>
            </w:pPr>
            <w:r>
              <w:t>开庭记录、案卷整理归档等工作完成情况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对电子卷宗归档系统的熟练掌握程度</w:t>
            </w:r>
          </w:p>
        </w:tc>
        <w:tc>
          <w:tcPr>
            <w:tcW w:w="5386" w:type="dxa"/>
            <w:vAlign w:val="center"/>
          </w:tcPr>
          <w:p>
            <w:pPr>
              <w:pStyle w:val="13"/>
            </w:pPr>
            <w:r>
              <w:t>对电子卷宗自动随案生成系统的掌握</w:t>
            </w:r>
          </w:p>
        </w:tc>
        <w:tc>
          <w:tcPr>
            <w:tcW w:w="2268" w:type="dxa"/>
            <w:vAlign w:val="center"/>
          </w:tcPr>
          <w:p>
            <w:pPr>
              <w:pStyle w:val="13"/>
            </w:pPr>
            <w:r>
              <w:t>≥95%</w:t>
            </w:r>
          </w:p>
        </w:tc>
        <w:tc>
          <w:tcPr>
            <w:tcW w:w="1276" w:type="dxa"/>
            <w:vAlign w:val="center"/>
          </w:tcPr>
          <w:p>
            <w:pPr>
              <w:pStyle w:val="13"/>
            </w:pPr>
            <w:r>
              <w:t>对电子卷宗自动随案生成系统的掌握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成本控制情况</w:t>
            </w:r>
          </w:p>
        </w:tc>
        <w:tc>
          <w:tcPr>
            <w:tcW w:w="2268" w:type="dxa"/>
            <w:vAlign w:val="center"/>
          </w:tcPr>
          <w:p>
            <w:pPr>
              <w:pStyle w:val="13"/>
            </w:pPr>
            <w:r>
              <w:t>各项支出不高于行业标准或其他行业平均标准</w:t>
            </w:r>
          </w:p>
        </w:tc>
        <w:tc>
          <w:tcPr>
            <w:tcW w:w="1276" w:type="dxa"/>
            <w:vAlign w:val="center"/>
          </w:tcPr>
          <w:p>
            <w:pPr>
              <w:pStyle w:val="13"/>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提升公共服务水平和质量</w:t>
            </w:r>
          </w:p>
        </w:tc>
        <w:tc>
          <w:tcPr>
            <w:tcW w:w="5386" w:type="dxa"/>
            <w:vAlign w:val="center"/>
          </w:tcPr>
          <w:p>
            <w:pPr>
              <w:pStyle w:val="13"/>
            </w:pPr>
            <w:r>
              <w:t>提升公共服务水平和质量</w:t>
            </w:r>
          </w:p>
        </w:tc>
        <w:tc>
          <w:tcPr>
            <w:tcW w:w="2268" w:type="dxa"/>
            <w:vAlign w:val="center"/>
          </w:tcPr>
          <w:p>
            <w:pPr>
              <w:pStyle w:val="13"/>
            </w:pPr>
            <w:r>
              <w:t>≥95%</w:t>
            </w:r>
          </w:p>
        </w:tc>
        <w:tc>
          <w:tcPr>
            <w:tcW w:w="1276" w:type="dxa"/>
            <w:vAlign w:val="center"/>
          </w:tcPr>
          <w:p>
            <w:pPr>
              <w:pStyle w:val="13"/>
            </w:pPr>
            <w:r>
              <w:t>提升公共服务水平和质量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办理单位满意度</w:t>
            </w:r>
          </w:p>
        </w:tc>
        <w:tc>
          <w:tcPr>
            <w:tcW w:w="5386" w:type="dxa"/>
            <w:vAlign w:val="center"/>
          </w:tcPr>
          <w:p>
            <w:pPr>
              <w:pStyle w:val="13"/>
            </w:pPr>
            <w:r>
              <w:t>办理单位满意度</w:t>
            </w:r>
          </w:p>
        </w:tc>
        <w:tc>
          <w:tcPr>
            <w:tcW w:w="2268" w:type="dxa"/>
            <w:vAlign w:val="center"/>
          </w:tcPr>
          <w:p>
            <w:pPr>
              <w:pStyle w:val="13"/>
            </w:pPr>
            <w:r>
              <w:t>≥95%</w:t>
            </w:r>
          </w:p>
        </w:tc>
        <w:tc>
          <w:tcPr>
            <w:tcW w:w="1276" w:type="dxa"/>
            <w:vAlign w:val="center"/>
          </w:tcPr>
          <w:p>
            <w:pPr>
              <w:pStyle w:val="13"/>
            </w:pPr>
            <w:r>
              <w:t>办理单位满意度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9、劳务派遣人员经费绩效目标表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13110024P00713210331C</w:t>
            </w:r>
          </w:p>
        </w:tc>
        <w:tc>
          <w:tcPr>
            <w:tcW w:w="2835" w:type="dxa"/>
            <w:vAlign w:val="center"/>
          </w:tcPr>
          <w:p>
            <w:pPr>
              <w:pStyle w:val="11"/>
            </w:pPr>
            <w:r>
              <w:t>项目名称</w:t>
            </w:r>
          </w:p>
        </w:tc>
        <w:tc>
          <w:tcPr>
            <w:tcW w:w="6094" w:type="dxa"/>
            <w:gridSpan w:val="3"/>
            <w:vAlign w:val="center"/>
          </w:tcPr>
          <w:p>
            <w:pPr>
              <w:pStyle w:val="13"/>
            </w:pPr>
            <w:r>
              <w:t>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530.00</w:t>
            </w:r>
          </w:p>
        </w:tc>
        <w:tc>
          <w:tcPr>
            <w:tcW w:w="2835" w:type="dxa"/>
            <w:vAlign w:val="center"/>
          </w:tcPr>
          <w:p>
            <w:pPr>
              <w:pStyle w:val="11"/>
            </w:pPr>
            <w:r>
              <w:t>其中：财政    资金</w:t>
            </w:r>
          </w:p>
        </w:tc>
        <w:tc>
          <w:tcPr>
            <w:tcW w:w="2551" w:type="dxa"/>
            <w:vAlign w:val="center"/>
          </w:tcPr>
          <w:p>
            <w:pPr>
              <w:pStyle w:val="13"/>
            </w:pPr>
            <w:r>
              <w:t>530.00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按时发放劳务派遣人员薪酬，缴纳各项保险。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3"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1.按时发放劳务派遣人员薪酬，缴纳各项保险。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保障我单位劳务输入人员工资福利</w:t>
            </w:r>
          </w:p>
        </w:tc>
        <w:tc>
          <w:tcPr>
            <w:tcW w:w="5386" w:type="dxa"/>
            <w:vAlign w:val="center"/>
          </w:tcPr>
          <w:p>
            <w:pPr>
              <w:pStyle w:val="13"/>
            </w:pPr>
            <w:r>
              <w:t>保障我单位劳务输入人员工资福利</w:t>
            </w:r>
          </w:p>
        </w:tc>
        <w:tc>
          <w:tcPr>
            <w:tcW w:w="2268" w:type="dxa"/>
            <w:vAlign w:val="center"/>
          </w:tcPr>
          <w:p>
            <w:pPr>
              <w:pStyle w:val="13"/>
            </w:pPr>
            <w:r>
              <w:t>≥100人</w:t>
            </w:r>
          </w:p>
        </w:tc>
        <w:tc>
          <w:tcPr>
            <w:tcW w:w="1276" w:type="dxa"/>
            <w:vAlign w:val="center"/>
          </w:tcPr>
          <w:p>
            <w:pPr>
              <w:pStyle w:val="13"/>
            </w:pPr>
            <w:r>
              <w:t>保障我单位劳务输入人员工资福利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工资福利等发放标准</w:t>
            </w:r>
          </w:p>
        </w:tc>
        <w:tc>
          <w:tcPr>
            <w:tcW w:w="5386" w:type="dxa"/>
            <w:vAlign w:val="center"/>
          </w:tcPr>
          <w:p>
            <w:pPr>
              <w:pStyle w:val="13"/>
            </w:pPr>
            <w:r>
              <w:t>工资福利以及社会保障等发放标准</w:t>
            </w:r>
          </w:p>
        </w:tc>
        <w:tc>
          <w:tcPr>
            <w:tcW w:w="2268" w:type="dxa"/>
            <w:vAlign w:val="center"/>
          </w:tcPr>
          <w:p>
            <w:pPr>
              <w:pStyle w:val="13"/>
            </w:pPr>
            <w:r>
              <w:t>≥95%</w:t>
            </w:r>
          </w:p>
        </w:tc>
        <w:tc>
          <w:tcPr>
            <w:tcW w:w="1276" w:type="dxa"/>
            <w:vAlign w:val="center"/>
          </w:tcPr>
          <w:p>
            <w:pPr>
              <w:pStyle w:val="13"/>
            </w:pPr>
            <w:r>
              <w:t>工资福利以及社会保障等发放标准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实际发放的工资占比率</w:t>
            </w:r>
          </w:p>
        </w:tc>
        <w:tc>
          <w:tcPr>
            <w:tcW w:w="5386" w:type="dxa"/>
            <w:vAlign w:val="center"/>
          </w:tcPr>
          <w:p>
            <w:pPr>
              <w:pStyle w:val="13"/>
            </w:pPr>
            <w:r>
              <w:t>实际发放的工资占计划发放金额的比率</w:t>
            </w:r>
          </w:p>
        </w:tc>
        <w:tc>
          <w:tcPr>
            <w:tcW w:w="2268" w:type="dxa"/>
            <w:vAlign w:val="center"/>
          </w:tcPr>
          <w:p>
            <w:pPr>
              <w:pStyle w:val="13"/>
            </w:pPr>
            <w:r>
              <w:t>≥95%</w:t>
            </w:r>
          </w:p>
        </w:tc>
        <w:tc>
          <w:tcPr>
            <w:tcW w:w="1276" w:type="dxa"/>
            <w:vAlign w:val="center"/>
          </w:tcPr>
          <w:p>
            <w:pPr>
              <w:pStyle w:val="13"/>
            </w:pPr>
            <w:r>
              <w:t>实际发放的工资占计划发放金额的比率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成本控制情况</w:t>
            </w:r>
          </w:p>
        </w:tc>
        <w:tc>
          <w:tcPr>
            <w:tcW w:w="2268" w:type="dxa"/>
            <w:vAlign w:val="center"/>
          </w:tcPr>
          <w:p>
            <w:pPr>
              <w:pStyle w:val="13"/>
            </w:pPr>
            <w:r>
              <w:t>各项支出不高于行业标准或其他行业平均标准</w:t>
            </w:r>
          </w:p>
        </w:tc>
        <w:tc>
          <w:tcPr>
            <w:tcW w:w="1276" w:type="dxa"/>
            <w:vAlign w:val="center"/>
          </w:tcPr>
          <w:p>
            <w:pPr>
              <w:pStyle w:val="13"/>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保证人才队伍可持续建设</w:t>
            </w:r>
          </w:p>
        </w:tc>
        <w:tc>
          <w:tcPr>
            <w:tcW w:w="5386" w:type="dxa"/>
            <w:vAlign w:val="center"/>
          </w:tcPr>
          <w:p>
            <w:pPr>
              <w:pStyle w:val="13"/>
            </w:pPr>
            <w:r>
              <w:t>保证人才队伍可持续建设</w:t>
            </w:r>
          </w:p>
        </w:tc>
        <w:tc>
          <w:tcPr>
            <w:tcW w:w="2268" w:type="dxa"/>
            <w:vAlign w:val="center"/>
          </w:tcPr>
          <w:p>
            <w:pPr>
              <w:pStyle w:val="13"/>
            </w:pPr>
            <w:r>
              <w:t>≥95%</w:t>
            </w:r>
          </w:p>
        </w:tc>
        <w:tc>
          <w:tcPr>
            <w:tcW w:w="1276" w:type="dxa"/>
            <w:vAlign w:val="center"/>
          </w:tcPr>
          <w:p>
            <w:pPr>
              <w:pStyle w:val="13"/>
            </w:pPr>
            <w:r>
              <w:t>保证人才队伍可持续建设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通过问卷调查，满意对象占比例</w:t>
            </w:r>
          </w:p>
        </w:tc>
        <w:tc>
          <w:tcPr>
            <w:tcW w:w="5386" w:type="dxa"/>
            <w:vAlign w:val="center"/>
          </w:tcPr>
          <w:p>
            <w:pPr>
              <w:pStyle w:val="13"/>
            </w:pPr>
            <w:r>
              <w:t>通过问卷调查，满意和较满意的对象占所有调查对象的比例</w:t>
            </w:r>
          </w:p>
        </w:tc>
        <w:tc>
          <w:tcPr>
            <w:tcW w:w="2268" w:type="dxa"/>
            <w:vAlign w:val="center"/>
          </w:tcPr>
          <w:p>
            <w:pPr>
              <w:pStyle w:val="13"/>
            </w:pPr>
            <w:r>
              <w:t>≥95%</w:t>
            </w:r>
          </w:p>
        </w:tc>
        <w:tc>
          <w:tcPr>
            <w:tcW w:w="1276" w:type="dxa"/>
            <w:vAlign w:val="center"/>
          </w:tcPr>
          <w:p>
            <w:pPr>
              <w:pStyle w:val="13"/>
            </w:pPr>
            <w:r>
              <w:t>通过问卷调查，满意和较满意的对象占所有调查对象的比例</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10、聘任制书记员经费 财力绩效目标表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13110024P00713210440X</w:t>
            </w:r>
          </w:p>
        </w:tc>
        <w:tc>
          <w:tcPr>
            <w:tcW w:w="2835" w:type="dxa"/>
            <w:vAlign w:val="center"/>
          </w:tcPr>
          <w:p>
            <w:pPr>
              <w:pStyle w:val="11"/>
            </w:pPr>
            <w:r>
              <w:t>项目名称</w:t>
            </w:r>
          </w:p>
        </w:tc>
        <w:tc>
          <w:tcPr>
            <w:tcW w:w="6094" w:type="dxa"/>
            <w:gridSpan w:val="3"/>
            <w:vAlign w:val="center"/>
          </w:tcPr>
          <w:p>
            <w:pPr>
              <w:pStyle w:val="13"/>
            </w:pPr>
            <w:r>
              <w:t>聘任制书记员经费 财力</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276.00</w:t>
            </w:r>
          </w:p>
        </w:tc>
        <w:tc>
          <w:tcPr>
            <w:tcW w:w="2835" w:type="dxa"/>
            <w:vAlign w:val="center"/>
          </w:tcPr>
          <w:p>
            <w:pPr>
              <w:pStyle w:val="11"/>
            </w:pPr>
            <w:r>
              <w:t>其中：财政    资金</w:t>
            </w:r>
          </w:p>
        </w:tc>
        <w:tc>
          <w:tcPr>
            <w:tcW w:w="2551" w:type="dxa"/>
            <w:vAlign w:val="center"/>
          </w:tcPr>
          <w:p>
            <w:pPr>
              <w:pStyle w:val="13"/>
            </w:pPr>
            <w:r>
              <w:t>276.00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建立与等级、业绩挂钩的聘用制书记员薪酬制度，按时发放聘任制书记员薪酬。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3"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1.建立与等级、业绩挂钩的聘用制书记员薪酬制度，按时发放聘任制书记员薪酬。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实际完成招聘人数</w:t>
            </w:r>
          </w:p>
        </w:tc>
        <w:tc>
          <w:tcPr>
            <w:tcW w:w="5386" w:type="dxa"/>
            <w:vAlign w:val="center"/>
          </w:tcPr>
          <w:p>
            <w:pPr>
              <w:pStyle w:val="13"/>
            </w:pPr>
            <w:r>
              <w:t>实际完成招聘人数</w:t>
            </w:r>
          </w:p>
        </w:tc>
        <w:tc>
          <w:tcPr>
            <w:tcW w:w="2268" w:type="dxa"/>
            <w:vAlign w:val="center"/>
          </w:tcPr>
          <w:p>
            <w:pPr>
              <w:pStyle w:val="13"/>
            </w:pPr>
            <w:r>
              <w:t>≥45人</w:t>
            </w:r>
          </w:p>
        </w:tc>
        <w:tc>
          <w:tcPr>
            <w:tcW w:w="1276" w:type="dxa"/>
            <w:vAlign w:val="center"/>
          </w:tcPr>
          <w:p>
            <w:pPr>
              <w:pStyle w:val="13"/>
            </w:pPr>
            <w:r>
              <w:t>实际完成招聘人数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支付聘用人员工资额</w:t>
            </w:r>
          </w:p>
        </w:tc>
        <w:tc>
          <w:tcPr>
            <w:tcW w:w="5386" w:type="dxa"/>
            <w:vAlign w:val="center"/>
          </w:tcPr>
          <w:p>
            <w:pPr>
              <w:pStyle w:val="13"/>
            </w:pPr>
            <w:r>
              <w:t>支付聘用人员工资额</w:t>
            </w:r>
          </w:p>
        </w:tc>
        <w:tc>
          <w:tcPr>
            <w:tcW w:w="2268" w:type="dxa"/>
            <w:vAlign w:val="center"/>
          </w:tcPr>
          <w:p>
            <w:pPr>
              <w:pStyle w:val="13"/>
            </w:pPr>
            <w:r>
              <w:t>≥95%</w:t>
            </w:r>
          </w:p>
        </w:tc>
        <w:tc>
          <w:tcPr>
            <w:tcW w:w="1276" w:type="dxa"/>
            <w:vAlign w:val="center"/>
          </w:tcPr>
          <w:p>
            <w:pPr>
              <w:pStyle w:val="13"/>
            </w:pPr>
            <w:r>
              <w:t>支付聘用人员工资额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实际发放的工资比率</w:t>
            </w:r>
          </w:p>
        </w:tc>
        <w:tc>
          <w:tcPr>
            <w:tcW w:w="5386" w:type="dxa"/>
            <w:vAlign w:val="center"/>
          </w:tcPr>
          <w:p>
            <w:pPr>
              <w:pStyle w:val="13"/>
            </w:pPr>
            <w:r>
              <w:t>实际发放的工资占计划发放金额的比率</w:t>
            </w:r>
          </w:p>
        </w:tc>
        <w:tc>
          <w:tcPr>
            <w:tcW w:w="2268" w:type="dxa"/>
            <w:vAlign w:val="center"/>
          </w:tcPr>
          <w:p>
            <w:pPr>
              <w:pStyle w:val="13"/>
            </w:pPr>
            <w:r>
              <w:t>≥95%</w:t>
            </w:r>
          </w:p>
        </w:tc>
        <w:tc>
          <w:tcPr>
            <w:tcW w:w="1276" w:type="dxa"/>
            <w:vAlign w:val="center"/>
          </w:tcPr>
          <w:p>
            <w:pPr>
              <w:pStyle w:val="13"/>
            </w:pPr>
            <w:r>
              <w:t>实际发放的工资占计划发放金额的比率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成本控制情况</w:t>
            </w:r>
          </w:p>
        </w:tc>
        <w:tc>
          <w:tcPr>
            <w:tcW w:w="2268" w:type="dxa"/>
            <w:vAlign w:val="center"/>
          </w:tcPr>
          <w:p>
            <w:pPr>
              <w:pStyle w:val="13"/>
            </w:pPr>
            <w:r>
              <w:t>各项支出不高于行业标准或其他行业平均标准</w:t>
            </w:r>
          </w:p>
        </w:tc>
        <w:tc>
          <w:tcPr>
            <w:tcW w:w="1276" w:type="dxa"/>
            <w:vAlign w:val="center"/>
          </w:tcPr>
          <w:p>
            <w:pPr>
              <w:pStyle w:val="13"/>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保证人才队伍可持续建设</w:t>
            </w:r>
          </w:p>
        </w:tc>
        <w:tc>
          <w:tcPr>
            <w:tcW w:w="5386" w:type="dxa"/>
            <w:vAlign w:val="center"/>
          </w:tcPr>
          <w:p>
            <w:pPr>
              <w:pStyle w:val="13"/>
            </w:pPr>
            <w:r>
              <w:t>保证人才队伍可持续建设</w:t>
            </w:r>
          </w:p>
        </w:tc>
        <w:tc>
          <w:tcPr>
            <w:tcW w:w="2268" w:type="dxa"/>
            <w:vAlign w:val="center"/>
          </w:tcPr>
          <w:p>
            <w:pPr>
              <w:pStyle w:val="13"/>
            </w:pPr>
            <w:r>
              <w:t>≥95%</w:t>
            </w:r>
          </w:p>
        </w:tc>
        <w:tc>
          <w:tcPr>
            <w:tcW w:w="1276" w:type="dxa"/>
            <w:vAlign w:val="center"/>
          </w:tcPr>
          <w:p>
            <w:pPr>
              <w:pStyle w:val="13"/>
            </w:pPr>
            <w:r>
              <w:t>保证人才队伍可持续建设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11、聘用制书记员经费绩效目标表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13110024P00713210330Q</w:t>
            </w:r>
          </w:p>
        </w:tc>
        <w:tc>
          <w:tcPr>
            <w:tcW w:w="2835" w:type="dxa"/>
            <w:vAlign w:val="center"/>
          </w:tcPr>
          <w:p>
            <w:pPr>
              <w:pStyle w:val="11"/>
            </w:pPr>
            <w:r>
              <w:t>项目名称</w:t>
            </w:r>
          </w:p>
        </w:tc>
        <w:tc>
          <w:tcPr>
            <w:tcW w:w="6094" w:type="dxa"/>
            <w:gridSpan w:val="3"/>
            <w:vAlign w:val="center"/>
          </w:tcPr>
          <w:p>
            <w:pPr>
              <w:pStyle w:val="13"/>
            </w:pPr>
            <w:r>
              <w:t>聘用制书记员经费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建立与等级、业绩挂钩的聘用制书记员薪酬制度，按时发放聘任制书记员薪酬。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3"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1.建立与等级、业绩挂钩的聘用制书记员薪酬制度，按时发放聘任制书记员薪酬。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实际完成招聘人数</w:t>
            </w:r>
          </w:p>
        </w:tc>
        <w:tc>
          <w:tcPr>
            <w:tcW w:w="5386" w:type="dxa"/>
            <w:vAlign w:val="center"/>
          </w:tcPr>
          <w:p>
            <w:pPr>
              <w:pStyle w:val="13"/>
            </w:pPr>
            <w:r>
              <w:t>实际完成招聘人数</w:t>
            </w:r>
          </w:p>
        </w:tc>
        <w:tc>
          <w:tcPr>
            <w:tcW w:w="2268" w:type="dxa"/>
            <w:vAlign w:val="center"/>
          </w:tcPr>
          <w:p>
            <w:pPr>
              <w:pStyle w:val="13"/>
            </w:pPr>
            <w:r>
              <w:t>≥45人</w:t>
            </w:r>
          </w:p>
        </w:tc>
        <w:tc>
          <w:tcPr>
            <w:tcW w:w="1276" w:type="dxa"/>
            <w:vAlign w:val="center"/>
          </w:tcPr>
          <w:p>
            <w:pPr>
              <w:pStyle w:val="13"/>
            </w:pPr>
            <w:r>
              <w:t>实际完成招聘人数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支付聘用人员工资额</w:t>
            </w:r>
          </w:p>
        </w:tc>
        <w:tc>
          <w:tcPr>
            <w:tcW w:w="5386" w:type="dxa"/>
            <w:vAlign w:val="center"/>
          </w:tcPr>
          <w:p>
            <w:pPr>
              <w:pStyle w:val="13"/>
            </w:pPr>
            <w:r>
              <w:t>支付聘用人员工资额</w:t>
            </w:r>
          </w:p>
        </w:tc>
        <w:tc>
          <w:tcPr>
            <w:tcW w:w="2268" w:type="dxa"/>
            <w:vAlign w:val="center"/>
          </w:tcPr>
          <w:p>
            <w:pPr>
              <w:pStyle w:val="13"/>
            </w:pPr>
            <w:r>
              <w:t>≥95%</w:t>
            </w:r>
          </w:p>
        </w:tc>
        <w:tc>
          <w:tcPr>
            <w:tcW w:w="1276" w:type="dxa"/>
            <w:vAlign w:val="center"/>
          </w:tcPr>
          <w:p>
            <w:pPr>
              <w:pStyle w:val="13"/>
            </w:pPr>
            <w:r>
              <w:t>支付聘用人员工资额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实际发放的工资比率</w:t>
            </w:r>
          </w:p>
        </w:tc>
        <w:tc>
          <w:tcPr>
            <w:tcW w:w="5386" w:type="dxa"/>
            <w:vAlign w:val="center"/>
          </w:tcPr>
          <w:p>
            <w:pPr>
              <w:pStyle w:val="13"/>
            </w:pPr>
            <w:r>
              <w:t>实际发放的工资占计划发放金额的比率</w:t>
            </w:r>
          </w:p>
        </w:tc>
        <w:tc>
          <w:tcPr>
            <w:tcW w:w="2268" w:type="dxa"/>
            <w:vAlign w:val="center"/>
          </w:tcPr>
          <w:p>
            <w:pPr>
              <w:pStyle w:val="13"/>
            </w:pPr>
            <w:r>
              <w:t>≥95%</w:t>
            </w:r>
          </w:p>
        </w:tc>
        <w:tc>
          <w:tcPr>
            <w:tcW w:w="1276" w:type="dxa"/>
            <w:vAlign w:val="center"/>
          </w:tcPr>
          <w:p>
            <w:pPr>
              <w:pStyle w:val="13"/>
            </w:pPr>
            <w:r>
              <w:t>实际发放的工资占计划发放金额的比率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成本控制情况</w:t>
            </w:r>
          </w:p>
        </w:tc>
        <w:tc>
          <w:tcPr>
            <w:tcW w:w="2268" w:type="dxa"/>
            <w:vAlign w:val="center"/>
          </w:tcPr>
          <w:p>
            <w:pPr>
              <w:pStyle w:val="13"/>
            </w:pPr>
            <w:r>
              <w:t>各项支出不高于行业标准或其他行业平均标准</w:t>
            </w:r>
          </w:p>
        </w:tc>
        <w:tc>
          <w:tcPr>
            <w:tcW w:w="1276" w:type="dxa"/>
            <w:vAlign w:val="center"/>
          </w:tcPr>
          <w:p>
            <w:pPr>
              <w:pStyle w:val="13"/>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保证人才队伍可持续建设</w:t>
            </w:r>
          </w:p>
        </w:tc>
        <w:tc>
          <w:tcPr>
            <w:tcW w:w="5386" w:type="dxa"/>
            <w:vAlign w:val="center"/>
          </w:tcPr>
          <w:p>
            <w:pPr>
              <w:pStyle w:val="13"/>
            </w:pPr>
            <w:r>
              <w:t>保证人才队伍可持续建设</w:t>
            </w:r>
          </w:p>
        </w:tc>
        <w:tc>
          <w:tcPr>
            <w:tcW w:w="2268" w:type="dxa"/>
            <w:vAlign w:val="center"/>
          </w:tcPr>
          <w:p>
            <w:pPr>
              <w:pStyle w:val="13"/>
            </w:pPr>
            <w:r>
              <w:t>≥95%</w:t>
            </w:r>
          </w:p>
        </w:tc>
        <w:tc>
          <w:tcPr>
            <w:tcW w:w="1276" w:type="dxa"/>
            <w:vAlign w:val="center"/>
          </w:tcPr>
          <w:p>
            <w:pPr>
              <w:pStyle w:val="13"/>
            </w:pPr>
            <w:r>
              <w:t>保证人才队伍可持续建设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满意率</w:t>
            </w:r>
          </w:p>
        </w:tc>
        <w:tc>
          <w:tcPr>
            <w:tcW w:w="2268" w:type="dxa"/>
            <w:vAlign w:val="center"/>
          </w:tcPr>
          <w:p>
            <w:pPr>
              <w:pStyle w:val="13"/>
            </w:pPr>
            <w:r>
              <w:t>≥95%</w:t>
            </w:r>
          </w:p>
        </w:tc>
        <w:tc>
          <w:tcPr>
            <w:tcW w:w="1276" w:type="dxa"/>
            <w:vAlign w:val="center"/>
          </w:tcPr>
          <w:p>
            <w:pPr>
              <w:pStyle w:val="13"/>
            </w:pPr>
            <w:r>
              <w:t>满意率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12、三级调解员费用绩效目标表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13110024P00713210336E</w:t>
            </w:r>
          </w:p>
        </w:tc>
        <w:tc>
          <w:tcPr>
            <w:tcW w:w="2835" w:type="dxa"/>
            <w:vAlign w:val="center"/>
          </w:tcPr>
          <w:p>
            <w:pPr>
              <w:pStyle w:val="11"/>
            </w:pPr>
            <w:r>
              <w:t>项目名称</w:t>
            </w:r>
          </w:p>
        </w:tc>
        <w:tc>
          <w:tcPr>
            <w:tcW w:w="6094" w:type="dxa"/>
            <w:gridSpan w:val="3"/>
            <w:vAlign w:val="center"/>
          </w:tcPr>
          <w:p>
            <w:pPr>
              <w:pStyle w:val="13"/>
            </w:pPr>
            <w:r>
              <w:t>三级调解员费用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妥善审理经济转型过程中印发的各类矛盾纠纷，依法维护国家安全和社会稳定，严惩各类严重刑事犯罪，积极推挤平安社区建设，营造良好的法制环境。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3"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1.妥善审理经济转型过程中印发的各类矛盾纠纷，依法维护国家安全和社会稳定，严惩各类严重刑事犯罪，积极推挤平安社区建设，营造良好的法制环境。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监管系统重大保障处理响应时间</w:t>
            </w:r>
          </w:p>
        </w:tc>
        <w:tc>
          <w:tcPr>
            <w:tcW w:w="5386" w:type="dxa"/>
            <w:vAlign w:val="center"/>
          </w:tcPr>
          <w:p>
            <w:pPr>
              <w:pStyle w:val="13"/>
            </w:pPr>
            <w:r>
              <w:t>监管系统重大保障处理响应时间</w:t>
            </w:r>
          </w:p>
        </w:tc>
        <w:tc>
          <w:tcPr>
            <w:tcW w:w="2268" w:type="dxa"/>
            <w:vAlign w:val="center"/>
          </w:tcPr>
          <w:p>
            <w:pPr>
              <w:pStyle w:val="13"/>
            </w:pPr>
            <w:r>
              <w:t>≥95%</w:t>
            </w:r>
          </w:p>
        </w:tc>
        <w:tc>
          <w:tcPr>
            <w:tcW w:w="1276" w:type="dxa"/>
            <w:vAlign w:val="center"/>
          </w:tcPr>
          <w:p>
            <w:pPr>
              <w:pStyle w:val="13"/>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≥95%</w:t>
            </w:r>
          </w:p>
        </w:tc>
        <w:tc>
          <w:tcPr>
            <w:tcW w:w="1276" w:type="dxa"/>
            <w:vAlign w:val="center"/>
          </w:tcPr>
          <w:p>
            <w:pPr>
              <w:pStyle w:val="13"/>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工作按时完成率</w:t>
            </w:r>
          </w:p>
        </w:tc>
        <w:tc>
          <w:tcPr>
            <w:tcW w:w="5386" w:type="dxa"/>
            <w:vAlign w:val="center"/>
          </w:tcPr>
          <w:p>
            <w:pPr>
              <w:pStyle w:val="13"/>
            </w:pPr>
            <w:r>
              <w:t>工作按时完成率</w:t>
            </w:r>
          </w:p>
        </w:tc>
        <w:tc>
          <w:tcPr>
            <w:tcW w:w="2268" w:type="dxa"/>
            <w:vAlign w:val="center"/>
          </w:tcPr>
          <w:p>
            <w:pPr>
              <w:pStyle w:val="13"/>
            </w:pPr>
            <w:r>
              <w:t>≥85%</w:t>
            </w:r>
          </w:p>
        </w:tc>
        <w:tc>
          <w:tcPr>
            <w:tcW w:w="1276" w:type="dxa"/>
            <w:vAlign w:val="center"/>
          </w:tcPr>
          <w:p>
            <w:pPr>
              <w:pStyle w:val="13"/>
            </w:pPr>
            <w:r>
              <w:t>工作按时完成率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成本控制情况</w:t>
            </w:r>
          </w:p>
        </w:tc>
        <w:tc>
          <w:tcPr>
            <w:tcW w:w="2268" w:type="dxa"/>
            <w:vAlign w:val="center"/>
          </w:tcPr>
          <w:p>
            <w:pPr>
              <w:pStyle w:val="13"/>
            </w:pPr>
            <w:r>
              <w:t>各项支出不高于行业标准或其他行业平均标准</w:t>
            </w:r>
          </w:p>
        </w:tc>
        <w:tc>
          <w:tcPr>
            <w:tcW w:w="1276" w:type="dxa"/>
            <w:vAlign w:val="center"/>
          </w:tcPr>
          <w:p>
            <w:pPr>
              <w:pStyle w:val="13"/>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持续促进政务信息队伍建设</w:t>
            </w:r>
          </w:p>
        </w:tc>
        <w:tc>
          <w:tcPr>
            <w:tcW w:w="5386" w:type="dxa"/>
            <w:vAlign w:val="center"/>
          </w:tcPr>
          <w:p>
            <w:pPr>
              <w:pStyle w:val="13"/>
            </w:pPr>
            <w:r>
              <w:t>持续促进政务信息队伍建设</w:t>
            </w:r>
          </w:p>
        </w:tc>
        <w:tc>
          <w:tcPr>
            <w:tcW w:w="2268" w:type="dxa"/>
            <w:vAlign w:val="center"/>
          </w:tcPr>
          <w:p>
            <w:pPr>
              <w:pStyle w:val="13"/>
            </w:pPr>
            <w:r>
              <w:t>≥95%</w:t>
            </w:r>
          </w:p>
        </w:tc>
        <w:tc>
          <w:tcPr>
            <w:tcW w:w="1276" w:type="dxa"/>
            <w:vAlign w:val="center"/>
          </w:tcPr>
          <w:p>
            <w:pPr>
              <w:pStyle w:val="13"/>
            </w:pPr>
            <w:r>
              <w:t>持续促进政务信息队伍建设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受益群众满意度调查</w:t>
            </w:r>
          </w:p>
        </w:tc>
        <w:tc>
          <w:tcPr>
            <w:tcW w:w="5386" w:type="dxa"/>
            <w:vAlign w:val="center"/>
          </w:tcPr>
          <w:p>
            <w:pPr>
              <w:pStyle w:val="13"/>
            </w:pPr>
            <w:r>
              <w:t>受益群众满意度调查</w:t>
            </w:r>
          </w:p>
        </w:tc>
        <w:tc>
          <w:tcPr>
            <w:tcW w:w="2268" w:type="dxa"/>
            <w:vAlign w:val="center"/>
          </w:tcPr>
          <w:p>
            <w:pPr>
              <w:pStyle w:val="13"/>
            </w:pPr>
            <w:r>
              <w:t>≥95%</w:t>
            </w:r>
          </w:p>
        </w:tc>
        <w:tc>
          <w:tcPr>
            <w:tcW w:w="1276" w:type="dxa"/>
            <w:vAlign w:val="center"/>
          </w:tcPr>
          <w:p>
            <w:pPr>
              <w:pStyle w:val="13"/>
            </w:pPr>
            <w:r>
              <w:t>受益群众满意度调查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13、网络建设及运维经费绩效目标表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13110024P00713210333K</w:t>
            </w:r>
          </w:p>
        </w:tc>
        <w:tc>
          <w:tcPr>
            <w:tcW w:w="2835" w:type="dxa"/>
            <w:vAlign w:val="center"/>
          </w:tcPr>
          <w:p>
            <w:pPr>
              <w:pStyle w:val="11"/>
            </w:pPr>
            <w:r>
              <w:t>项目名称</w:t>
            </w:r>
          </w:p>
        </w:tc>
        <w:tc>
          <w:tcPr>
            <w:tcW w:w="6094" w:type="dxa"/>
            <w:gridSpan w:val="3"/>
            <w:vAlign w:val="center"/>
          </w:tcPr>
          <w:p>
            <w:pPr>
              <w:pStyle w:val="13"/>
            </w:pPr>
            <w:r>
              <w:t>网络建设及运维经费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及时处理业务系统故障，做好无纸化、信息化、智能化办公的保障。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3"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1.及时处理业务系统故障，做好无纸化、信息化、智能化办公的保障。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保障正常开展办公人数</w:t>
            </w:r>
          </w:p>
        </w:tc>
        <w:tc>
          <w:tcPr>
            <w:tcW w:w="5386" w:type="dxa"/>
            <w:vAlign w:val="center"/>
          </w:tcPr>
          <w:p>
            <w:pPr>
              <w:pStyle w:val="13"/>
            </w:pPr>
            <w:r>
              <w:t>保障正常开展办公人数</w:t>
            </w:r>
          </w:p>
        </w:tc>
        <w:tc>
          <w:tcPr>
            <w:tcW w:w="2268" w:type="dxa"/>
            <w:vAlign w:val="center"/>
          </w:tcPr>
          <w:p>
            <w:pPr>
              <w:pStyle w:val="13"/>
            </w:pPr>
            <w:r>
              <w:t>≥200人</w:t>
            </w:r>
          </w:p>
        </w:tc>
        <w:tc>
          <w:tcPr>
            <w:tcW w:w="1276" w:type="dxa"/>
            <w:vAlign w:val="center"/>
          </w:tcPr>
          <w:p>
            <w:pPr>
              <w:pStyle w:val="13"/>
            </w:pPr>
            <w:r>
              <w:t>保障正常开展办公人数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系统响应速率(％)</w:t>
            </w:r>
          </w:p>
        </w:tc>
        <w:tc>
          <w:tcPr>
            <w:tcW w:w="5386" w:type="dxa"/>
            <w:vAlign w:val="center"/>
          </w:tcPr>
          <w:p>
            <w:pPr>
              <w:pStyle w:val="13"/>
            </w:pPr>
            <w:r>
              <w:t>系统高峰时段平均响应时间与合理的响应时间的比率</w:t>
            </w:r>
          </w:p>
        </w:tc>
        <w:tc>
          <w:tcPr>
            <w:tcW w:w="2268" w:type="dxa"/>
            <w:vAlign w:val="center"/>
          </w:tcPr>
          <w:p>
            <w:pPr>
              <w:pStyle w:val="13"/>
            </w:pPr>
            <w:r>
              <w:t>≥95%</w:t>
            </w:r>
          </w:p>
        </w:tc>
        <w:tc>
          <w:tcPr>
            <w:tcW w:w="1276" w:type="dxa"/>
            <w:vAlign w:val="center"/>
          </w:tcPr>
          <w:p>
            <w:pPr>
              <w:pStyle w:val="13"/>
            </w:pPr>
            <w:r>
              <w:t>系统高峰时段平均响应时间与合理的响应时间的比率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修复任务完成及时率</w:t>
            </w:r>
          </w:p>
        </w:tc>
        <w:tc>
          <w:tcPr>
            <w:tcW w:w="5386" w:type="dxa"/>
            <w:vAlign w:val="center"/>
          </w:tcPr>
          <w:p>
            <w:pPr>
              <w:pStyle w:val="13"/>
            </w:pPr>
            <w:r>
              <w:t>修复任务完成及时率</w:t>
            </w:r>
          </w:p>
        </w:tc>
        <w:tc>
          <w:tcPr>
            <w:tcW w:w="2268" w:type="dxa"/>
            <w:vAlign w:val="center"/>
          </w:tcPr>
          <w:p>
            <w:pPr>
              <w:pStyle w:val="13"/>
            </w:pPr>
            <w:r>
              <w:t>≥95%</w:t>
            </w:r>
          </w:p>
        </w:tc>
        <w:tc>
          <w:tcPr>
            <w:tcW w:w="1276" w:type="dxa"/>
            <w:vAlign w:val="center"/>
          </w:tcPr>
          <w:p>
            <w:pPr>
              <w:pStyle w:val="13"/>
            </w:pPr>
            <w:r>
              <w:t>修复任务完成及时率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成本控制情况</w:t>
            </w:r>
          </w:p>
        </w:tc>
        <w:tc>
          <w:tcPr>
            <w:tcW w:w="2268" w:type="dxa"/>
            <w:vAlign w:val="center"/>
          </w:tcPr>
          <w:p>
            <w:pPr>
              <w:pStyle w:val="13"/>
            </w:pPr>
            <w:r>
              <w:t>各项支出不高于行业标准或其他行业平均标准</w:t>
            </w:r>
          </w:p>
        </w:tc>
        <w:tc>
          <w:tcPr>
            <w:tcW w:w="1276" w:type="dxa"/>
            <w:vAlign w:val="center"/>
          </w:tcPr>
          <w:p>
            <w:pPr>
              <w:pStyle w:val="13"/>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设备购置类项目持续</w:t>
            </w:r>
          </w:p>
        </w:tc>
        <w:tc>
          <w:tcPr>
            <w:tcW w:w="5386" w:type="dxa"/>
            <w:vAlign w:val="center"/>
          </w:tcPr>
          <w:p>
            <w:pPr>
              <w:pStyle w:val="13"/>
            </w:pPr>
            <w:r>
              <w:t>设备购置类项目持续使用时间（年）</w:t>
            </w:r>
          </w:p>
        </w:tc>
        <w:tc>
          <w:tcPr>
            <w:tcW w:w="2268" w:type="dxa"/>
            <w:vAlign w:val="center"/>
          </w:tcPr>
          <w:p>
            <w:pPr>
              <w:pStyle w:val="13"/>
            </w:pPr>
            <w:r>
              <w:t>≥95%</w:t>
            </w:r>
          </w:p>
        </w:tc>
        <w:tc>
          <w:tcPr>
            <w:tcW w:w="1276" w:type="dxa"/>
            <w:vAlign w:val="center"/>
          </w:tcPr>
          <w:p>
            <w:pPr>
              <w:pStyle w:val="13"/>
            </w:pPr>
            <w:r>
              <w:t>设备购置类项目持续使用时间（年）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服务对象满意度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14、运行保障及办案业务经费绩效目标表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13110024P007132103320</w:t>
            </w:r>
          </w:p>
        </w:tc>
        <w:tc>
          <w:tcPr>
            <w:tcW w:w="2835" w:type="dxa"/>
            <w:vAlign w:val="center"/>
          </w:tcPr>
          <w:p>
            <w:pPr>
              <w:pStyle w:val="11"/>
            </w:pPr>
            <w:r>
              <w:t>项目名称</w:t>
            </w:r>
          </w:p>
        </w:tc>
        <w:tc>
          <w:tcPr>
            <w:tcW w:w="6094" w:type="dxa"/>
            <w:gridSpan w:val="3"/>
            <w:vAlign w:val="center"/>
          </w:tcPr>
          <w:p>
            <w:pPr>
              <w:pStyle w:val="13"/>
            </w:pPr>
            <w:r>
              <w:t>运行保障及办案业务经费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400.00</w:t>
            </w:r>
          </w:p>
        </w:tc>
        <w:tc>
          <w:tcPr>
            <w:tcW w:w="2835" w:type="dxa"/>
            <w:vAlign w:val="center"/>
          </w:tcPr>
          <w:p>
            <w:pPr>
              <w:pStyle w:val="11"/>
            </w:pPr>
            <w:r>
              <w:t>其中：财政    资金</w:t>
            </w:r>
          </w:p>
        </w:tc>
        <w:tc>
          <w:tcPr>
            <w:tcW w:w="2551" w:type="dxa"/>
            <w:vAlign w:val="center"/>
          </w:tcPr>
          <w:p>
            <w:pPr>
              <w:pStyle w:val="13"/>
            </w:pPr>
            <w:r>
              <w:t>400.00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保障我单位日常工作的正常运转，对各类设备进行及时更新和维修，为干警提供良好的工作环境，为群众提供高效快捷的诉讼服务。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25%</w:t>
            </w:r>
          </w:p>
        </w:tc>
        <w:tc>
          <w:tcPr>
            <w:tcW w:w="2835" w:type="dxa"/>
            <w:vAlign w:val="center"/>
          </w:tcPr>
          <w:p>
            <w:pPr>
              <w:pStyle w:val="14"/>
            </w:pPr>
            <w:r>
              <w:t>25%</w:t>
            </w:r>
          </w:p>
        </w:tc>
        <w:tc>
          <w:tcPr>
            <w:tcW w:w="2551" w:type="dxa"/>
            <w:vAlign w:val="center"/>
          </w:tcPr>
          <w:p>
            <w:pPr>
              <w:pStyle w:val="14"/>
            </w:pPr>
            <w:r>
              <w:t>25%</w:t>
            </w:r>
          </w:p>
        </w:tc>
        <w:tc>
          <w:tcPr>
            <w:tcW w:w="3543" w:type="dxa"/>
            <w:gridSpan w:val="2"/>
            <w:vAlign w:val="center"/>
          </w:tcPr>
          <w:p>
            <w:pPr>
              <w:pStyle w:val="14"/>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1.保障我单位日常工作的正常运转，对各类设备进行及时更新和维修，为干警提供良好的工作环境，为群众提供高效快捷的诉讼服务。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日常巡查维修及时率（%）</w:t>
            </w:r>
          </w:p>
        </w:tc>
        <w:tc>
          <w:tcPr>
            <w:tcW w:w="5386" w:type="dxa"/>
            <w:vAlign w:val="center"/>
          </w:tcPr>
          <w:p>
            <w:pPr>
              <w:pStyle w:val="13"/>
            </w:pPr>
            <w:r>
              <w:t>有记录的巡查维修到场次数占规定巡查维修到场次数的比率</w:t>
            </w:r>
          </w:p>
        </w:tc>
        <w:tc>
          <w:tcPr>
            <w:tcW w:w="2268" w:type="dxa"/>
            <w:vAlign w:val="center"/>
          </w:tcPr>
          <w:p>
            <w:pPr>
              <w:pStyle w:val="13"/>
            </w:pPr>
            <w:r>
              <w:t>≥95%</w:t>
            </w:r>
          </w:p>
        </w:tc>
        <w:tc>
          <w:tcPr>
            <w:tcW w:w="1276" w:type="dxa"/>
            <w:vAlign w:val="center"/>
          </w:tcPr>
          <w:p>
            <w:pPr>
              <w:pStyle w:val="13"/>
            </w:pPr>
            <w:r>
              <w:t>有记录的巡查维修到场次数占规定巡查维修到场次数的比率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监管系统重大保障处理响应时间</w:t>
            </w:r>
          </w:p>
        </w:tc>
        <w:tc>
          <w:tcPr>
            <w:tcW w:w="5386" w:type="dxa"/>
            <w:vAlign w:val="center"/>
          </w:tcPr>
          <w:p>
            <w:pPr>
              <w:pStyle w:val="13"/>
            </w:pPr>
            <w:r>
              <w:t>监管系统重大保障处理响应时间</w:t>
            </w:r>
          </w:p>
        </w:tc>
        <w:tc>
          <w:tcPr>
            <w:tcW w:w="2268" w:type="dxa"/>
            <w:vAlign w:val="center"/>
          </w:tcPr>
          <w:p>
            <w:pPr>
              <w:pStyle w:val="13"/>
            </w:pPr>
            <w:r>
              <w:t>≥95%</w:t>
            </w:r>
          </w:p>
        </w:tc>
        <w:tc>
          <w:tcPr>
            <w:tcW w:w="1276" w:type="dxa"/>
            <w:vAlign w:val="center"/>
          </w:tcPr>
          <w:p>
            <w:pPr>
              <w:pStyle w:val="13"/>
            </w:pPr>
            <w:r>
              <w:t>监管系统重大保障处理响应时间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项目实际支出是否控制在预算内</w:t>
            </w:r>
          </w:p>
        </w:tc>
        <w:tc>
          <w:tcPr>
            <w:tcW w:w="5386" w:type="dxa"/>
            <w:vAlign w:val="center"/>
          </w:tcPr>
          <w:p>
            <w:pPr>
              <w:pStyle w:val="13"/>
            </w:pPr>
            <w:r>
              <w:t>项目实际支出是否控制在预算内</w:t>
            </w:r>
          </w:p>
        </w:tc>
        <w:tc>
          <w:tcPr>
            <w:tcW w:w="2268" w:type="dxa"/>
            <w:vAlign w:val="center"/>
          </w:tcPr>
          <w:p>
            <w:pPr>
              <w:pStyle w:val="13"/>
            </w:pPr>
            <w:r>
              <w:t>≥95%</w:t>
            </w:r>
          </w:p>
        </w:tc>
        <w:tc>
          <w:tcPr>
            <w:tcW w:w="1276" w:type="dxa"/>
            <w:vAlign w:val="center"/>
          </w:tcPr>
          <w:p>
            <w:pPr>
              <w:pStyle w:val="13"/>
            </w:pPr>
            <w:r>
              <w:t>项目实际支出是否控制在预算内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成本控制情况</w:t>
            </w:r>
          </w:p>
        </w:tc>
        <w:tc>
          <w:tcPr>
            <w:tcW w:w="5386" w:type="dxa"/>
            <w:vAlign w:val="center"/>
          </w:tcPr>
          <w:p>
            <w:pPr>
              <w:pStyle w:val="13"/>
            </w:pPr>
            <w:r>
              <w:t>成本控制情况</w:t>
            </w:r>
          </w:p>
        </w:tc>
        <w:tc>
          <w:tcPr>
            <w:tcW w:w="2268" w:type="dxa"/>
            <w:vAlign w:val="center"/>
          </w:tcPr>
          <w:p>
            <w:pPr>
              <w:pStyle w:val="13"/>
            </w:pPr>
            <w:r>
              <w:t>各项支出不高于行业标准或其他行业平均标准</w:t>
            </w:r>
          </w:p>
        </w:tc>
        <w:tc>
          <w:tcPr>
            <w:tcW w:w="1276" w:type="dxa"/>
            <w:vAlign w:val="center"/>
          </w:tcPr>
          <w:p>
            <w:pPr>
              <w:pStyle w:val="13"/>
            </w:pPr>
            <w:r>
              <w:t>依据方案内容确定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业务保障能力</w:t>
            </w:r>
          </w:p>
        </w:tc>
        <w:tc>
          <w:tcPr>
            <w:tcW w:w="5386" w:type="dxa"/>
            <w:vAlign w:val="center"/>
          </w:tcPr>
          <w:p>
            <w:pPr>
              <w:pStyle w:val="13"/>
            </w:pPr>
            <w:r>
              <w:t>保障相关业务、工作等开展的情况</w:t>
            </w:r>
          </w:p>
        </w:tc>
        <w:tc>
          <w:tcPr>
            <w:tcW w:w="2268" w:type="dxa"/>
            <w:vAlign w:val="center"/>
          </w:tcPr>
          <w:p>
            <w:pPr>
              <w:pStyle w:val="13"/>
            </w:pPr>
            <w:r>
              <w:t>≥95%</w:t>
            </w:r>
          </w:p>
        </w:tc>
        <w:tc>
          <w:tcPr>
            <w:tcW w:w="1276" w:type="dxa"/>
            <w:vAlign w:val="center"/>
          </w:tcPr>
          <w:p>
            <w:pPr>
              <w:pStyle w:val="13"/>
            </w:pPr>
            <w:r>
              <w:t>保障相关业务、工作等开展的情况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7" w:name="_Toc12159"/>
      <w:r>
        <w:rPr>
          <w:rFonts w:ascii="黑体" w:hAnsi="黑体" w:eastAsia="黑体" w:cs="黑体"/>
          <w:color w:val="000000"/>
          <w:sz w:val="32"/>
        </w:rPr>
        <w:t>八、政府采购预算情况</w:t>
      </w:r>
      <w:bookmarkEnd w:id="17"/>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601衡水市桃城区人民法院</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350.00</w:t>
            </w:r>
          </w:p>
        </w:tc>
        <w:tc>
          <w:tcPr>
            <w:tcW w:w="964" w:type="dxa"/>
            <w:vAlign w:val="center"/>
          </w:tcPr>
          <w:p>
            <w:pPr>
              <w:pStyle w:val="16"/>
            </w:pPr>
            <w:r>
              <w:t>350.00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衡水市桃城区人民法院本级小计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350.00</w:t>
            </w:r>
          </w:p>
        </w:tc>
        <w:tc>
          <w:tcPr>
            <w:tcW w:w="964" w:type="dxa"/>
            <w:vAlign w:val="center"/>
          </w:tcPr>
          <w:p>
            <w:pPr>
              <w:pStyle w:val="16"/>
            </w:pPr>
            <w:r>
              <w:t>350.00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2024年法院建设补助经费</w:t>
            </w:r>
          </w:p>
        </w:tc>
        <w:tc>
          <w:tcPr>
            <w:tcW w:w="964" w:type="dxa"/>
            <w:vAlign w:val="center"/>
          </w:tcPr>
          <w:p>
            <w:pPr>
              <w:pStyle w:val="12"/>
            </w:pPr>
            <w:r>
              <w:t>280.00</w:t>
            </w:r>
          </w:p>
        </w:tc>
        <w:tc>
          <w:tcPr>
            <w:tcW w:w="1134" w:type="dxa"/>
            <w:vAlign w:val="center"/>
          </w:tcPr>
          <w:p>
            <w:pPr>
              <w:pStyle w:val="13"/>
            </w:pPr>
            <w:r>
              <w:t>装修工程</w:t>
            </w:r>
          </w:p>
        </w:tc>
        <w:tc>
          <w:tcPr>
            <w:tcW w:w="1134" w:type="dxa"/>
            <w:vAlign w:val="center"/>
          </w:tcPr>
          <w:p>
            <w:pPr>
              <w:pStyle w:val="13"/>
            </w:pPr>
            <w:r>
              <w:t>B07000000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2024年法院建设补助经费</w:t>
            </w:r>
          </w:p>
        </w:tc>
        <w:tc>
          <w:tcPr>
            <w:tcW w:w="964" w:type="dxa"/>
            <w:vAlign w:val="center"/>
          </w:tcPr>
          <w:p>
            <w:pPr>
              <w:pStyle w:val="12"/>
            </w:pPr>
            <w:r>
              <w:t>280.00</w:t>
            </w:r>
          </w:p>
        </w:tc>
        <w:tc>
          <w:tcPr>
            <w:tcW w:w="1134" w:type="dxa"/>
            <w:vAlign w:val="center"/>
          </w:tcPr>
          <w:p>
            <w:pPr>
              <w:pStyle w:val="13"/>
            </w:pPr>
            <w:r>
              <w:t>装修工程</w:t>
            </w:r>
          </w:p>
        </w:tc>
        <w:tc>
          <w:tcPr>
            <w:tcW w:w="1134" w:type="dxa"/>
            <w:vAlign w:val="center"/>
          </w:tcPr>
          <w:p>
            <w:pPr>
              <w:pStyle w:val="13"/>
            </w:pPr>
            <w:r>
              <w:t>B07000000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180.00</w:t>
            </w:r>
          </w:p>
        </w:tc>
        <w:tc>
          <w:tcPr>
            <w:tcW w:w="964" w:type="dxa"/>
            <w:vAlign w:val="center"/>
          </w:tcPr>
          <w:p>
            <w:pPr>
              <w:pStyle w:val="12"/>
            </w:pPr>
            <w:r>
              <w:t>180.00</w:t>
            </w:r>
          </w:p>
        </w:tc>
        <w:tc>
          <w:tcPr>
            <w:tcW w:w="964" w:type="dxa"/>
            <w:vAlign w:val="center"/>
          </w:tcPr>
          <w:p>
            <w:pPr>
              <w:pStyle w:val="12"/>
            </w:pPr>
            <w:r>
              <w:t>180.00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2024年中央政法纪检监察转移支付资金</w:t>
            </w:r>
          </w:p>
        </w:tc>
        <w:tc>
          <w:tcPr>
            <w:tcW w:w="964" w:type="dxa"/>
            <w:vAlign w:val="center"/>
          </w:tcPr>
          <w:p>
            <w:pPr>
              <w:pStyle w:val="12"/>
            </w:pPr>
            <w:r>
              <w:t>228.00</w:t>
            </w:r>
          </w:p>
        </w:tc>
        <w:tc>
          <w:tcPr>
            <w:tcW w:w="1134" w:type="dxa"/>
            <w:vAlign w:val="center"/>
          </w:tcPr>
          <w:p>
            <w:pPr>
              <w:pStyle w:val="13"/>
            </w:pPr>
            <w:r>
              <w:t>其他信息技术服务</w:t>
            </w:r>
          </w:p>
        </w:tc>
        <w:tc>
          <w:tcPr>
            <w:tcW w:w="1134" w:type="dxa"/>
            <w:vAlign w:val="center"/>
          </w:tcPr>
          <w:p>
            <w:pPr>
              <w:pStyle w:val="13"/>
            </w:pPr>
            <w:r>
              <w:t>C16990000</w:t>
            </w:r>
          </w:p>
        </w:tc>
        <w:tc>
          <w:tcPr>
            <w:tcW w:w="709" w:type="dxa"/>
            <w:vAlign w:val="center"/>
          </w:tcPr>
          <w:p>
            <w:pPr>
              <w:pStyle w:val="14"/>
            </w:pPr>
            <w:r>
              <w:t>部</w:t>
            </w:r>
          </w:p>
        </w:tc>
        <w:tc>
          <w:tcPr>
            <w:tcW w:w="850" w:type="dxa"/>
            <w:vAlign w:val="center"/>
          </w:tcPr>
          <w:p>
            <w:pPr>
              <w:pStyle w:val="12"/>
            </w:pPr>
            <w:r>
              <w:t>1</w:t>
            </w:r>
          </w:p>
        </w:tc>
        <w:tc>
          <w:tcPr>
            <w:tcW w:w="850" w:type="dxa"/>
            <w:vAlign w:val="center"/>
          </w:tcPr>
          <w:p>
            <w:pPr>
              <w:pStyle w:val="12"/>
            </w:pPr>
            <w:r>
              <w:t>70.00</w:t>
            </w:r>
          </w:p>
        </w:tc>
        <w:tc>
          <w:tcPr>
            <w:tcW w:w="964" w:type="dxa"/>
            <w:vAlign w:val="center"/>
          </w:tcPr>
          <w:p>
            <w:pPr>
              <w:pStyle w:val="12"/>
            </w:pPr>
            <w:r>
              <w:t>70.00</w:t>
            </w:r>
          </w:p>
        </w:tc>
        <w:tc>
          <w:tcPr>
            <w:tcW w:w="964" w:type="dxa"/>
            <w:vAlign w:val="center"/>
          </w:tcPr>
          <w:p>
            <w:pPr>
              <w:pStyle w:val="12"/>
            </w:pPr>
            <w:r>
              <w:t>70.00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15312"/>
      <w:r>
        <w:rPr>
          <w:rFonts w:ascii="黑体" w:hAnsi="黑体" w:eastAsia="黑体" w:cs="黑体"/>
          <w:color w:val="000000"/>
          <w:sz w:val="32"/>
        </w:rPr>
        <w:t>九、国有资产信息</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衡水市桃城区人民法院（含所属单位）上年末固定资产金额为3752.35万元（详见下表）。本年度拟购置固定资产总额为85.00万元，已按要求列入政府采购预算，详见政府采购预算表。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601衡水市桃城区人民法院</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3752.35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12864.69</w:t>
            </w:r>
          </w:p>
        </w:tc>
        <w:tc>
          <w:tcPr>
            <w:tcW w:w="2835" w:type="dxa"/>
            <w:vAlign w:val="center"/>
          </w:tcPr>
          <w:p>
            <w:pPr>
              <w:pStyle w:val="12"/>
            </w:pPr>
            <w:r>
              <w:t>1284.71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3807</w:t>
            </w:r>
          </w:p>
        </w:tc>
        <w:tc>
          <w:tcPr>
            <w:tcW w:w="2835" w:type="dxa"/>
            <w:vAlign w:val="center"/>
          </w:tcPr>
          <w:p>
            <w:pPr>
              <w:pStyle w:val="12"/>
            </w:pPr>
            <w:r>
              <w:t>225.00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16</w:t>
            </w:r>
          </w:p>
        </w:tc>
        <w:tc>
          <w:tcPr>
            <w:tcW w:w="2835" w:type="dxa"/>
            <w:vAlign w:val="center"/>
          </w:tcPr>
          <w:p>
            <w:pPr>
              <w:pStyle w:val="12"/>
            </w:pPr>
            <w:r>
              <w:t>231.33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10</w:t>
            </w:r>
          </w:p>
        </w:tc>
        <w:tc>
          <w:tcPr>
            <w:tcW w:w="2835" w:type="dxa"/>
            <w:vAlign w:val="center"/>
          </w:tcPr>
          <w:p>
            <w:pPr>
              <w:pStyle w:val="12"/>
            </w:pPr>
            <w:r>
              <w:t>582.64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4896</w:t>
            </w:r>
          </w:p>
        </w:tc>
        <w:tc>
          <w:tcPr>
            <w:tcW w:w="2835" w:type="dxa"/>
            <w:vAlign w:val="center"/>
          </w:tcPr>
          <w:p>
            <w:pPr>
              <w:pStyle w:val="12"/>
            </w:pPr>
            <w:r>
              <w:t>1653.67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9" w:name="_Toc15445"/>
      <w:r>
        <w:rPr>
          <w:rFonts w:ascii="黑体" w:hAnsi="黑体" w:eastAsia="黑体" w:cs="黑体"/>
          <w:color w:val="000000"/>
          <w:sz w:val="32"/>
        </w:rPr>
        <w:t>十、名词解释</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0" w:name="_Toc30224"/>
      <w:r>
        <w:rPr>
          <w:rFonts w:ascii="黑体" w:hAnsi="黑体" w:eastAsia="黑体" w:cs="黑体"/>
          <w:color w:val="000000"/>
          <w:sz w:val="32"/>
        </w:rPr>
        <w:t>十一、其他需要说明的事项</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30D951"/>
    <w:multiLevelType w:val="singleLevel"/>
    <w:tmpl w:val="7330D951"/>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GMyNWEwODdjYTdlZTM4ZDQyZTc5NTEzNDg4NTM5ZTcifQ=="/>
  </w:docVars>
  <w:rsids>
    <w:rsidRoot w:val="00000000"/>
    <w:rsid w:val="038955C7"/>
    <w:rsid w:val="081A6E10"/>
    <w:rsid w:val="133B0A2E"/>
    <w:rsid w:val="301A7DF5"/>
    <w:rsid w:val="351F41E2"/>
    <w:rsid w:val="52343FE2"/>
    <w:rsid w:val="55C0547D"/>
    <w:rsid w:val="655773A8"/>
    <w:rsid w:val="68D619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autoRedefine/>
    <w:qFormat/>
    <w:uiPriority w:val="0"/>
    <w:pPr>
      <w:ind w:left="240"/>
    </w:pPr>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3" Type="http://schemas.openxmlformats.org/officeDocument/2006/relationships/fontTable" Target="fontTable.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2024-01-30T11:22:17Z</dcterms:created>
  <dcterms:modified xsi:type="dcterms:W3CDTF">2024-01-30T03:22:17Z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2024-01-30T11:22:18Z</dcterms:created>
  <dcterms:modified xsi:type="dcterms:W3CDTF">2024-01-30T03:22:18Z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2024-01-30T11:22:18Z</dcterms:created>
  <dcterms:modified xsi:type="dcterms:W3CDTF">2024-01-30T03:22:18Z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2024-01-30T11:22:18Z</dcterms:created>
  <dcterms:modified xsi:type="dcterms:W3CDTF">2024-01-30T03:22:18Z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2024-01-30T11:22:16Z</dcterms:created>
  <dcterms:modified xsi:type="dcterms:W3CDTF">2024-01-30T03:22:16Z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2024-01-30T11:22:19Z</dcterms:created>
  <dcterms:modified xsi:type="dcterms:W3CDTF">2024-01-30T03:22:19Z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2024-01-30T11:22:19Z</dcterms:created>
  <dcterms:modified xsi:type="dcterms:W3CDTF">2024-01-30T03:22:19Z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2024-01-30T11:22:20Z</dcterms:created>
  <dcterms:modified xsi:type="dcterms:W3CDTF">2024-01-30T03:22:19Z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2024-01-30T11:22:15Z</dcterms:created>
  <dcterms:modified xsi:type="dcterms:W3CDTF">2024-01-30T03:22:15Z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2024-01-30T11:22:20Z</dcterms:created>
  <dcterms:modified xsi:type="dcterms:W3CDTF">2024-01-30T03:22:20Z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2024-01-30T11:22:20Z</dcterms:created>
  <dcterms:modified xsi:type="dcterms:W3CDTF">2024-01-30T03:22:20Z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2024-01-30T11:22:12Z</dcterms:created>
  <dcterms:modified xsi:type="dcterms:W3CDTF">2024-01-30T03:22:12Z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2024-01-30T11:22:21Z</dcterms:created>
  <dcterms:modified xsi:type="dcterms:W3CDTF">2024-01-30T03:22:21Z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2024-01-30T11:22:15Z</dcterms:created>
  <dcterms:modified xsi:type="dcterms:W3CDTF">2024-01-30T03:22:15Z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2024-01-30T11:22:16Z</dcterms:created>
  <dcterms:modified xsi:type="dcterms:W3CDTF">2024-01-30T03:22:16Z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2024-01-30T11:22:16Z</dcterms:created>
  <dcterms:modified xsi:type="dcterms:W3CDTF">2024-01-30T03:22:16Z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2024-01-30T11:22:17Z</dcterms:created>
  <dcterms:modified xsi:type="dcterms:W3CDTF">2024-01-30T03:22:17Z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2024-01-30T11:22:17Z</dcterms:created>
  <dcterms:modified xsi:type="dcterms:W3CDTF">2024-01-30T03:22:17Z</dcterms:modified>
</cp:coreProperties>
</file>

<file path=customXml/itemProps1.xml><?xml version="1.0" encoding="utf-8"?>
<ds:datastoreItem xmlns:ds="http://schemas.openxmlformats.org/officeDocument/2006/customXml" ds:itemID="{702c08e4-0ac6-44e6-bfed-7bb95831686c}">
  <ds:schemaRefs/>
</ds:datastoreItem>
</file>

<file path=customXml/itemProps10.xml><?xml version="1.0" encoding="utf-8"?>
<ds:datastoreItem xmlns:ds="http://schemas.openxmlformats.org/officeDocument/2006/customXml" ds:itemID="{a2ba90be-bb7c-492c-832f-766b8548ac09}">
  <ds:schemaRefs/>
</ds:datastoreItem>
</file>

<file path=customXml/itemProps11.xml><?xml version="1.0" encoding="utf-8"?>
<ds:datastoreItem xmlns:ds="http://schemas.openxmlformats.org/officeDocument/2006/customXml" ds:itemID="{6cb2fcfc-2233-4b33-bd0f-f7f60d091114}">
  <ds:schemaRefs/>
</ds:datastoreItem>
</file>

<file path=customXml/itemProps12.xml><?xml version="1.0" encoding="utf-8"?>
<ds:datastoreItem xmlns:ds="http://schemas.openxmlformats.org/officeDocument/2006/customXml" ds:itemID="{268e9e58-8062-44e8-9589-955ad301a4c8}">
  <ds:schemaRefs/>
</ds:datastoreItem>
</file>

<file path=customXml/itemProps13.xml><?xml version="1.0" encoding="utf-8"?>
<ds:datastoreItem xmlns:ds="http://schemas.openxmlformats.org/officeDocument/2006/customXml" ds:itemID="{f2921cfb-d2f6-467c-afac-7875dd3172b7}">
  <ds:schemaRefs/>
</ds:datastoreItem>
</file>

<file path=customXml/itemProps14.xml><?xml version="1.0" encoding="utf-8"?>
<ds:datastoreItem xmlns:ds="http://schemas.openxmlformats.org/officeDocument/2006/customXml" ds:itemID="{d1ad572d-2b96-46e7-854c-7ba615b808ef}">
  <ds:schemaRefs/>
</ds:datastoreItem>
</file>

<file path=customXml/itemProps15.xml><?xml version="1.0" encoding="utf-8"?>
<ds:datastoreItem xmlns:ds="http://schemas.openxmlformats.org/officeDocument/2006/customXml" ds:itemID="{1f19b085-c0ba-45bf-8a50-dceb6a4ed11b}">
  <ds:schemaRefs/>
</ds:datastoreItem>
</file>

<file path=customXml/itemProps16.xml><?xml version="1.0" encoding="utf-8"?>
<ds:datastoreItem xmlns:ds="http://schemas.openxmlformats.org/officeDocument/2006/customXml" ds:itemID="{8ab00584-f700-49f2-959a-cc7b68ae9925}">
  <ds:schemaRefs/>
</ds:datastoreItem>
</file>

<file path=customXml/itemProps17.xml><?xml version="1.0" encoding="utf-8"?>
<ds:datastoreItem xmlns:ds="http://schemas.openxmlformats.org/officeDocument/2006/customXml" ds:itemID="{b6e8098d-6bde-4222-8cf2-93a7d29e9e1a}">
  <ds:schemaRefs/>
</ds:datastoreItem>
</file>

<file path=customXml/itemProps18.xml><?xml version="1.0" encoding="utf-8"?>
<ds:datastoreItem xmlns:ds="http://schemas.openxmlformats.org/officeDocument/2006/customXml" ds:itemID="{56c2ecb7-1ca3-4e2a-8b31-664006f1bfda}">
  <ds:schemaRefs/>
</ds:datastoreItem>
</file>

<file path=customXml/itemProps19.xml><?xml version="1.0" encoding="utf-8"?>
<ds:datastoreItem xmlns:ds="http://schemas.openxmlformats.org/officeDocument/2006/customXml" ds:itemID="{ac707cb8-3b0a-490f-955b-f4b284af223f}">
  <ds:schemaRefs/>
</ds:datastoreItem>
</file>

<file path=customXml/itemProps2.xml><?xml version="1.0" encoding="utf-8"?>
<ds:datastoreItem xmlns:ds="http://schemas.openxmlformats.org/officeDocument/2006/customXml" ds:itemID="{29abeff7-b12a-4a5f-8586-34e57d8545cc}">
  <ds:schemaRefs/>
</ds:datastoreItem>
</file>

<file path=customXml/itemProps20.xml><?xml version="1.0" encoding="utf-8"?>
<ds:datastoreItem xmlns:ds="http://schemas.openxmlformats.org/officeDocument/2006/customXml" ds:itemID="{d83584ad-b12e-4e77-8413-c5683bd2c3e0}">
  <ds:schemaRefs/>
</ds:datastoreItem>
</file>

<file path=customXml/itemProps21.xml><?xml version="1.0" encoding="utf-8"?>
<ds:datastoreItem xmlns:ds="http://schemas.openxmlformats.org/officeDocument/2006/customXml" ds:itemID="{9525b147-3a26-4aab-a36d-9df7bd59dccd}">
  <ds:schemaRefs/>
</ds:datastoreItem>
</file>

<file path=customXml/itemProps22.xml><?xml version="1.0" encoding="utf-8"?>
<ds:datastoreItem xmlns:ds="http://schemas.openxmlformats.org/officeDocument/2006/customXml" ds:itemID="{fe92f77d-ff63-4f2c-a0c7-727f1bc45f7d}">
  <ds:schemaRefs/>
</ds:datastoreItem>
</file>

<file path=customXml/itemProps23.xml><?xml version="1.0" encoding="utf-8"?>
<ds:datastoreItem xmlns:ds="http://schemas.openxmlformats.org/officeDocument/2006/customXml" ds:itemID="{98a3f849-1207-496c-8f5c-d8a937fee655}">
  <ds:schemaRefs/>
</ds:datastoreItem>
</file>

<file path=customXml/itemProps24.xml><?xml version="1.0" encoding="utf-8"?>
<ds:datastoreItem xmlns:ds="http://schemas.openxmlformats.org/officeDocument/2006/customXml" ds:itemID="{bd4e48a3-ac87-4349-b05a-3a27ae66682a}">
  <ds:schemaRefs/>
</ds:datastoreItem>
</file>

<file path=customXml/itemProps25.xml><?xml version="1.0" encoding="utf-8"?>
<ds:datastoreItem xmlns:ds="http://schemas.openxmlformats.org/officeDocument/2006/customXml" ds:itemID="{70d06d48-2057-4cfa-9bc5-dc7688434361}">
  <ds:schemaRefs/>
</ds:datastoreItem>
</file>

<file path=customXml/itemProps26.xml><?xml version="1.0" encoding="utf-8"?>
<ds:datastoreItem xmlns:ds="http://schemas.openxmlformats.org/officeDocument/2006/customXml" ds:itemID="{8488f521-8adf-4ebd-b593-0cdc3d1581d0}">
  <ds:schemaRefs/>
</ds:datastoreItem>
</file>

<file path=customXml/itemProps27.xml><?xml version="1.0" encoding="utf-8"?>
<ds:datastoreItem xmlns:ds="http://schemas.openxmlformats.org/officeDocument/2006/customXml" ds:itemID="{de47abed-7fbd-4451-85ea-d109185c0a34}">
  <ds:schemaRefs/>
</ds:datastoreItem>
</file>

<file path=customXml/itemProps28.xml><?xml version="1.0" encoding="utf-8"?>
<ds:datastoreItem xmlns:ds="http://schemas.openxmlformats.org/officeDocument/2006/customXml" ds:itemID="{6975d660-1fd2-46b8-8a2c-c4aa8a385bbc}">
  <ds:schemaRefs/>
</ds:datastoreItem>
</file>

<file path=customXml/itemProps29.xml><?xml version="1.0" encoding="utf-8"?>
<ds:datastoreItem xmlns:ds="http://schemas.openxmlformats.org/officeDocument/2006/customXml" ds:itemID="{dcd9ac4c-511b-4903-a316-39372c88cf4b}">
  <ds:schemaRefs/>
</ds:datastoreItem>
</file>

<file path=customXml/itemProps3.xml><?xml version="1.0" encoding="utf-8"?>
<ds:datastoreItem xmlns:ds="http://schemas.openxmlformats.org/officeDocument/2006/customXml" ds:itemID="{c892518f-80be-440b-9300-ac0bed1abf0b}">
  <ds:schemaRefs/>
</ds:datastoreItem>
</file>

<file path=customXml/itemProps30.xml><?xml version="1.0" encoding="utf-8"?>
<ds:datastoreItem xmlns:ds="http://schemas.openxmlformats.org/officeDocument/2006/customXml" ds:itemID="{7d3a5475-3789-4a76-a87d-fd87d6491fbd}">
  <ds:schemaRefs/>
</ds:datastoreItem>
</file>

<file path=customXml/itemProps31.xml><?xml version="1.0" encoding="utf-8"?>
<ds:datastoreItem xmlns:ds="http://schemas.openxmlformats.org/officeDocument/2006/customXml" ds:itemID="{cb560cec-0782-470d-80f8-c8c00ae29245}">
  <ds:schemaRefs/>
</ds:datastoreItem>
</file>

<file path=customXml/itemProps32.xml><?xml version="1.0" encoding="utf-8"?>
<ds:datastoreItem xmlns:ds="http://schemas.openxmlformats.org/officeDocument/2006/customXml" ds:itemID="{abc3caab-3869-46e1-aebb-e3891d13d058}">
  <ds:schemaRefs/>
</ds:datastoreItem>
</file>

<file path=customXml/itemProps33.xml><?xml version="1.0" encoding="utf-8"?>
<ds:datastoreItem xmlns:ds="http://schemas.openxmlformats.org/officeDocument/2006/customXml" ds:itemID="{a9d4403f-7ea5-4215-a326-238f6c20eddf}">
  <ds:schemaRefs/>
</ds:datastoreItem>
</file>

<file path=customXml/itemProps34.xml><?xml version="1.0" encoding="utf-8"?>
<ds:datastoreItem xmlns:ds="http://schemas.openxmlformats.org/officeDocument/2006/customXml" ds:itemID="{73d8cd0f-b807-429d-b6fc-ca0cfb42de05}">
  <ds:schemaRefs/>
</ds:datastoreItem>
</file>

<file path=customXml/itemProps35.xml><?xml version="1.0" encoding="utf-8"?>
<ds:datastoreItem xmlns:ds="http://schemas.openxmlformats.org/officeDocument/2006/customXml" ds:itemID="{7164dda6-6d5b-40a1-8b3f-dcae4e8b76b8}">
  <ds:schemaRefs/>
</ds:datastoreItem>
</file>

<file path=customXml/itemProps36.xml><?xml version="1.0" encoding="utf-8"?>
<ds:datastoreItem xmlns:ds="http://schemas.openxmlformats.org/officeDocument/2006/customXml" ds:itemID="{39f732bb-5e01-4627-b48d-b023c314cc71}">
  <ds:schemaRefs/>
</ds:datastoreItem>
</file>

<file path=customXml/itemProps4.xml><?xml version="1.0" encoding="utf-8"?>
<ds:datastoreItem xmlns:ds="http://schemas.openxmlformats.org/officeDocument/2006/customXml" ds:itemID="{6a3bd6e8-fd25-49c0-9864-f8e1ca4668c0}">
  <ds:schemaRefs/>
</ds:datastoreItem>
</file>

<file path=customXml/itemProps5.xml><?xml version="1.0" encoding="utf-8"?>
<ds:datastoreItem xmlns:ds="http://schemas.openxmlformats.org/officeDocument/2006/customXml" ds:itemID="{ceb4c5b5-2b10-4458-bef6-b56ba3703dfc}">
  <ds:schemaRefs/>
</ds:datastoreItem>
</file>

<file path=customXml/itemProps6.xml><?xml version="1.0" encoding="utf-8"?>
<ds:datastoreItem xmlns:ds="http://schemas.openxmlformats.org/officeDocument/2006/customXml" ds:itemID="{e981a8be-7987-45ea-ba11-8e7371649336}">
  <ds:schemaRefs/>
</ds:datastoreItem>
</file>

<file path=customXml/itemProps7.xml><?xml version="1.0" encoding="utf-8"?>
<ds:datastoreItem xmlns:ds="http://schemas.openxmlformats.org/officeDocument/2006/customXml" ds:itemID="{bdf6fe3a-f6fb-47c7-aa16-69077b23f0c8}">
  <ds:schemaRefs/>
</ds:datastoreItem>
</file>

<file path=customXml/itemProps8.xml><?xml version="1.0" encoding="utf-8"?>
<ds:datastoreItem xmlns:ds="http://schemas.openxmlformats.org/officeDocument/2006/customXml" ds:itemID="{6d3ae72d-8241-4c4c-b306-52e1b3f89371}">
  <ds:schemaRefs/>
</ds:datastoreItem>
</file>

<file path=customXml/itemProps9.xml><?xml version="1.0" encoding="utf-8"?>
<ds:datastoreItem xmlns:ds="http://schemas.openxmlformats.org/officeDocument/2006/customXml" ds:itemID="{f2aaabe6-dd7c-46d9-9260-beda5a96ada1}">
  <ds:schemaRefs/>
</ds:datastoreItem>
</file>

<file path=docProps/app.xml><?xml version="1.0" encoding="utf-8"?>
<Properties xmlns="http://schemas.openxmlformats.org/officeDocument/2006/extended-properties" xmlns:vt="http://schemas.openxmlformats.org/officeDocument/2006/docPropsVTypes">
  <TotalTime>10</TotalTime>
  <ScaleCrop>false</ScaleCrop>
  <LinksUpToDate>false</LinksUpToDate>
  <Application>WPS Office_12.1.0.16364_F1E327BC-269C-435d-A152-05C5408002CA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2024-01-30T11:22:00Z</dcterms:created>
  <dc:creator>Administrator.SKY-20190521VAB</dc:creator>
  <cp:lastModifiedBy>守望者</cp:lastModifiedBy>
  <dcterms:modified xsi:type="dcterms:W3CDTF">2024-08-12T03:03:16Z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BED7070EB2B94762876BD75FB19354F6_12</vt:lpwstr>
  </property>
</Properties>
</file>