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9427F">
      <w:pPr>
        <w:spacing w:line="480" w:lineRule="auto"/>
        <w:ind w:firstLine="883" w:firstLineChars="200"/>
        <w:jc w:val="center"/>
        <w:rPr>
          <w:rFonts w:ascii="宋体" w:hAnsi="宋体" w:eastAsia="宋体" w:cs="宋体"/>
          <w:b/>
          <w:bCs/>
          <w:sz w:val="44"/>
          <w:szCs w:val="44"/>
        </w:rPr>
      </w:pPr>
    </w:p>
    <w:p w14:paraId="2F290FC9">
      <w:pPr>
        <w:spacing w:line="480" w:lineRule="auto"/>
        <w:ind w:firstLine="883" w:firstLineChars="200"/>
        <w:jc w:val="center"/>
        <w:rPr>
          <w:rFonts w:ascii="宋体" w:hAnsi="宋体" w:eastAsia="宋体" w:cs="宋体"/>
          <w:b/>
          <w:bCs/>
          <w:sz w:val="44"/>
          <w:szCs w:val="44"/>
        </w:rPr>
      </w:pPr>
    </w:p>
    <w:p w14:paraId="10ED133D">
      <w:pPr>
        <w:spacing w:line="480" w:lineRule="auto"/>
        <w:ind w:firstLine="883" w:firstLineChars="200"/>
        <w:jc w:val="center"/>
        <w:rPr>
          <w:rFonts w:ascii="宋体" w:hAnsi="宋体" w:eastAsia="宋体" w:cs="宋体"/>
          <w:b/>
          <w:bCs/>
          <w:sz w:val="44"/>
          <w:szCs w:val="44"/>
        </w:rPr>
      </w:pPr>
    </w:p>
    <w:p w14:paraId="1D0B8EFD">
      <w:pPr>
        <w:spacing w:line="720" w:lineRule="auto"/>
        <w:jc w:val="center"/>
        <w:rPr>
          <w:rFonts w:ascii="宋体" w:hAnsi="宋体" w:eastAsia="宋体" w:cs="宋体"/>
          <w:b/>
          <w:bCs/>
          <w:sz w:val="44"/>
          <w:szCs w:val="44"/>
        </w:rPr>
      </w:pPr>
      <w:r>
        <w:rPr>
          <w:rFonts w:hint="eastAsia" w:ascii="宋体" w:hAnsi="宋体" w:eastAsia="宋体" w:cs="宋体"/>
          <w:b/>
          <w:bCs/>
          <w:sz w:val="44"/>
          <w:szCs w:val="44"/>
          <w:lang w:bidi="ar"/>
        </w:rPr>
        <w:t>2023年度漳县人民法院</w:t>
      </w:r>
    </w:p>
    <w:p w14:paraId="1DD4FEBF">
      <w:pPr>
        <w:spacing w:line="720" w:lineRule="auto"/>
        <w:jc w:val="center"/>
        <w:rPr>
          <w:rFonts w:ascii="宋体" w:hAnsi="宋体" w:eastAsia="宋体" w:cs="宋体"/>
          <w:b/>
          <w:bCs/>
          <w:sz w:val="44"/>
          <w:szCs w:val="44"/>
        </w:rPr>
      </w:pPr>
      <w:r>
        <w:rPr>
          <w:rFonts w:hint="eastAsia" w:ascii="宋体" w:hAnsi="宋体" w:eastAsia="宋体" w:cs="宋体"/>
          <w:b/>
          <w:bCs/>
          <w:sz w:val="44"/>
          <w:szCs w:val="44"/>
          <w:lang w:bidi="ar"/>
        </w:rPr>
        <w:t>预算执行情况绩效自评报告</w:t>
      </w:r>
    </w:p>
    <w:p w14:paraId="2F081FAF">
      <w:pPr>
        <w:widowControl/>
        <w:jc w:val="left"/>
        <w:rPr>
          <w:rFonts w:ascii="宋体" w:hAnsi="宋体" w:eastAsia="宋体" w:cs="宋体"/>
          <w:b/>
          <w:bCs/>
          <w:sz w:val="44"/>
          <w:szCs w:val="44"/>
        </w:rPr>
      </w:pPr>
    </w:p>
    <w:p w14:paraId="16CCF3A4">
      <w:pPr>
        <w:spacing w:line="360" w:lineRule="auto"/>
        <w:ind w:firstLine="883" w:firstLineChars="200"/>
        <w:jc w:val="center"/>
        <w:rPr>
          <w:rFonts w:ascii="宋体" w:hAnsi="宋体" w:eastAsia="宋体" w:cs="宋体"/>
          <w:b/>
          <w:bCs/>
          <w:sz w:val="44"/>
          <w:szCs w:val="44"/>
        </w:rPr>
      </w:pPr>
    </w:p>
    <w:p w14:paraId="0384227B">
      <w:pPr>
        <w:spacing w:line="360" w:lineRule="auto"/>
        <w:ind w:firstLine="883" w:firstLineChars="200"/>
        <w:jc w:val="center"/>
        <w:rPr>
          <w:rFonts w:ascii="宋体" w:hAnsi="宋体" w:eastAsia="宋体" w:cs="宋体"/>
          <w:b/>
          <w:bCs/>
          <w:sz w:val="44"/>
          <w:szCs w:val="44"/>
        </w:rPr>
      </w:pPr>
    </w:p>
    <w:p w14:paraId="71D730E1">
      <w:pPr>
        <w:spacing w:line="360" w:lineRule="auto"/>
        <w:ind w:firstLine="883" w:firstLineChars="200"/>
        <w:jc w:val="center"/>
        <w:rPr>
          <w:rFonts w:ascii="宋体" w:hAnsi="宋体" w:eastAsia="宋体" w:cs="宋体"/>
          <w:b/>
          <w:bCs/>
          <w:sz w:val="44"/>
          <w:szCs w:val="44"/>
        </w:rPr>
      </w:pPr>
    </w:p>
    <w:p w14:paraId="46EE9DF5">
      <w:pPr>
        <w:spacing w:line="360" w:lineRule="auto"/>
        <w:ind w:firstLine="883" w:firstLineChars="200"/>
        <w:jc w:val="center"/>
        <w:rPr>
          <w:rFonts w:ascii="宋体" w:hAnsi="宋体" w:eastAsia="宋体" w:cs="宋体"/>
          <w:b/>
          <w:bCs/>
          <w:sz w:val="44"/>
          <w:szCs w:val="44"/>
        </w:rPr>
      </w:pPr>
    </w:p>
    <w:p w14:paraId="7986CBD1">
      <w:pPr>
        <w:spacing w:line="360" w:lineRule="auto"/>
        <w:ind w:firstLine="883" w:firstLineChars="200"/>
        <w:jc w:val="center"/>
        <w:rPr>
          <w:rFonts w:ascii="宋体" w:hAnsi="宋体" w:eastAsia="宋体" w:cs="宋体"/>
          <w:b/>
          <w:bCs/>
          <w:sz w:val="44"/>
          <w:szCs w:val="44"/>
        </w:rPr>
      </w:pPr>
    </w:p>
    <w:p w14:paraId="4A98E868">
      <w:pPr>
        <w:spacing w:line="360" w:lineRule="auto"/>
        <w:ind w:firstLine="883" w:firstLineChars="200"/>
        <w:jc w:val="center"/>
        <w:rPr>
          <w:rFonts w:ascii="宋体" w:hAnsi="宋体" w:eastAsia="宋体" w:cs="宋体"/>
          <w:b/>
          <w:bCs/>
          <w:sz w:val="44"/>
          <w:szCs w:val="44"/>
        </w:rPr>
      </w:pPr>
    </w:p>
    <w:p w14:paraId="672A0EBD">
      <w:pPr>
        <w:spacing w:line="360" w:lineRule="auto"/>
        <w:ind w:firstLine="883" w:firstLineChars="200"/>
        <w:jc w:val="center"/>
        <w:rPr>
          <w:rFonts w:ascii="宋体" w:hAnsi="宋体" w:eastAsia="宋体" w:cs="宋体"/>
          <w:b/>
          <w:bCs/>
          <w:sz w:val="44"/>
          <w:szCs w:val="44"/>
        </w:rPr>
      </w:pPr>
    </w:p>
    <w:p w14:paraId="7B066EDC">
      <w:pPr>
        <w:spacing w:line="360" w:lineRule="auto"/>
        <w:ind w:firstLine="883" w:firstLineChars="200"/>
        <w:jc w:val="center"/>
        <w:rPr>
          <w:rFonts w:ascii="宋体" w:hAnsi="宋体" w:eastAsia="宋体" w:cs="宋体"/>
          <w:b/>
          <w:bCs/>
          <w:sz w:val="44"/>
          <w:szCs w:val="44"/>
        </w:rPr>
      </w:pPr>
    </w:p>
    <w:p w14:paraId="188A71D6">
      <w:pPr>
        <w:spacing w:line="360" w:lineRule="auto"/>
        <w:ind w:firstLine="883" w:firstLineChars="200"/>
        <w:jc w:val="center"/>
        <w:rPr>
          <w:rFonts w:ascii="宋体" w:hAnsi="宋体" w:eastAsia="宋体" w:cs="宋体"/>
          <w:b/>
          <w:bCs/>
          <w:sz w:val="44"/>
          <w:szCs w:val="44"/>
        </w:rPr>
      </w:pPr>
    </w:p>
    <w:p w14:paraId="6C018276">
      <w:pPr>
        <w:spacing w:line="360" w:lineRule="auto"/>
        <w:ind w:firstLine="883" w:firstLineChars="200"/>
        <w:jc w:val="center"/>
        <w:rPr>
          <w:rFonts w:ascii="宋体" w:hAnsi="宋体" w:eastAsia="宋体" w:cs="宋体"/>
          <w:b/>
          <w:bCs/>
          <w:sz w:val="44"/>
          <w:szCs w:val="44"/>
        </w:rPr>
      </w:pPr>
    </w:p>
    <w:p w14:paraId="4FDEC015">
      <w:pPr>
        <w:spacing w:line="360" w:lineRule="auto"/>
        <w:ind w:firstLine="883" w:firstLineChars="200"/>
        <w:jc w:val="center"/>
        <w:rPr>
          <w:rFonts w:ascii="宋体" w:hAnsi="宋体" w:eastAsia="宋体" w:cs="宋体"/>
          <w:b/>
          <w:bCs/>
          <w:sz w:val="44"/>
          <w:szCs w:val="44"/>
        </w:rPr>
      </w:pPr>
    </w:p>
    <w:p w14:paraId="7B897741">
      <w:pPr>
        <w:spacing w:line="360" w:lineRule="auto"/>
        <w:ind w:firstLine="883" w:firstLineChars="200"/>
        <w:jc w:val="center"/>
        <w:rPr>
          <w:rFonts w:ascii="宋体" w:hAnsi="宋体" w:eastAsia="宋体" w:cs="宋体"/>
          <w:b/>
          <w:bCs/>
          <w:sz w:val="44"/>
          <w:szCs w:val="44"/>
        </w:rPr>
      </w:pPr>
    </w:p>
    <w:p w14:paraId="607AA0CD">
      <w:pPr>
        <w:spacing w:line="360" w:lineRule="auto"/>
        <w:jc w:val="center"/>
        <w:rPr>
          <w:rFonts w:ascii="宋体" w:hAnsi="宋体" w:eastAsia="宋体" w:cs="宋体"/>
          <w:b/>
          <w:bCs/>
          <w:sz w:val="32"/>
          <w:szCs w:val="32"/>
        </w:rPr>
      </w:pPr>
      <w:r>
        <w:rPr>
          <w:rFonts w:hint="eastAsia" w:ascii="宋体" w:hAnsi="宋体" w:eastAsia="宋体" w:cs="宋体"/>
          <w:b/>
          <w:bCs/>
          <w:sz w:val="32"/>
          <w:szCs w:val="32"/>
          <w:lang w:bidi="ar"/>
        </w:rPr>
        <w:t>漳县人民法院</w:t>
      </w:r>
    </w:p>
    <w:p w14:paraId="36D2EDA8">
      <w:pPr>
        <w:spacing w:line="360" w:lineRule="auto"/>
        <w:jc w:val="center"/>
        <w:rPr>
          <w:rFonts w:ascii="宋体" w:hAnsi="宋体" w:eastAsia="宋体" w:cs="宋体"/>
          <w:b/>
          <w:bCs/>
          <w:sz w:val="32"/>
          <w:szCs w:val="32"/>
        </w:rPr>
      </w:pPr>
      <w:r>
        <w:rPr>
          <w:rFonts w:hint="eastAsia" w:ascii="宋体" w:hAnsi="宋体" w:eastAsia="宋体" w:cs="宋体"/>
          <w:b/>
          <w:bCs/>
          <w:sz w:val="32"/>
          <w:szCs w:val="32"/>
          <w:lang w:bidi="ar"/>
        </w:rPr>
        <w:t>2024年3月2日</w:t>
      </w:r>
    </w:p>
    <w:p w14:paraId="78006E41">
      <w:pPr>
        <w:pStyle w:val="12"/>
        <w:widowControl/>
        <w:spacing w:beforeAutospacing="0" w:afterAutospacing="0" w:line="600" w:lineRule="exact"/>
        <w:jc w:val="center"/>
        <w:rPr>
          <w:rFonts w:ascii="宋体" w:hAnsi="宋体" w:eastAsia="宋体" w:cs="宋体"/>
          <w:b/>
          <w:bCs/>
          <w:sz w:val="36"/>
          <w:szCs w:val="36"/>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b w:val="0"/>
          <w:bCs w:val="0"/>
          <w:color w:val="auto"/>
          <w:kern w:val="2"/>
          <w:sz w:val="21"/>
          <w:szCs w:val="24"/>
        </w:rPr>
        <w:id w:val="147467401"/>
        <w15:color w:val="DBDBDB"/>
        <w:docPartObj>
          <w:docPartGallery w:val="Table of Contents"/>
          <w:docPartUnique/>
        </w:docPartObj>
      </w:sdtPr>
      <w:sdtEndPr>
        <w:rPr>
          <w:rFonts w:ascii="宋体" w:hAnsi="宋体" w:eastAsia="宋体" w:cstheme="minorBidi"/>
          <w:b w:val="0"/>
          <w:bCs w:val="0"/>
          <w:color w:val="auto"/>
          <w:kern w:val="2"/>
          <w:sz w:val="21"/>
          <w:szCs w:val="24"/>
        </w:rPr>
      </w:sdtEndPr>
      <w:sdtContent>
        <w:p w14:paraId="198CCC29">
          <w:pPr>
            <w:pStyle w:val="31"/>
            <w:spacing w:line="360" w:lineRule="auto"/>
            <w:ind w:firstLine="560"/>
            <w:jc w:val="center"/>
            <w:rPr>
              <w:rFonts w:ascii="黑体" w:hAnsi="宋体" w:eastAsia="黑体" w:cs="黑体"/>
              <w:color w:val="auto"/>
            </w:rPr>
          </w:pPr>
          <w:bookmarkStart w:id="0" w:name="_Toc21067"/>
          <w:r>
            <w:rPr>
              <w:rFonts w:hint="eastAsia" w:ascii="黑体" w:hAnsi="宋体" w:eastAsia="黑体" w:cs="黑体"/>
              <w:color w:val="auto"/>
              <w:lang w:val="zh-CN"/>
            </w:rPr>
            <w:t>目  录</w:t>
          </w:r>
          <w:bookmarkEnd w:id="0"/>
        </w:p>
        <w:p w14:paraId="0E446C6D">
          <w:pPr>
            <w:pStyle w:val="10"/>
            <w:tabs>
              <w:tab w:val="right" w:leader="dot" w:pos="8306"/>
              <w:tab w:val="clear" w:pos="8296"/>
            </w:tabs>
            <w:rPr>
              <w:rFonts w:hint="default"/>
            </w:rPr>
          </w:pPr>
          <w:r>
            <w:fldChar w:fldCharType="begin"/>
          </w:r>
          <w:r>
            <w:instrText xml:space="preserve"> TOC \o "1-2" \h \z \u </w:instrText>
          </w:r>
          <w:r>
            <w:fldChar w:fldCharType="separate"/>
          </w:r>
          <w:r>
            <w:fldChar w:fldCharType="begin"/>
          </w:r>
          <w:r>
            <w:instrText xml:space="preserve"> HYPERLINK \l "_Toc27115" </w:instrText>
          </w:r>
          <w:r>
            <w:fldChar w:fldCharType="separate"/>
          </w:r>
          <w:r>
            <w:t>一、基本情况</w:t>
          </w:r>
          <w:r>
            <w:tab/>
          </w:r>
          <w:r>
            <w:fldChar w:fldCharType="begin"/>
          </w:r>
          <w:r>
            <w:instrText xml:space="preserve"> PAGEREF _Toc27115 \h </w:instrText>
          </w:r>
          <w:r>
            <w:fldChar w:fldCharType="separate"/>
          </w:r>
          <w:r>
            <w:t>1</w:t>
          </w:r>
          <w:r>
            <w:fldChar w:fldCharType="end"/>
          </w:r>
          <w:r>
            <w:fldChar w:fldCharType="end"/>
          </w:r>
        </w:p>
        <w:p w14:paraId="3DC11293">
          <w:pPr>
            <w:pStyle w:val="11"/>
            <w:tabs>
              <w:tab w:val="right" w:leader="dot" w:pos="8306"/>
              <w:tab w:val="clear" w:pos="8296"/>
            </w:tabs>
            <w:ind w:left="420"/>
            <w:rPr>
              <w:rFonts w:hint="default"/>
            </w:rPr>
          </w:pPr>
          <w:r>
            <w:fldChar w:fldCharType="begin"/>
          </w:r>
          <w:r>
            <w:instrText xml:space="preserve"> HYPERLINK \l "_Toc17050" </w:instrText>
          </w:r>
          <w:r>
            <w:fldChar w:fldCharType="separate"/>
          </w:r>
          <w:r>
            <w:rPr>
              <w:rFonts w:ascii="楷体" w:hAnsi="楷体" w:eastAsia="楷体" w:cs="楷体"/>
              <w:bCs/>
              <w:szCs w:val="32"/>
            </w:rPr>
            <w:t>（一）部门主要职能</w:t>
          </w:r>
          <w:r>
            <w:tab/>
          </w:r>
          <w:r>
            <w:fldChar w:fldCharType="begin"/>
          </w:r>
          <w:r>
            <w:instrText xml:space="preserve"> PAGEREF _Toc17050 \h </w:instrText>
          </w:r>
          <w:r>
            <w:fldChar w:fldCharType="separate"/>
          </w:r>
          <w:r>
            <w:t>1</w:t>
          </w:r>
          <w:r>
            <w:fldChar w:fldCharType="end"/>
          </w:r>
          <w:r>
            <w:fldChar w:fldCharType="end"/>
          </w:r>
        </w:p>
        <w:p w14:paraId="7EC0F8CB">
          <w:pPr>
            <w:pStyle w:val="11"/>
            <w:tabs>
              <w:tab w:val="right" w:leader="dot" w:pos="8306"/>
              <w:tab w:val="clear" w:pos="8296"/>
            </w:tabs>
            <w:ind w:left="420"/>
            <w:rPr>
              <w:rFonts w:hint="default"/>
            </w:rPr>
          </w:pPr>
          <w:r>
            <w:fldChar w:fldCharType="begin"/>
          </w:r>
          <w:r>
            <w:instrText xml:space="preserve"> HYPERLINK \l "_Toc6446" </w:instrText>
          </w:r>
          <w:r>
            <w:fldChar w:fldCharType="separate"/>
          </w:r>
          <w:r>
            <w:t>（二）内设机构及所属部门概况</w:t>
          </w:r>
          <w:r>
            <w:tab/>
          </w:r>
          <w:r>
            <w:fldChar w:fldCharType="begin"/>
          </w:r>
          <w:r>
            <w:instrText xml:space="preserve"> PAGEREF _Toc6446 \h </w:instrText>
          </w:r>
          <w:r>
            <w:fldChar w:fldCharType="separate"/>
          </w:r>
          <w:r>
            <w:t>2</w:t>
          </w:r>
          <w:r>
            <w:fldChar w:fldCharType="end"/>
          </w:r>
          <w:r>
            <w:fldChar w:fldCharType="end"/>
          </w:r>
        </w:p>
        <w:p w14:paraId="3069CCEC">
          <w:pPr>
            <w:pStyle w:val="10"/>
            <w:tabs>
              <w:tab w:val="right" w:leader="dot" w:pos="8306"/>
              <w:tab w:val="clear" w:pos="8296"/>
            </w:tabs>
            <w:rPr>
              <w:rFonts w:hint="default"/>
            </w:rPr>
          </w:pPr>
          <w:r>
            <w:fldChar w:fldCharType="begin"/>
          </w:r>
          <w:r>
            <w:instrText xml:space="preserve"> HYPERLINK \l "_Toc20924" </w:instrText>
          </w:r>
          <w:r>
            <w:fldChar w:fldCharType="separate"/>
          </w:r>
          <w:r>
            <w:t>二、绩效自评工作组织开展情况</w:t>
          </w:r>
          <w:r>
            <w:tab/>
          </w:r>
          <w:r>
            <w:fldChar w:fldCharType="begin"/>
          </w:r>
          <w:r>
            <w:instrText xml:space="preserve"> PAGEREF _Toc20924 \h </w:instrText>
          </w:r>
          <w:r>
            <w:fldChar w:fldCharType="separate"/>
          </w:r>
          <w:r>
            <w:t>2</w:t>
          </w:r>
          <w:r>
            <w:fldChar w:fldCharType="end"/>
          </w:r>
          <w:r>
            <w:fldChar w:fldCharType="end"/>
          </w:r>
        </w:p>
        <w:p w14:paraId="1A565435">
          <w:pPr>
            <w:pStyle w:val="11"/>
            <w:tabs>
              <w:tab w:val="right" w:leader="dot" w:pos="8306"/>
              <w:tab w:val="clear" w:pos="8296"/>
            </w:tabs>
            <w:ind w:left="420"/>
            <w:rPr>
              <w:rFonts w:hint="default"/>
            </w:rPr>
          </w:pPr>
          <w:r>
            <w:fldChar w:fldCharType="begin"/>
          </w:r>
          <w:r>
            <w:instrText xml:space="preserve"> HYPERLINK \l "_Toc6305" </w:instrText>
          </w:r>
          <w:r>
            <w:fldChar w:fldCharType="separate"/>
          </w:r>
          <w:r>
            <w:t>（一）自评工作组织管理情况</w:t>
          </w:r>
          <w:r>
            <w:tab/>
          </w:r>
          <w:r>
            <w:fldChar w:fldCharType="begin"/>
          </w:r>
          <w:r>
            <w:instrText xml:space="preserve"> PAGEREF _Toc6305 \h </w:instrText>
          </w:r>
          <w:r>
            <w:fldChar w:fldCharType="separate"/>
          </w:r>
          <w:r>
            <w:t>2</w:t>
          </w:r>
          <w:r>
            <w:fldChar w:fldCharType="end"/>
          </w:r>
          <w:r>
            <w:fldChar w:fldCharType="end"/>
          </w:r>
        </w:p>
        <w:p w14:paraId="20B5DD2C">
          <w:pPr>
            <w:pStyle w:val="11"/>
            <w:tabs>
              <w:tab w:val="right" w:leader="dot" w:pos="8306"/>
              <w:tab w:val="clear" w:pos="8296"/>
            </w:tabs>
            <w:ind w:left="420"/>
            <w:rPr>
              <w:rFonts w:hint="default"/>
            </w:rPr>
          </w:pPr>
          <w:r>
            <w:fldChar w:fldCharType="begin"/>
          </w:r>
          <w:r>
            <w:instrText xml:space="preserve"> HYPERLINK \l "_Toc16884" </w:instrText>
          </w:r>
          <w:r>
            <w:fldChar w:fldCharType="separate"/>
          </w:r>
          <w:r>
            <w:t>（二）自评范围</w:t>
          </w:r>
          <w:r>
            <w:tab/>
          </w:r>
          <w:r>
            <w:fldChar w:fldCharType="begin"/>
          </w:r>
          <w:r>
            <w:instrText xml:space="preserve"> PAGEREF _Toc16884 \h </w:instrText>
          </w:r>
          <w:r>
            <w:fldChar w:fldCharType="separate"/>
          </w:r>
          <w:r>
            <w:t>3</w:t>
          </w:r>
          <w:r>
            <w:fldChar w:fldCharType="end"/>
          </w:r>
          <w:r>
            <w:fldChar w:fldCharType="end"/>
          </w:r>
        </w:p>
        <w:p w14:paraId="4712122F">
          <w:pPr>
            <w:pStyle w:val="11"/>
            <w:tabs>
              <w:tab w:val="right" w:leader="dot" w:pos="8306"/>
              <w:tab w:val="clear" w:pos="8296"/>
            </w:tabs>
            <w:ind w:left="420"/>
            <w:rPr>
              <w:rFonts w:hint="default"/>
            </w:rPr>
          </w:pPr>
          <w:r>
            <w:fldChar w:fldCharType="begin"/>
          </w:r>
          <w:r>
            <w:instrText xml:space="preserve"> HYPERLINK \l "_Toc7404" </w:instrText>
          </w:r>
          <w:r>
            <w:fldChar w:fldCharType="separate"/>
          </w:r>
          <w:r>
            <w:t>（三）自评工作程序</w:t>
          </w:r>
          <w:r>
            <w:tab/>
          </w:r>
          <w:r>
            <w:fldChar w:fldCharType="begin"/>
          </w:r>
          <w:r>
            <w:instrText xml:space="preserve"> PAGEREF _Toc7404 \h </w:instrText>
          </w:r>
          <w:r>
            <w:fldChar w:fldCharType="separate"/>
          </w:r>
          <w:r>
            <w:t>3</w:t>
          </w:r>
          <w:r>
            <w:fldChar w:fldCharType="end"/>
          </w:r>
          <w:r>
            <w:fldChar w:fldCharType="end"/>
          </w:r>
        </w:p>
        <w:p w14:paraId="2D9D511E">
          <w:pPr>
            <w:pStyle w:val="10"/>
            <w:tabs>
              <w:tab w:val="right" w:leader="dot" w:pos="8306"/>
              <w:tab w:val="clear" w:pos="8296"/>
            </w:tabs>
            <w:rPr>
              <w:rFonts w:hint="default"/>
            </w:rPr>
          </w:pPr>
          <w:r>
            <w:fldChar w:fldCharType="begin"/>
          </w:r>
          <w:r>
            <w:instrText xml:space="preserve"> HYPERLINK \l "_Toc21598" </w:instrText>
          </w:r>
          <w:r>
            <w:fldChar w:fldCharType="separate"/>
          </w:r>
          <w:r>
            <w:t>三、部门整体支出绩效自评情况分析</w:t>
          </w:r>
          <w:r>
            <w:tab/>
          </w:r>
          <w:r>
            <w:fldChar w:fldCharType="begin"/>
          </w:r>
          <w:r>
            <w:instrText xml:space="preserve"> PAGEREF _Toc21598 \h </w:instrText>
          </w:r>
          <w:r>
            <w:fldChar w:fldCharType="separate"/>
          </w:r>
          <w:r>
            <w:t>4</w:t>
          </w:r>
          <w:r>
            <w:fldChar w:fldCharType="end"/>
          </w:r>
          <w:r>
            <w:fldChar w:fldCharType="end"/>
          </w:r>
        </w:p>
        <w:p w14:paraId="165B0543">
          <w:pPr>
            <w:pStyle w:val="11"/>
            <w:tabs>
              <w:tab w:val="right" w:leader="dot" w:pos="8306"/>
              <w:tab w:val="clear" w:pos="8296"/>
            </w:tabs>
            <w:ind w:left="420"/>
            <w:rPr>
              <w:rFonts w:hint="default"/>
            </w:rPr>
          </w:pPr>
          <w:r>
            <w:fldChar w:fldCharType="begin"/>
          </w:r>
          <w:r>
            <w:instrText xml:space="preserve"> HYPERLINK \l "_Toc11621" </w:instrText>
          </w:r>
          <w:r>
            <w:fldChar w:fldCharType="separate"/>
          </w:r>
          <w:r>
            <w:t>（一）部门决算情况</w:t>
          </w:r>
          <w:r>
            <w:tab/>
          </w:r>
          <w:r>
            <w:fldChar w:fldCharType="begin"/>
          </w:r>
          <w:r>
            <w:instrText xml:space="preserve"> PAGEREF _Toc11621 \h </w:instrText>
          </w:r>
          <w:r>
            <w:fldChar w:fldCharType="separate"/>
          </w:r>
          <w:r>
            <w:t>4</w:t>
          </w:r>
          <w:r>
            <w:fldChar w:fldCharType="end"/>
          </w:r>
          <w:r>
            <w:fldChar w:fldCharType="end"/>
          </w:r>
        </w:p>
        <w:p w14:paraId="2D8C73B4">
          <w:pPr>
            <w:pStyle w:val="11"/>
            <w:tabs>
              <w:tab w:val="right" w:leader="dot" w:pos="8306"/>
              <w:tab w:val="clear" w:pos="8296"/>
            </w:tabs>
            <w:ind w:left="420"/>
            <w:rPr>
              <w:rFonts w:hint="default"/>
            </w:rPr>
          </w:pPr>
          <w:r>
            <w:fldChar w:fldCharType="begin"/>
          </w:r>
          <w:r>
            <w:instrText xml:space="preserve"> HYPERLINK \l "_Toc23272" </w:instrText>
          </w:r>
          <w:r>
            <w:fldChar w:fldCharType="separate"/>
          </w:r>
          <w:r>
            <w:t>（二）总体绩效目标完成情况分析</w:t>
          </w:r>
          <w:r>
            <w:tab/>
          </w:r>
          <w:r>
            <w:fldChar w:fldCharType="begin"/>
          </w:r>
          <w:r>
            <w:instrText xml:space="preserve"> PAGEREF _Toc23272 \h </w:instrText>
          </w:r>
          <w:r>
            <w:fldChar w:fldCharType="separate"/>
          </w:r>
          <w:r>
            <w:t>4</w:t>
          </w:r>
          <w:r>
            <w:fldChar w:fldCharType="end"/>
          </w:r>
          <w:r>
            <w:fldChar w:fldCharType="end"/>
          </w:r>
        </w:p>
        <w:p w14:paraId="432CB88F">
          <w:pPr>
            <w:pStyle w:val="11"/>
            <w:tabs>
              <w:tab w:val="right" w:leader="dot" w:pos="8306"/>
              <w:tab w:val="clear" w:pos="8296"/>
            </w:tabs>
            <w:ind w:left="420"/>
            <w:rPr>
              <w:rFonts w:hint="default"/>
            </w:rPr>
          </w:pPr>
          <w:r>
            <w:fldChar w:fldCharType="begin"/>
          </w:r>
          <w:r>
            <w:instrText xml:space="preserve"> HYPERLINK \l "_Toc17548" </w:instrText>
          </w:r>
          <w:r>
            <w:fldChar w:fldCharType="separate"/>
          </w:r>
          <w:r>
            <w:t>（三）各项指标完成情况分析</w:t>
          </w:r>
          <w:r>
            <w:tab/>
          </w:r>
          <w:r>
            <w:fldChar w:fldCharType="begin"/>
          </w:r>
          <w:r>
            <w:instrText xml:space="preserve"> PAGEREF _Toc17548 \h </w:instrText>
          </w:r>
          <w:r>
            <w:fldChar w:fldCharType="separate"/>
          </w:r>
          <w:r>
            <w:t>7</w:t>
          </w:r>
          <w:r>
            <w:fldChar w:fldCharType="end"/>
          </w:r>
          <w:r>
            <w:fldChar w:fldCharType="end"/>
          </w:r>
        </w:p>
        <w:p w14:paraId="3E8434C1">
          <w:pPr>
            <w:pStyle w:val="11"/>
            <w:tabs>
              <w:tab w:val="right" w:leader="dot" w:pos="8306"/>
              <w:tab w:val="clear" w:pos="8296"/>
            </w:tabs>
            <w:ind w:left="420"/>
            <w:rPr>
              <w:rFonts w:hint="default"/>
            </w:rPr>
          </w:pPr>
          <w:r>
            <w:fldChar w:fldCharType="begin"/>
          </w:r>
          <w:r>
            <w:instrText xml:space="preserve"> HYPERLINK \l "_Toc7497" </w:instrText>
          </w:r>
          <w:r>
            <w:fldChar w:fldCharType="separate"/>
          </w:r>
          <w:r>
            <w:rPr>
              <w:rFonts w:cs="楷体"/>
            </w:rPr>
            <w:t>（四）偏离绩效目标的原因及下一步改进措施</w:t>
          </w:r>
          <w:r>
            <w:tab/>
          </w:r>
          <w:r>
            <w:fldChar w:fldCharType="begin"/>
          </w:r>
          <w:r>
            <w:instrText xml:space="preserve"> PAGEREF _Toc7497 \h </w:instrText>
          </w:r>
          <w:r>
            <w:fldChar w:fldCharType="separate"/>
          </w:r>
          <w:r>
            <w:t>13</w:t>
          </w:r>
          <w:r>
            <w:fldChar w:fldCharType="end"/>
          </w:r>
          <w:r>
            <w:fldChar w:fldCharType="end"/>
          </w:r>
        </w:p>
        <w:p w14:paraId="2AFC0996">
          <w:pPr>
            <w:pStyle w:val="10"/>
            <w:tabs>
              <w:tab w:val="right" w:leader="dot" w:pos="8306"/>
              <w:tab w:val="clear" w:pos="8296"/>
            </w:tabs>
            <w:rPr>
              <w:rFonts w:hint="default"/>
            </w:rPr>
          </w:pPr>
          <w:r>
            <w:fldChar w:fldCharType="begin"/>
          </w:r>
          <w:r>
            <w:instrText xml:space="preserve"> HYPERLINK \l "_Toc19849" </w:instrText>
          </w:r>
          <w:r>
            <w:fldChar w:fldCharType="separate"/>
          </w:r>
          <w:r>
            <w:t>四、部门预算项目支出绩效自评情况分析</w:t>
          </w:r>
          <w:r>
            <w:tab/>
          </w:r>
          <w:r>
            <w:fldChar w:fldCharType="begin"/>
          </w:r>
          <w:r>
            <w:instrText xml:space="preserve"> PAGEREF _Toc19849 \h </w:instrText>
          </w:r>
          <w:r>
            <w:fldChar w:fldCharType="separate"/>
          </w:r>
          <w:r>
            <w:t>13</w:t>
          </w:r>
          <w:r>
            <w:fldChar w:fldCharType="end"/>
          </w:r>
          <w:r>
            <w:fldChar w:fldCharType="end"/>
          </w:r>
        </w:p>
        <w:p w14:paraId="75FD1676">
          <w:pPr>
            <w:pStyle w:val="11"/>
            <w:tabs>
              <w:tab w:val="right" w:leader="dot" w:pos="8306"/>
              <w:tab w:val="clear" w:pos="8296"/>
            </w:tabs>
            <w:ind w:left="420"/>
            <w:rPr>
              <w:rFonts w:hint="default"/>
            </w:rPr>
          </w:pPr>
          <w:r>
            <w:fldChar w:fldCharType="begin"/>
          </w:r>
          <w:r>
            <w:instrText xml:space="preserve"> HYPERLINK \l "_Toc23312" </w:instrText>
          </w:r>
          <w:r>
            <w:fldChar w:fldCharType="separate"/>
          </w:r>
          <w:r>
            <w:rPr>
              <w:rFonts w:cs="楷体"/>
            </w:rPr>
            <w:t>（一）法庭运维费项目</w:t>
          </w:r>
          <w:r>
            <w:tab/>
          </w:r>
          <w:r>
            <w:fldChar w:fldCharType="begin"/>
          </w:r>
          <w:r>
            <w:instrText xml:space="preserve"> PAGEREF _Toc23312 \h </w:instrText>
          </w:r>
          <w:r>
            <w:fldChar w:fldCharType="separate"/>
          </w:r>
          <w:r>
            <w:t>14</w:t>
          </w:r>
          <w:r>
            <w:fldChar w:fldCharType="end"/>
          </w:r>
          <w:r>
            <w:fldChar w:fldCharType="end"/>
          </w:r>
        </w:p>
        <w:p w14:paraId="110F5E01">
          <w:pPr>
            <w:pStyle w:val="11"/>
            <w:tabs>
              <w:tab w:val="right" w:leader="dot" w:pos="8306"/>
              <w:tab w:val="clear" w:pos="8296"/>
            </w:tabs>
            <w:ind w:left="420"/>
            <w:rPr>
              <w:rFonts w:hint="default"/>
            </w:rPr>
          </w:pPr>
          <w:r>
            <w:fldChar w:fldCharType="begin"/>
          </w:r>
          <w:r>
            <w:instrText xml:space="preserve"> HYPERLINK \l "_Toc31489" </w:instrText>
          </w:r>
          <w:r>
            <w:fldChar w:fldCharType="separate"/>
          </w:r>
          <w:r>
            <w:rPr>
              <w:rFonts w:cs="楷体"/>
            </w:rPr>
            <w:t>（二）业务费</w:t>
          </w:r>
          <w:r>
            <w:tab/>
          </w:r>
          <w:r>
            <w:fldChar w:fldCharType="begin"/>
          </w:r>
          <w:r>
            <w:instrText xml:space="preserve"> PAGEREF _Toc31489 \h </w:instrText>
          </w:r>
          <w:r>
            <w:fldChar w:fldCharType="separate"/>
          </w:r>
          <w:r>
            <w:t>18</w:t>
          </w:r>
          <w:r>
            <w:fldChar w:fldCharType="end"/>
          </w:r>
          <w:r>
            <w:fldChar w:fldCharType="end"/>
          </w:r>
        </w:p>
        <w:p w14:paraId="0607B7F3">
          <w:pPr>
            <w:pStyle w:val="10"/>
            <w:tabs>
              <w:tab w:val="right" w:leader="dot" w:pos="8306"/>
              <w:tab w:val="clear" w:pos="8296"/>
            </w:tabs>
            <w:rPr>
              <w:rFonts w:hint="default"/>
            </w:rPr>
          </w:pPr>
          <w:r>
            <w:fldChar w:fldCharType="begin"/>
          </w:r>
          <w:r>
            <w:instrText xml:space="preserve"> HYPERLINK \l "_Toc20300" </w:instrText>
          </w:r>
          <w:r>
            <w:fldChar w:fldCharType="separate"/>
          </w:r>
          <w:r>
            <w:rPr>
              <w:rFonts w:cs="黑体"/>
              <w:szCs w:val="32"/>
            </w:rPr>
            <w:t>五、部门管理的省对市县转移支付绩效自评情况分析</w:t>
          </w:r>
          <w:r>
            <w:tab/>
          </w:r>
          <w:r>
            <w:fldChar w:fldCharType="begin"/>
          </w:r>
          <w:r>
            <w:instrText xml:space="preserve"> PAGEREF _Toc20300 \h </w:instrText>
          </w:r>
          <w:r>
            <w:fldChar w:fldCharType="separate"/>
          </w:r>
          <w:r>
            <w:t>23</w:t>
          </w:r>
          <w:r>
            <w:fldChar w:fldCharType="end"/>
          </w:r>
          <w:r>
            <w:fldChar w:fldCharType="end"/>
          </w:r>
        </w:p>
        <w:p w14:paraId="72BD3080">
          <w:pPr>
            <w:pStyle w:val="11"/>
            <w:tabs>
              <w:tab w:val="right" w:leader="dot" w:pos="8306"/>
              <w:tab w:val="clear" w:pos="8296"/>
            </w:tabs>
            <w:ind w:left="420"/>
            <w:rPr>
              <w:rFonts w:hint="default"/>
            </w:rPr>
          </w:pPr>
          <w:r>
            <w:fldChar w:fldCharType="begin"/>
          </w:r>
          <w:r>
            <w:instrText xml:space="preserve"> HYPERLINK \l "_Toc14917" </w:instrText>
          </w:r>
          <w:r>
            <w:fldChar w:fldCharType="separate"/>
          </w:r>
          <w:r>
            <w:t>（一）中央政法转移支付资金</w:t>
          </w:r>
          <w:r>
            <w:tab/>
          </w:r>
          <w:r>
            <w:fldChar w:fldCharType="begin"/>
          </w:r>
          <w:r>
            <w:instrText xml:space="preserve"> PAGEREF _Toc14917 \h </w:instrText>
          </w:r>
          <w:r>
            <w:fldChar w:fldCharType="separate"/>
          </w:r>
          <w:r>
            <w:t>23</w:t>
          </w:r>
          <w:r>
            <w:fldChar w:fldCharType="end"/>
          </w:r>
          <w:r>
            <w:fldChar w:fldCharType="end"/>
          </w:r>
        </w:p>
        <w:p w14:paraId="6B88FB85">
          <w:pPr>
            <w:pStyle w:val="10"/>
            <w:tabs>
              <w:tab w:val="right" w:leader="dot" w:pos="8306"/>
              <w:tab w:val="clear" w:pos="8296"/>
            </w:tabs>
            <w:rPr>
              <w:rFonts w:hint="default"/>
            </w:rPr>
          </w:pPr>
          <w:r>
            <w:fldChar w:fldCharType="begin"/>
          </w:r>
          <w:r>
            <w:instrText xml:space="preserve"> HYPERLINK \l "_Toc17346" </w:instrText>
          </w:r>
          <w:r>
            <w:fldChar w:fldCharType="separate"/>
          </w:r>
          <w:r>
            <w:rPr>
              <w:rFonts w:cs="黑体"/>
              <w:szCs w:val="32"/>
            </w:rPr>
            <w:t>六、绩效自评结果拟应用和公开情况</w:t>
          </w:r>
          <w:r>
            <w:tab/>
          </w:r>
          <w:r>
            <w:fldChar w:fldCharType="begin"/>
          </w:r>
          <w:r>
            <w:instrText xml:space="preserve"> PAGEREF _Toc17346 \h </w:instrText>
          </w:r>
          <w:r>
            <w:fldChar w:fldCharType="separate"/>
          </w:r>
          <w:r>
            <w:t>29</w:t>
          </w:r>
          <w:r>
            <w:fldChar w:fldCharType="end"/>
          </w:r>
          <w:r>
            <w:fldChar w:fldCharType="end"/>
          </w:r>
        </w:p>
        <w:p w14:paraId="01DC836F">
          <w:pPr>
            <w:pStyle w:val="10"/>
            <w:tabs>
              <w:tab w:val="right" w:leader="dot" w:pos="8306"/>
              <w:tab w:val="clear" w:pos="8296"/>
            </w:tabs>
            <w:rPr>
              <w:rFonts w:hint="default"/>
            </w:rPr>
          </w:pPr>
          <w:r>
            <w:fldChar w:fldCharType="begin"/>
          </w:r>
          <w:r>
            <w:instrText xml:space="preserve"> HYPERLINK \l "_Toc575" </w:instrText>
          </w:r>
          <w:r>
            <w:fldChar w:fldCharType="separate"/>
          </w:r>
          <w:r>
            <w:rPr>
              <w:rFonts w:cs="黑体"/>
              <w:szCs w:val="32"/>
            </w:rPr>
            <w:t>七、其他需要说明的问题</w:t>
          </w:r>
          <w:r>
            <w:tab/>
          </w:r>
          <w:r>
            <w:fldChar w:fldCharType="begin"/>
          </w:r>
          <w:r>
            <w:instrText xml:space="preserve"> PAGEREF _Toc575 \h </w:instrText>
          </w:r>
          <w:r>
            <w:fldChar w:fldCharType="separate"/>
          </w:r>
          <w:r>
            <w:t>29</w:t>
          </w:r>
          <w:r>
            <w:fldChar w:fldCharType="end"/>
          </w:r>
          <w:r>
            <w:fldChar w:fldCharType="end"/>
          </w:r>
        </w:p>
        <w:p w14:paraId="00D8753F">
          <w:pPr>
            <w:spacing w:line="360" w:lineRule="auto"/>
          </w:pPr>
          <w:r>
            <w:rPr>
              <w:rFonts w:hint="eastAsia" w:ascii="仿宋_GB2312" w:hAnsi="仿宋_GB2312" w:eastAsia="仿宋_GB2312" w:cs="Times New Roman"/>
              <w:szCs w:val="22"/>
              <w:lang w:bidi="ar"/>
            </w:rPr>
            <w:fldChar w:fldCharType="end"/>
          </w:r>
        </w:p>
      </w:sdtContent>
    </w:sdt>
    <w:p w14:paraId="6256D4CD">
      <w:pPr>
        <w:pStyle w:val="12"/>
        <w:widowControl/>
        <w:spacing w:beforeAutospacing="0" w:afterAutospacing="0" w:line="600" w:lineRule="exact"/>
        <w:jc w:val="center"/>
        <w:outlineLvl w:val="0"/>
        <w:rPr>
          <w:rFonts w:ascii="宋体" w:hAnsi="宋体" w:eastAsia="宋体" w:cs="宋体"/>
          <w:b/>
          <w:bCs/>
          <w:sz w:val="36"/>
          <w:szCs w:val="36"/>
        </w:rPr>
        <w:sectPr>
          <w:pgSz w:w="11906" w:h="16838"/>
          <w:pgMar w:top="1440" w:right="1800" w:bottom="1440" w:left="1800" w:header="851" w:footer="992" w:gutter="0"/>
          <w:cols w:space="425" w:num="1"/>
          <w:docGrid w:type="lines" w:linePitch="312" w:charSpace="0"/>
        </w:sectPr>
      </w:pPr>
      <w:bookmarkStart w:id="1" w:name="_Toc27512"/>
    </w:p>
    <w:p w14:paraId="7871F40E">
      <w:pPr>
        <w:pStyle w:val="12"/>
        <w:widowControl/>
        <w:spacing w:beforeAutospacing="0" w:afterAutospacing="0" w:line="600" w:lineRule="exact"/>
        <w:jc w:val="center"/>
        <w:outlineLvl w:val="0"/>
        <w:rPr>
          <w:rFonts w:ascii="宋体" w:hAnsi="宋体" w:eastAsia="宋体" w:cs="宋体"/>
          <w:b/>
          <w:bCs/>
          <w:sz w:val="36"/>
          <w:szCs w:val="36"/>
        </w:rPr>
      </w:pPr>
      <w:bookmarkStart w:id="2" w:name="_Toc19119"/>
      <w:r>
        <w:rPr>
          <w:rFonts w:hint="eastAsia" w:ascii="宋体" w:hAnsi="宋体" w:eastAsia="宋体" w:cs="宋体"/>
          <w:b/>
          <w:bCs/>
          <w:sz w:val="36"/>
          <w:szCs w:val="36"/>
        </w:rPr>
        <w:t>漳县人民法院2023年度</w:t>
      </w:r>
      <w:bookmarkEnd w:id="1"/>
      <w:bookmarkEnd w:id="2"/>
    </w:p>
    <w:p w14:paraId="2B29EE0E">
      <w:pPr>
        <w:pStyle w:val="12"/>
        <w:widowControl/>
        <w:spacing w:beforeAutospacing="0" w:afterAutospacing="0" w:line="600" w:lineRule="exact"/>
        <w:jc w:val="center"/>
        <w:outlineLvl w:val="0"/>
        <w:rPr>
          <w:rFonts w:ascii="宋体" w:hAnsi="宋体" w:eastAsia="宋体" w:cs="宋体"/>
          <w:b/>
          <w:bCs/>
          <w:sz w:val="36"/>
          <w:szCs w:val="36"/>
        </w:rPr>
      </w:pPr>
      <w:bookmarkStart w:id="3" w:name="_Toc13759"/>
      <w:bookmarkStart w:id="4" w:name="_Toc19513"/>
      <w:r>
        <w:rPr>
          <w:rFonts w:hint="eastAsia" w:ascii="宋体" w:hAnsi="宋体" w:eastAsia="宋体" w:cs="宋体"/>
          <w:b/>
          <w:bCs/>
          <w:sz w:val="36"/>
          <w:szCs w:val="36"/>
        </w:rPr>
        <w:t>预算执行情况自评报告</w:t>
      </w:r>
      <w:bookmarkEnd w:id="3"/>
      <w:bookmarkEnd w:id="4"/>
    </w:p>
    <w:p w14:paraId="5A56367C">
      <w:pPr>
        <w:pStyle w:val="12"/>
        <w:widowControl/>
        <w:spacing w:beforeAutospacing="0" w:afterAutospacing="0" w:line="600" w:lineRule="exact"/>
        <w:jc w:val="center"/>
        <w:rPr>
          <w:rFonts w:ascii="宋体" w:hAnsi="宋体" w:eastAsia="宋体" w:cs="宋体"/>
          <w:b/>
          <w:bCs/>
          <w:sz w:val="36"/>
          <w:szCs w:val="36"/>
        </w:rPr>
      </w:pPr>
    </w:p>
    <w:p w14:paraId="0DDAAE88">
      <w:pPr>
        <w:pStyle w:val="2"/>
        <w:spacing w:before="0" w:after="0" w:line="360" w:lineRule="auto"/>
      </w:pPr>
      <w:bookmarkStart w:id="5" w:name="_Toc3535"/>
      <w:bookmarkStart w:id="6" w:name="_Toc27115"/>
      <w:r>
        <w:rPr>
          <w:rFonts w:hint="eastAsia"/>
        </w:rPr>
        <w:t>一、基本情况</w:t>
      </w:r>
      <w:bookmarkEnd w:id="5"/>
      <w:bookmarkEnd w:id="6"/>
    </w:p>
    <w:p w14:paraId="41110FF0">
      <w:pPr>
        <w:pStyle w:val="12"/>
        <w:widowControl/>
        <w:spacing w:beforeAutospacing="0" w:afterAutospacing="0" w:line="360" w:lineRule="auto"/>
        <w:ind w:firstLine="643" w:firstLineChars="200"/>
        <w:jc w:val="both"/>
        <w:outlineLvl w:val="1"/>
        <w:rPr>
          <w:rFonts w:ascii="楷体" w:hAnsi="楷体" w:eastAsia="楷体" w:cs="楷体"/>
          <w:b/>
          <w:bCs/>
          <w:sz w:val="32"/>
          <w:szCs w:val="32"/>
        </w:rPr>
      </w:pPr>
      <w:bookmarkStart w:id="7" w:name="_Toc17050"/>
      <w:r>
        <w:rPr>
          <w:rFonts w:hint="eastAsia" w:ascii="楷体" w:hAnsi="楷体" w:eastAsia="楷体" w:cs="楷体"/>
          <w:b/>
          <w:bCs/>
          <w:sz w:val="32"/>
          <w:szCs w:val="32"/>
        </w:rPr>
        <w:t>（一）部门主要职能</w:t>
      </w:r>
      <w:bookmarkEnd w:id="7"/>
    </w:p>
    <w:p w14:paraId="4C4A4872">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漳县人民法院是国家审判机关，依法独立行使审判权，对漳县人民代表大会及其常务委员会负责并报告工作。主要职责是：</w:t>
      </w:r>
    </w:p>
    <w:p w14:paraId="214348AA">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1.法律规定由漳县人民法院管辖和其认为应当由自己审判的案件。</w:t>
      </w:r>
    </w:p>
    <w:p w14:paraId="0CEE4A6C">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2.按照法律规定的执行案件。</w:t>
      </w:r>
    </w:p>
    <w:p w14:paraId="31178669">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3.审理民事、刑事、民商事、行政等案件。</w:t>
      </w:r>
    </w:p>
    <w:p w14:paraId="02B3B68C">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4.审判定西市中级人民法院交由我院审判的刑事、民事、民商事、行政等案件。</w:t>
      </w:r>
    </w:p>
    <w:p w14:paraId="54EFF726">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5.受理不服人民法院生效裁判的各类申诉和再审申请，对其中确有错误的，依照审判监督程序再审。</w:t>
      </w:r>
    </w:p>
    <w:p w14:paraId="5896B04D">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6.依法审判由漳县人民检察院按照审判监督程序提出的抗诉案件。</w:t>
      </w:r>
    </w:p>
    <w:p w14:paraId="03D15729">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7.调查研究审判工作中的法律政策及疑难问题，总结审判工作经验。</w:t>
      </w:r>
    </w:p>
    <w:p w14:paraId="7418C1C4">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8.对漳县人民法院的法官和其他工作人员进行思想政治教育、组织专业培训；按照权限管理、培训法官和其他工作人员。</w:t>
      </w:r>
    </w:p>
    <w:p w14:paraId="18834145">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9.负责本院的监察工作。</w:t>
      </w:r>
    </w:p>
    <w:p w14:paraId="57BAA94B">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10.管理法院的财务经费和物资装备配置。</w:t>
      </w:r>
    </w:p>
    <w:p w14:paraId="1AB5FEDC">
      <w:pPr>
        <w:pStyle w:val="12"/>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11.在审判工作中宣传法制、教育公民自觉地遵守宪法、法律和社会公德。</w:t>
      </w:r>
    </w:p>
    <w:p w14:paraId="0BD1E2EA">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12.领导本院的司法警察警务工作。</w:t>
      </w:r>
    </w:p>
    <w:p w14:paraId="22A0A9A9">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13.负责本院涉诉信访工作。</w:t>
      </w:r>
    </w:p>
    <w:p w14:paraId="6E2C0E09">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14.为本院审判工作提供司法技术服务。</w:t>
      </w:r>
    </w:p>
    <w:p w14:paraId="578E4100">
      <w:pPr>
        <w:pStyle w:val="3"/>
        <w:spacing w:before="0" w:after="0" w:line="360" w:lineRule="auto"/>
        <w:ind w:firstLine="643"/>
      </w:pPr>
      <w:bookmarkStart w:id="8" w:name="_Toc6446"/>
      <w:r>
        <w:rPr>
          <w:rFonts w:hint="eastAsia"/>
        </w:rPr>
        <w:t>（二）内设机构及所属部门概况</w:t>
      </w:r>
      <w:bookmarkEnd w:id="8"/>
    </w:p>
    <w:p w14:paraId="4373460A">
      <w:pPr>
        <w:widowControl/>
        <w:spacing w:line="360" w:lineRule="auto"/>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1.内设机构</w:t>
      </w:r>
    </w:p>
    <w:p w14:paraId="675C902B">
      <w:pPr>
        <w:pStyle w:val="12"/>
        <w:widowControl/>
        <w:spacing w:beforeAutospacing="0" w:afterAutospacing="0" w:line="360" w:lineRule="auto"/>
        <w:ind w:firstLine="600" w:firstLineChars="200"/>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机关内设机构12个，包括:立案庭、刑事审判庭、行政审判庭、执行庭(局)、审判管理办公室、综合办公室、政治部、纪检监察室9个机构，下设三岔、新寺、四族三个基层人民法庭。本院无直属事业单位。</w:t>
      </w:r>
    </w:p>
    <w:p w14:paraId="247BFD74">
      <w:pPr>
        <w:pStyle w:val="2"/>
        <w:spacing w:before="0" w:after="0" w:line="360" w:lineRule="auto"/>
      </w:pPr>
      <w:bookmarkStart w:id="9" w:name="_Toc26916"/>
      <w:bookmarkStart w:id="10" w:name="_Toc20924"/>
      <w:r>
        <w:rPr>
          <w:rFonts w:hint="eastAsia"/>
        </w:rPr>
        <w:t>二、绩效自评工作组织开展情况</w:t>
      </w:r>
      <w:bookmarkEnd w:id="9"/>
      <w:bookmarkEnd w:id="10"/>
    </w:p>
    <w:p w14:paraId="0E56AC8A">
      <w:pPr>
        <w:pStyle w:val="3"/>
        <w:spacing w:before="0" w:after="0" w:line="360" w:lineRule="auto"/>
        <w:ind w:firstLine="643"/>
      </w:pPr>
      <w:bookmarkStart w:id="11" w:name="_Toc6305"/>
      <w:r>
        <w:rPr>
          <w:rFonts w:hint="eastAsia"/>
        </w:rPr>
        <w:t>（一）自评工作组织管理情况</w:t>
      </w:r>
      <w:bookmarkEnd w:id="11"/>
    </w:p>
    <w:p w14:paraId="5AEBEAEE">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我院十分重视此次绩效评价工作，要求财务部门严格按照省上有关文件精神，科学分析，精准评价，确保绩效评价客观公正。工作启动后，严格按照《中华人民共和国预算法》《中华人民共和国预算法实施条例》《中共中央 国务院关于全面实施预算绩效管理的意见》（中发〔2018〕34号）、《中共甘肃省委 甘肃省人民政府关于全面实施预算绩效管理的实施意见》（中发〔2018〕32号）、《甘肃省省级预算绩效管理办法》（甘财绩〔2020〕5号）等文件的要求，联合各相关业务部门共同完成此次自评工作。自评工作遵循科学公正、统筹兼顾、激励约束和公开透明的原则，以我院2023年初设定的绩效目标及相关法律法规、政策要求、行业规划、部门职责等为依据，运用定量和定性相结合的评价方法，对我院2023年度省级预算执行情况的经济性、效率性、效益性进行客观公正地分析评价。</w:t>
      </w:r>
    </w:p>
    <w:p w14:paraId="477BE013">
      <w:pPr>
        <w:pStyle w:val="3"/>
        <w:spacing w:before="0" w:after="0" w:line="360" w:lineRule="auto"/>
        <w:ind w:firstLine="643"/>
      </w:pPr>
      <w:bookmarkStart w:id="12" w:name="_Toc28216"/>
      <w:bookmarkStart w:id="13" w:name="_Toc26980"/>
      <w:bookmarkStart w:id="14" w:name="_Toc16884"/>
      <w:bookmarkStart w:id="15" w:name="_Toc13356"/>
      <w:bookmarkStart w:id="16" w:name="_Toc29448"/>
      <w:r>
        <w:rPr>
          <w:rFonts w:hint="eastAsia"/>
        </w:rPr>
        <w:t>（二）自评范围</w:t>
      </w:r>
      <w:bookmarkEnd w:id="12"/>
      <w:bookmarkEnd w:id="13"/>
      <w:bookmarkEnd w:id="14"/>
      <w:bookmarkEnd w:id="15"/>
      <w:bookmarkEnd w:id="16"/>
    </w:p>
    <w:p w14:paraId="740E4F13">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本次预算绩效自评价，按照省级部门项目支出、省对市县转移支付、部门整体支出三类评价对象全覆盖的原则，结合我院实际情况，自评所有对象为法庭运维费、业务费两个项目自评、中央政法转移支付资金自评和部门整体支出自评。</w:t>
      </w:r>
    </w:p>
    <w:p w14:paraId="0BC458D5">
      <w:pPr>
        <w:pStyle w:val="3"/>
        <w:spacing w:before="0" w:after="0" w:line="360" w:lineRule="auto"/>
        <w:ind w:firstLine="643"/>
      </w:pPr>
      <w:bookmarkStart w:id="17" w:name="_Toc22785"/>
      <w:bookmarkStart w:id="18" w:name="_Toc7404"/>
      <w:bookmarkStart w:id="19" w:name="_Toc25429"/>
      <w:bookmarkStart w:id="20" w:name="_Toc18694"/>
      <w:bookmarkStart w:id="21" w:name="_Toc25203"/>
      <w:r>
        <w:rPr>
          <w:rFonts w:hint="eastAsia"/>
        </w:rPr>
        <w:t>（三）自评工作程序</w:t>
      </w:r>
      <w:bookmarkEnd w:id="17"/>
      <w:bookmarkEnd w:id="18"/>
      <w:bookmarkEnd w:id="19"/>
      <w:bookmarkEnd w:id="20"/>
      <w:bookmarkEnd w:id="21"/>
    </w:p>
    <w:p w14:paraId="62B6FB5A">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本次绩效自评工作主要包括以下工作程序：</w:t>
      </w:r>
    </w:p>
    <w:p w14:paraId="2CF80B32">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1.根据我院整体支出和项目支出绩效目标的设定情况，收集各业务部门绩效目标实现程度、预算执行进度等绩效评价基础资料。</w:t>
      </w:r>
    </w:p>
    <w:p w14:paraId="145A7291">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2.整理分析相关资料，统计财政资金预算执行情况和各项绩效目标完成情况，对年初设定的绩效指标及各项指标完成情况进行对比分析，填写《2023年度部门预算执行情况绩效自评报表》。</w:t>
      </w:r>
    </w:p>
    <w:p w14:paraId="2D1CAA79">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3.总结评价结论，归纳问题，分析原因，提出改进措施，完成《2023年度预算执行情况自评报告》撰写。</w:t>
      </w:r>
    </w:p>
    <w:p w14:paraId="7EA62B57">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4.自评表和自评报告完成之后，进行内部审核，对自评表的真实性、完整性、合理性和客观性进行初步审核，并对发现的问题及时反馈和修改，修改完善后报送审核备案。</w:t>
      </w:r>
    </w:p>
    <w:p w14:paraId="60EF7731">
      <w:pPr>
        <w:pStyle w:val="2"/>
        <w:spacing w:before="0" w:after="0" w:line="360" w:lineRule="auto"/>
      </w:pPr>
      <w:bookmarkStart w:id="22" w:name="_Toc17042"/>
      <w:bookmarkStart w:id="23" w:name="_Toc26000"/>
      <w:bookmarkStart w:id="24" w:name="_Toc21516"/>
      <w:bookmarkStart w:id="25" w:name="_Toc31556"/>
      <w:bookmarkStart w:id="26" w:name="_Toc21598"/>
      <w:r>
        <w:rPr>
          <w:rFonts w:hint="eastAsia"/>
        </w:rPr>
        <w:t>三、部门整体支出绩效自评情况分析</w:t>
      </w:r>
      <w:bookmarkEnd w:id="22"/>
      <w:bookmarkEnd w:id="23"/>
      <w:bookmarkEnd w:id="24"/>
      <w:bookmarkEnd w:id="25"/>
      <w:bookmarkEnd w:id="26"/>
      <w:r>
        <w:tab/>
      </w:r>
    </w:p>
    <w:p w14:paraId="1B33966E">
      <w:pPr>
        <w:pStyle w:val="3"/>
        <w:spacing w:before="0" w:after="0" w:line="360" w:lineRule="auto"/>
        <w:ind w:firstLine="643"/>
      </w:pPr>
      <w:bookmarkStart w:id="27" w:name="_Toc8171"/>
      <w:bookmarkStart w:id="28" w:name="_Toc11621"/>
      <w:bookmarkStart w:id="29" w:name="_Toc3483"/>
      <w:bookmarkStart w:id="30" w:name="_Toc32623"/>
      <w:r>
        <w:rPr>
          <w:rFonts w:hint="eastAsia"/>
        </w:rPr>
        <w:t>（一）部门决算情况</w:t>
      </w:r>
      <w:bookmarkEnd w:id="27"/>
      <w:bookmarkEnd w:id="28"/>
      <w:bookmarkEnd w:id="29"/>
      <w:bookmarkEnd w:id="30"/>
    </w:p>
    <w:p w14:paraId="1E1FA65C">
      <w:pPr>
        <w:spacing w:line="360" w:lineRule="auto"/>
        <w:ind w:firstLine="560"/>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2023年度漳县人民法院年初预算1,728.99万元，全年预算数2,054.52万元，实际支出数1,879.25万元，部门整体支出预算执行率为91.47%。</w:t>
      </w:r>
    </w:p>
    <w:p w14:paraId="427DCB4C">
      <w:pPr>
        <w:pStyle w:val="3"/>
        <w:spacing w:before="0" w:after="0" w:line="360" w:lineRule="auto"/>
        <w:ind w:firstLine="643"/>
      </w:pPr>
      <w:bookmarkStart w:id="31" w:name="_Toc10769"/>
      <w:bookmarkStart w:id="32" w:name="_Toc22782"/>
      <w:bookmarkStart w:id="33" w:name="_Toc23272"/>
      <w:bookmarkStart w:id="34" w:name="_Toc21423"/>
      <w:r>
        <w:rPr>
          <w:rFonts w:hint="eastAsia"/>
        </w:rPr>
        <w:t>（二）总体绩效目标完成情况分析</w:t>
      </w:r>
      <w:bookmarkEnd w:id="31"/>
      <w:bookmarkEnd w:id="32"/>
      <w:bookmarkEnd w:id="33"/>
      <w:bookmarkEnd w:id="34"/>
    </w:p>
    <w:p w14:paraId="07DCC65D">
      <w:pPr>
        <w:spacing w:line="360" w:lineRule="auto"/>
        <w:ind w:firstLine="560"/>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经综合评价与分析，漳县人民法院2023年度部门整体支出绩效评价最终得分为93.21分，评价结果为“优”。最终评分结果如下表所示：</w:t>
      </w:r>
    </w:p>
    <w:p w14:paraId="69BC4819">
      <w:pPr>
        <w:spacing w:line="360" w:lineRule="auto"/>
        <w:jc w:val="center"/>
        <w:rPr>
          <w:rFonts w:ascii="宋体" w:hAnsi="宋体"/>
        </w:rPr>
      </w:pPr>
      <w:r>
        <w:rPr>
          <w:rFonts w:hint="eastAsia" w:ascii="宋体" w:hAnsi="宋体" w:cs="宋体"/>
          <w:b/>
          <w:bCs/>
          <w:kern w:val="0"/>
          <w:sz w:val="24"/>
        </w:rPr>
        <w:t>2023年度部门整体支出绩效评价指标得分情况</w:t>
      </w:r>
    </w:p>
    <w:tbl>
      <w:tblPr>
        <w:tblStyle w:val="1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6F8E93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653FFF60">
            <w:pPr>
              <w:widowControl/>
              <w:ind w:firstLine="442" w:firstLineChars="200"/>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一级指标</w:t>
            </w:r>
          </w:p>
        </w:tc>
        <w:tc>
          <w:tcPr>
            <w:tcW w:w="1678" w:type="dxa"/>
            <w:shd w:val="clear" w:color="auto" w:fill="BDD6EE"/>
            <w:vAlign w:val="center"/>
          </w:tcPr>
          <w:p w14:paraId="3C242828">
            <w:pPr>
              <w:widowControl/>
              <w:jc w:val="center"/>
              <w:textAlignment w:val="center"/>
              <w:rPr>
                <w:rFonts w:ascii="宋体" w:hAnsi="宋体" w:eastAsia="宋体" w:cs="宋体"/>
                <w:b/>
                <w:kern w:val="0"/>
                <w:sz w:val="22"/>
                <w:szCs w:val="22"/>
              </w:rPr>
            </w:pPr>
            <w:r>
              <w:rPr>
                <w:rFonts w:hint="eastAsia" w:ascii="宋体" w:hAnsi="宋体" w:eastAsia="宋体" w:cs="宋体"/>
                <w:b/>
                <w:bCs/>
                <w:kern w:val="0"/>
                <w:sz w:val="22"/>
                <w:szCs w:val="22"/>
                <w:lang w:bidi="ar"/>
              </w:rPr>
              <w:t>分值</w:t>
            </w:r>
          </w:p>
        </w:tc>
        <w:tc>
          <w:tcPr>
            <w:tcW w:w="1560" w:type="dxa"/>
            <w:shd w:val="clear" w:color="auto" w:fill="BDD6EE"/>
            <w:vAlign w:val="center"/>
          </w:tcPr>
          <w:p w14:paraId="463BB060">
            <w:pPr>
              <w:widowControl/>
              <w:jc w:val="center"/>
              <w:textAlignment w:val="center"/>
              <w:rPr>
                <w:rFonts w:ascii="宋体" w:hAnsi="宋体" w:eastAsia="宋体" w:cs="宋体"/>
                <w:b/>
                <w:kern w:val="0"/>
                <w:sz w:val="22"/>
                <w:szCs w:val="22"/>
              </w:rPr>
            </w:pPr>
            <w:r>
              <w:rPr>
                <w:rFonts w:hint="eastAsia" w:ascii="宋体" w:hAnsi="宋体" w:eastAsia="宋体" w:cs="宋体"/>
                <w:b/>
                <w:bCs/>
                <w:kern w:val="0"/>
                <w:sz w:val="22"/>
                <w:szCs w:val="22"/>
                <w:lang w:bidi="ar"/>
              </w:rPr>
              <w:t>自评得分</w:t>
            </w:r>
          </w:p>
        </w:tc>
        <w:tc>
          <w:tcPr>
            <w:tcW w:w="2268" w:type="dxa"/>
            <w:shd w:val="clear" w:color="auto" w:fill="BDD6EE"/>
            <w:vAlign w:val="center"/>
          </w:tcPr>
          <w:p w14:paraId="2DA86B93">
            <w:pPr>
              <w:widowControl/>
              <w:jc w:val="center"/>
              <w:textAlignment w:val="center"/>
              <w:rPr>
                <w:rFonts w:ascii="宋体" w:hAnsi="宋体" w:eastAsia="宋体" w:cs="宋体"/>
                <w:b/>
                <w:kern w:val="0"/>
                <w:sz w:val="22"/>
                <w:szCs w:val="22"/>
              </w:rPr>
            </w:pPr>
            <w:r>
              <w:rPr>
                <w:rFonts w:hint="eastAsia" w:ascii="宋体" w:hAnsi="宋体" w:eastAsia="宋体" w:cs="宋体"/>
                <w:b/>
                <w:bCs/>
                <w:kern w:val="0"/>
                <w:sz w:val="22"/>
                <w:szCs w:val="22"/>
                <w:lang w:bidi="ar"/>
              </w:rPr>
              <w:t>得分率</w:t>
            </w:r>
          </w:p>
        </w:tc>
      </w:tr>
      <w:tr w14:paraId="6FDD33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102677D5">
            <w:pPr>
              <w:widowControl/>
              <w:ind w:firstLine="440" w:firstLineChars="20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预算执行率</w:t>
            </w:r>
          </w:p>
        </w:tc>
        <w:tc>
          <w:tcPr>
            <w:tcW w:w="1678" w:type="dxa"/>
            <w:vAlign w:val="center"/>
          </w:tcPr>
          <w:p w14:paraId="6077617A">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10</w:t>
            </w:r>
          </w:p>
        </w:tc>
        <w:tc>
          <w:tcPr>
            <w:tcW w:w="1560" w:type="dxa"/>
            <w:vAlign w:val="center"/>
          </w:tcPr>
          <w:p w14:paraId="47C849AD">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9.15</w:t>
            </w:r>
          </w:p>
        </w:tc>
        <w:tc>
          <w:tcPr>
            <w:tcW w:w="2268" w:type="dxa"/>
            <w:vAlign w:val="center"/>
          </w:tcPr>
          <w:p w14:paraId="458EAFAD">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91.50%</w:t>
            </w:r>
          </w:p>
        </w:tc>
      </w:tr>
      <w:tr w14:paraId="7B8C6F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B202681">
            <w:pPr>
              <w:widowControl/>
              <w:ind w:firstLine="440" w:firstLineChars="20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部门管理</w:t>
            </w:r>
          </w:p>
        </w:tc>
        <w:tc>
          <w:tcPr>
            <w:tcW w:w="1678" w:type="dxa"/>
            <w:vAlign w:val="center"/>
          </w:tcPr>
          <w:p w14:paraId="164E1F5A">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20</w:t>
            </w:r>
          </w:p>
        </w:tc>
        <w:tc>
          <w:tcPr>
            <w:tcW w:w="1560" w:type="dxa"/>
            <w:vAlign w:val="center"/>
          </w:tcPr>
          <w:p w14:paraId="5F27F383">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19.46</w:t>
            </w:r>
          </w:p>
        </w:tc>
        <w:tc>
          <w:tcPr>
            <w:tcW w:w="2268" w:type="dxa"/>
            <w:vAlign w:val="center"/>
          </w:tcPr>
          <w:p w14:paraId="496FEC2D">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97.30%</w:t>
            </w:r>
          </w:p>
        </w:tc>
      </w:tr>
      <w:tr w14:paraId="5F75D0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3F1897C">
            <w:pPr>
              <w:widowControl/>
              <w:ind w:firstLine="440" w:firstLineChars="20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履职效果</w:t>
            </w:r>
          </w:p>
        </w:tc>
        <w:tc>
          <w:tcPr>
            <w:tcW w:w="1678" w:type="dxa"/>
            <w:vAlign w:val="center"/>
          </w:tcPr>
          <w:p w14:paraId="2F688139">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60</w:t>
            </w:r>
          </w:p>
        </w:tc>
        <w:tc>
          <w:tcPr>
            <w:tcW w:w="1560" w:type="dxa"/>
            <w:vAlign w:val="center"/>
          </w:tcPr>
          <w:p w14:paraId="4B8B7F0F">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54.60</w:t>
            </w:r>
          </w:p>
        </w:tc>
        <w:tc>
          <w:tcPr>
            <w:tcW w:w="2268" w:type="dxa"/>
            <w:vAlign w:val="center"/>
          </w:tcPr>
          <w:p w14:paraId="3B6A2CD6">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91.00%</w:t>
            </w:r>
          </w:p>
        </w:tc>
      </w:tr>
      <w:tr w14:paraId="50B5F01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F0A7F4F">
            <w:pPr>
              <w:widowControl/>
              <w:ind w:firstLine="440" w:firstLineChars="200"/>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能力建设</w:t>
            </w:r>
          </w:p>
        </w:tc>
        <w:tc>
          <w:tcPr>
            <w:tcW w:w="1678" w:type="dxa"/>
            <w:vAlign w:val="center"/>
          </w:tcPr>
          <w:p w14:paraId="7300847A">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10</w:t>
            </w:r>
          </w:p>
        </w:tc>
        <w:tc>
          <w:tcPr>
            <w:tcW w:w="1560" w:type="dxa"/>
            <w:vAlign w:val="center"/>
          </w:tcPr>
          <w:p w14:paraId="2F325910">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10</w:t>
            </w:r>
          </w:p>
        </w:tc>
        <w:tc>
          <w:tcPr>
            <w:tcW w:w="2268" w:type="dxa"/>
            <w:vAlign w:val="center"/>
          </w:tcPr>
          <w:p w14:paraId="6492A623">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w:t>
            </w:r>
          </w:p>
        </w:tc>
      </w:tr>
      <w:tr w14:paraId="209F617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6B2FD293">
            <w:pPr>
              <w:widowControl/>
              <w:ind w:firstLine="442" w:firstLineChars="200"/>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合计</w:t>
            </w:r>
          </w:p>
        </w:tc>
        <w:tc>
          <w:tcPr>
            <w:tcW w:w="1678" w:type="dxa"/>
            <w:shd w:val="clear" w:color="auto" w:fill="BDD6EE"/>
            <w:vAlign w:val="center"/>
          </w:tcPr>
          <w:p w14:paraId="13F90923">
            <w:pPr>
              <w:widowControl/>
              <w:jc w:val="center"/>
              <w:textAlignment w:val="center"/>
              <w:rPr>
                <w:rFonts w:ascii="宋体" w:hAnsi="宋体" w:eastAsia="宋体" w:cs="宋体"/>
                <w:b/>
                <w:kern w:val="0"/>
                <w:sz w:val="22"/>
                <w:szCs w:val="22"/>
              </w:rPr>
            </w:pPr>
            <w:r>
              <w:rPr>
                <w:rFonts w:hint="eastAsia" w:ascii="宋体" w:hAnsi="宋体" w:eastAsia="宋体" w:cs="宋体"/>
                <w:b/>
                <w:bCs/>
                <w:kern w:val="0"/>
                <w:sz w:val="22"/>
                <w:szCs w:val="22"/>
                <w:lang w:bidi="ar"/>
              </w:rPr>
              <w:t>100</w:t>
            </w:r>
          </w:p>
        </w:tc>
        <w:tc>
          <w:tcPr>
            <w:tcW w:w="1560" w:type="dxa"/>
            <w:shd w:val="clear" w:color="auto" w:fill="BDD6EE"/>
            <w:vAlign w:val="center"/>
          </w:tcPr>
          <w:p w14:paraId="2309BA2B">
            <w:pPr>
              <w:widowControl/>
              <w:jc w:val="center"/>
              <w:textAlignment w:val="center"/>
              <w:rPr>
                <w:rFonts w:ascii="宋体" w:hAnsi="宋体" w:eastAsia="宋体" w:cs="宋体"/>
                <w:b/>
                <w:kern w:val="0"/>
                <w:sz w:val="22"/>
                <w:szCs w:val="22"/>
              </w:rPr>
            </w:pPr>
            <w:r>
              <w:rPr>
                <w:rFonts w:hint="eastAsia" w:ascii="宋体" w:hAnsi="宋体" w:eastAsia="宋体" w:cs="宋体"/>
                <w:b/>
                <w:bCs/>
                <w:kern w:val="0"/>
                <w:sz w:val="22"/>
                <w:szCs w:val="22"/>
                <w:lang w:bidi="ar"/>
              </w:rPr>
              <w:t>93.21</w:t>
            </w:r>
          </w:p>
        </w:tc>
        <w:tc>
          <w:tcPr>
            <w:tcW w:w="2268" w:type="dxa"/>
            <w:shd w:val="clear" w:color="auto" w:fill="BDD6EE"/>
            <w:vAlign w:val="center"/>
          </w:tcPr>
          <w:p w14:paraId="7BE336EC">
            <w:pPr>
              <w:widowControl/>
              <w:jc w:val="center"/>
              <w:textAlignment w:val="center"/>
              <w:rPr>
                <w:rFonts w:ascii="宋体" w:hAnsi="宋体" w:eastAsia="宋体" w:cs="宋体"/>
                <w:kern w:val="0"/>
                <w:sz w:val="22"/>
                <w:szCs w:val="22"/>
              </w:rPr>
            </w:pPr>
            <w:r>
              <w:rPr>
                <w:rFonts w:hint="eastAsia" w:ascii="宋体" w:hAnsi="宋体" w:eastAsia="宋体" w:cs="宋体"/>
                <w:b/>
                <w:bCs/>
                <w:kern w:val="0"/>
                <w:sz w:val="22"/>
                <w:szCs w:val="22"/>
                <w:lang w:bidi="ar"/>
              </w:rPr>
              <w:t>93.21%</w:t>
            </w:r>
          </w:p>
        </w:tc>
      </w:tr>
    </w:tbl>
    <w:p w14:paraId="4D26E18C">
      <w:pPr>
        <w:spacing w:line="360" w:lineRule="auto"/>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rPr>
        <w:t>2023年主要工作成果及总体绩效目标完成情况</w:t>
      </w:r>
    </w:p>
    <w:p w14:paraId="1141DA21">
      <w:pPr>
        <w:widowControl/>
        <w:spacing w:line="360" w:lineRule="auto"/>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1.总体绩效目标</w:t>
      </w:r>
    </w:p>
    <w:p w14:paraId="5A5F14B7">
      <w:pPr>
        <w:widowControl/>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（1）忠诚履职担当，推进平安漳县、法治漳县建设。全面贯彻总体国家安全观，以实际行动筑牢维护国家长治久安、社会安定有序、人民安居乐业的法治屏障。</w:t>
      </w:r>
    </w:p>
    <w:p w14:paraId="355F686F">
      <w:pPr>
        <w:pStyle w:val="27"/>
        <w:spacing w:line="360" w:lineRule="auto"/>
        <w:ind w:left="0" w:leftChars="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（2）践行司法为民，回应群众司法新需求。坚持人民至上，贯彻以人民为中心的发展思想，不断创新司法为民举措，为人民群众提供更加高效便捷的司法服务。</w:t>
      </w:r>
    </w:p>
    <w:p w14:paraId="53D0853D">
      <w:pPr>
        <w:pStyle w:val="27"/>
        <w:spacing w:line="360" w:lineRule="auto"/>
        <w:ind w:left="0" w:leftChars="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（3）全面提质增效，护航经济社会高质量发。推进审判体系和审判能力现代化，完整准确全面贯彻新发展理念，为经济社会高质量发展提供有力司法服务。</w:t>
      </w:r>
    </w:p>
    <w:p w14:paraId="19A268E2">
      <w:pPr>
        <w:pStyle w:val="27"/>
        <w:spacing w:line="360" w:lineRule="auto"/>
        <w:ind w:left="0" w:leftChars="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（4）聚焦政治引领，建设过硬法院队伍。贯彻新时代党的建设总要求，持之以恒推进全面从严治党、从严治院，锻造忠诚干净担当的法院铁军。</w:t>
      </w:r>
    </w:p>
    <w:p w14:paraId="56C03B77">
      <w:pPr>
        <w:widowControl/>
        <w:spacing w:line="360" w:lineRule="auto"/>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2.实际完成情况</w:t>
      </w:r>
    </w:p>
    <w:p w14:paraId="3999E312">
      <w:pPr>
        <w:widowControl/>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全力维护社会安全稳定。坚持宽严相济刑事政策，保护人民群众生命财产安全。受理刑事案件83件121人，审结80件114人，结案率96.39%，平均审理天数25.7天。着力防范化解风险。充分发挥司法职能，切实增强风险意识，全力推进“主动创稳”行动。结合全省法院“院长接访月”活动，做好涉诉信访工作，受理信访案件44件，其中“院长接访月”接访15件，上级法院和其他部门转办29件，已全部办结，案访比全省最低。积极助力法治政府建设。充分发挥司法对法治政府建设的助推作用，依法能动履职，为各项工作在法治轨道上运行提供保障。全面履行普法社会责任，与新媒体平台深度融合，采取以案说法、以案释法等形式，开展形式多样的法治宣传教育23次，发布公告66期、微视频7期、典型案例81期，开展法治讲座12次。</w:t>
      </w:r>
    </w:p>
    <w:p w14:paraId="2A3FCDDC">
      <w:pPr>
        <w:widowControl/>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加强民生司法保障。稳妥化解民商事纠纷，受理各类民商事案件2143件，审结2108件,结案率98.37%。审结教育、医疗、社会保障等领域纠纷184件，维护群众切身利益。持续攻坚执行难题。坚持高效公正规范文明执行，受理执行案件1418件，执结1397件，结案率98.52%，执行到位金额1.08亿元，结案率、执行到位率分别居全市第一、第二位。深度拓展智慧法院应用。利用数字科技对诉讼服务进行全方位全链条改革，实现全业务网上办理、全方位智能服务，网上立案524件，跨域立案3件，在线保全64件，在线送达法律文书5228件次。</w:t>
      </w:r>
    </w:p>
    <w:p w14:paraId="08ABE5AE">
      <w:pPr>
        <w:widowControl/>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狠抓审判执行质效。紧扣“公正与效率”主题，聚焦审判质效指标，打造驱动审判质效提升的“新引擎”。进一步压实院庭长监管职责，在全市法院率先全面实行案件阅核制，所有案件由院庭长监督阅核，把好案件“质量关”，一审服判息诉率92.21%，位居全省第三。持续优化法治化营商环境。深入推进“优化营商环境攻坚突破年”行动，聚焦涉企案件全流程管理，提升办案质量和效率，办理涉企案件546件，平均审理天数24.07天。完善矛盾多元化解机制。坚持新时代“枫桥经验”，紧盯多元解纷各项指标，与各调解组织形成工作合力，共同参与矛盾化解，诉前委派、推送案件1572件，化解成功81件，调解成功1054件，“一站式”建设各项数据指标位居全市前列。</w:t>
      </w:r>
    </w:p>
    <w:p w14:paraId="3C908639">
      <w:pPr>
        <w:widowControl/>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坚持政治建设，永葆忠诚本色。坚持不懈用习近平新时代中国特色社会主义思想凝心铸魂，推动党的二十大精神和习近平法治思想学习培训全覆盖，举办各类政治理论学习38场次，筑牢政治忠诚根基。坚持能力提升，练就过硬本领。深入开展“铸忠诚警魂”活动，干警通过视频方式参加“人民法院大讲堂”“陇法讲堂”培训班29期，参加其他各类培训44期132人次，全面提升干警业务能力。举办员额法官讲法、庭审观摩评比、发改案件评析、法警实战化集训、书记员技能竞赛等岗位练兵活动，推动学习培训常态化。坚持正风肃纪，紧绷纪律之弦。深入开展“铸忠诚警魂”活动顽瘴痼疾整治和“作风顽疾百日整治”活动，通报典型案例、观看警示教育片，教育引导干警防微杜渐、警钟长鸣。严格执行防止干预司法“三个规定”、新时代政法干警“十个严禁”等铁规禁令，落实“一案一评查、一评一反馈、一月一通报、一年一奖罚”制度，推动制度落地见效。</w:t>
      </w:r>
    </w:p>
    <w:p w14:paraId="4B5D96EC">
      <w:pPr>
        <w:pStyle w:val="3"/>
        <w:keepNext w:val="0"/>
        <w:keepLines w:val="0"/>
        <w:spacing w:before="0" w:after="0" w:line="360" w:lineRule="auto"/>
        <w:ind w:firstLine="643"/>
      </w:pPr>
      <w:bookmarkStart w:id="35" w:name="_Toc17819"/>
      <w:bookmarkStart w:id="36" w:name="_Toc17548"/>
      <w:bookmarkStart w:id="37" w:name="_Toc18553"/>
      <w:bookmarkStart w:id="38" w:name="_Toc7799"/>
      <w:r>
        <w:rPr>
          <w:rFonts w:hint="eastAsia"/>
        </w:rPr>
        <w:t>（三）各项指标完成情况分析</w:t>
      </w:r>
      <w:bookmarkEnd w:id="35"/>
      <w:bookmarkEnd w:id="36"/>
      <w:bookmarkEnd w:id="37"/>
      <w:bookmarkEnd w:id="38"/>
    </w:p>
    <w:p w14:paraId="5F86D587">
      <w:pPr>
        <w:widowControl/>
        <w:spacing w:line="360" w:lineRule="auto"/>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1.部门整体支出预算执行率完成情况分析</w:t>
      </w:r>
    </w:p>
    <w:p w14:paraId="59C01E0F">
      <w:pPr>
        <w:spacing w:line="360" w:lineRule="auto"/>
        <w:ind w:firstLine="560"/>
        <w:rPr>
          <w:sz w:val="30"/>
          <w:szCs w:val="30"/>
        </w:rPr>
      </w:pPr>
      <w:r>
        <w:rPr>
          <w:rFonts w:hint="eastAsia" w:ascii="仿宋_GB2312" w:hAnsi="仿宋_GB2312" w:eastAsia="仿宋_GB2312" w:cs="仿宋_GB2312"/>
          <w:sz w:val="30"/>
          <w:szCs w:val="30"/>
        </w:rPr>
        <w:t>我院2023年年初预算1,728.99万元，全年预算数2,054.52万元，实际支出数1,879.25万元，部门整体支出预算执行率为91.47%。</w:t>
      </w:r>
      <w:r>
        <w:rPr>
          <w:rFonts w:hint="eastAsia" w:ascii="仿宋_GB2312" w:hAnsi="仿宋_GB2312" w:eastAsia="仿宋_GB2312" w:cs="仿宋_GB2312"/>
          <w:color w:val="000000" w:themeColor="text1"/>
          <w:sz w:val="30"/>
          <w:szCs w:val="30"/>
          <w14:textFill>
            <w14:solidFill>
              <w14:schemeClr w14:val="tx1"/>
            </w14:solidFill>
          </w14:textFill>
        </w:rPr>
        <w:t>该指标分值10分，自评得分9.15分，得分率91.50%。</w:t>
      </w:r>
    </w:p>
    <w:p w14:paraId="5EF8E01C">
      <w:pPr>
        <w:widowControl/>
        <w:spacing w:line="360" w:lineRule="auto"/>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2.部门管理目标完成情况分析</w:t>
      </w:r>
    </w:p>
    <w:p w14:paraId="1258057F">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部门管理指标包括资金投入、财务管理、采购管理、资产管理、人员管理、重点工作管理六个二级指标，下设10个三级指标。指标分值20分，自评得分19.46分，得分率97.30%。具体如下表：</w:t>
      </w:r>
    </w:p>
    <w:tbl>
      <w:tblPr>
        <w:tblStyle w:val="16"/>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82"/>
        <w:gridCol w:w="1559"/>
        <w:gridCol w:w="1730"/>
        <w:gridCol w:w="1984"/>
      </w:tblGrid>
      <w:tr w14:paraId="2B23EB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74AB171F">
            <w:pPr>
              <w:widowControl/>
              <w:ind w:firstLine="482" w:firstLineChars="200"/>
              <w:jc w:val="center"/>
              <w:textAlignment w:val="center"/>
              <w:rPr>
                <w:rFonts w:ascii="宋体" w:hAnsi="宋体" w:cs="宋体"/>
                <w:b/>
                <w:color w:val="000000"/>
                <w:kern w:val="0"/>
                <w:sz w:val="24"/>
              </w:rPr>
            </w:pPr>
            <w:r>
              <w:rPr>
                <w:rFonts w:hint="eastAsia" w:ascii="仿宋_GB2312" w:hAnsi="宋体" w:eastAsia="仿宋_GB2312" w:cs="仿宋_GB2312"/>
                <w:b/>
                <w:bCs/>
                <w:color w:val="000000"/>
                <w:kern w:val="0"/>
                <w:sz w:val="24"/>
                <w:lang w:bidi="ar"/>
              </w:rPr>
              <w:t>二级指标</w:t>
            </w:r>
          </w:p>
        </w:tc>
        <w:tc>
          <w:tcPr>
            <w:tcW w:w="1559" w:type="dxa"/>
            <w:shd w:val="clear" w:color="auto" w:fill="BDD6EE"/>
            <w:vAlign w:val="center"/>
          </w:tcPr>
          <w:p w14:paraId="0B6922F2">
            <w:pPr>
              <w:widowControl/>
              <w:jc w:val="center"/>
              <w:textAlignment w:val="center"/>
              <w:rPr>
                <w:rFonts w:ascii="宋体" w:hAnsi="宋体" w:cs="宋体"/>
                <w:b/>
                <w:color w:val="000000"/>
                <w:kern w:val="0"/>
                <w:sz w:val="24"/>
              </w:rPr>
            </w:pPr>
            <w:r>
              <w:rPr>
                <w:rFonts w:hint="eastAsia" w:ascii="仿宋_GB2312" w:hAnsi="宋体" w:eastAsia="仿宋_GB2312" w:cs="仿宋_GB2312"/>
                <w:b/>
                <w:bCs/>
                <w:color w:val="000000"/>
                <w:kern w:val="0"/>
                <w:sz w:val="24"/>
                <w:lang w:bidi="ar"/>
              </w:rPr>
              <w:t>分值</w:t>
            </w:r>
          </w:p>
        </w:tc>
        <w:tc>
          <w:tcPr>
            <w:tcW w:w="1730" w:type="dxa"/>
            <w:shd w:val="clear" w:color="auto" w:fill="BDD6EE"/>
            <w:vAlign w:val="center"/>
          </w:tcPr>
          <w:p w14:paraId="02D126D7">
            <w:pPr>
              <w:widowControl/>
              <w:jc w:val="center"/>
              <w:textAlignment w:val="center"/>
              <w:rPr>
                <w:rFonts w:ascii="宋体" w:hAnsi="宋体" w:cs="宋体"/>
                <w:b/>
                <w:color w:val="000000"/>
                <w:kern w:val="0"/>
                <w:sz w:val="24"/>
              </w:rPr>
            </w:pPr>
            <w:r>
              <w:rPr>
                <w:rFonts w:hint="eastAsia" w:ascii="仿宋_GB2312" w:hAnsi="宋体" w:eastAsia="仿宋_GB2312" w:cs="仿宋_GB2312"/>
                <w:b/>
                <w:bCs/>
                <w:color w:val="000000"/>
                <w:kern w:val="0"/>
                <w:sz w:val="24"/>
                <w:lang w:bidi="ar"/>
              </w:rPr>
              <w:t>自评得分</w:t>
            </w:r>
          </w:p>
        </w:tc>
        <w:tc>
          <w:tcPr>
            <w:tcW w:w="1984" w:type="dxa"/>
            <w:shd w:val="clear" w:color="auto" w:fill="BDD6EE"/>
            <w:vAlign w:val="center"/>
          </w:tcPr>
          <w:p w14:paraId="317425E3">
            <w:pPr>
              <w:widowControl/>
              <w:jc w:val="center"/>
              <w:textAlignment w:val="center"/>
              <w:rPr>
                <w:rFonts w:ascii="宋体" w:hAnsi="宋体" w:cs="宋体"/>
                <w:b/>
                <w:color w:val="000000"/>
                <w:kern w:val="0"/>
                <w:sz w:val="24"/>
              </w:rPr>
            </w:pPr>
            <w:r>
              <w:rPr>
                <w:rFonts w:hint="eastAsia" w:ascii="仿宋_GB2312" w:hAnsi="宋体" w:eastAsia="仿宋_GB2312" w:cs="仿宋_GB2312"/>
                <w:b/>
                <w:bCs/>
                <w:color w:val="000000"/>
                <w:kern w:val="0"/>
                <w:sz w:val="24"/>
                <w:lang w:bidi="ar"/>
              </w:rPr>
              <w:t>得分率</w:t>
            </w:r>
          </w:p>
        </w:tc>
      </w:tr>
      <w:tr w14:paraId="7D06BC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1E5991A3">
            <w:pPr>
              <w:widowControl/>
              <w:ind w:firstLine="480" w:firstLineChars="200"/>
              <w:jc w:val="left"/>
              <w:textAlignment w:val="center"/>
              <w:rPr>
                <w:rFonts w:hAnsi="宋体" w:cs="宋体"/>
                <w:kern w:val="0"/>
                <w:sz w:val="24"/>
                <w:szCs w:val="28"/>
              </w:rPr>
            </w:pPr>
            <w:r>
              <w:rPr>
                <w:rFonts w:hint="eastAsia" w:ascii="仿宋_GB2312" w:hAnsi="宋体" w:eastAsia="仿宋_GB2312" w:cs="仿宋_GB2312"/>
                <w:kern w:val="0"/>
                <w:sz w:val="24"/>
                <w:lang w:bidi="ar"/>
              </w:rPr>
              <w:t>资金投入</w:t>
            </w:r>
          </w:p>
        </w:tc>
        <w:tc>
          <w:tcPr>
            <w:tcW w:w="1559" w:type="dxa"/>
            <w:vAlign w:val="center"/>
          </w:tcPr>
          <w:p w14:paraId="0C979BAC">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8</w:t>
            </w:r>
          </w:p>
        </w:tc>
        <w:tc>
          <w:tcPr>
            <w:tcW w:w="1730" w:type="dxa"/>
            <w:vAlign w:val="center"/>
          </w:tcPr>
          <w:p w14:paraId="3BE6AFAA">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7.46</w:t>
            </w:r>
          </w:p>
        </w:tc>
        <w:tc>
          <w:tcPr>
            <w:tcW w:w="1984" w:type="dxa"/>
            <w:vAlign w:val="center"/>
          </w:tcPr>
          <w:p w14:paraId="0FD1D731">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93.25%</w:t>
            </w:r>
          </w:p>
        </w:tc>
      </w:tr>
      <w:tr w14:paraId="5FFF9D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73DD871B">
            <w:pPr>
              <w:widowControl/>
              <w:ind w:firstLine="480" w:firstLineChars="200"/>
              <w:jc w:val="left"/>
              <w:textAlignment w:val="center"/>
              <w:rPr>
                <w:rFonts w:hAnsi="宋体" w:cs="宋体"/>
                <w:color w:val="000000"/>
                <w:kern w:val="0"/>
                <w:sz w:val="24"/>
                <w:szCs w:val="28"/>
              </w:rPr>
            </w:pPr>
            <w:r>
              <w:rPr>
                <w:rFonts w:hint="eastAsia" w:ascii="仿宋_GB2312" w:hAnsi="宋体" w:eastAsia="仿宋_GB2312" w:cs="仿宋_GB2312"/>
                <w:color w:val="000000"/>
                <w:kern w:val="0"/>
                <w:sz w:val="24"/>
                <w:lang w:bidi="ar"/>
              </w:rPr>
              <w:t>财务管理</w:t>
            </w:r>
          </w:p>
        </w:tc>
        <w:tc>
          <w:tcPr>
            <w:tcW w:w="1559" w:type="dxa"/>
            <w:vAlign w:val="center"/>
          </w:tcPr>
          <w:p w14:paraId="4FBA3E4F">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4</w:t>
            </w:r>
          </w:p>
        </w:tc>
        <w:tc>
          <w:tcPr>
            <w:tcW w:w="1730" w:type="dxa"/>
            <w:vAlign w:val="center"/>
          </w:tcPr>
          <w:p w14:paraId="3F282F17">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4</w:t>
            </w:r>
          </w:p>
        </w:tc>
        <w:tc>
          <w:tcPr>
            <w:tcW w:w="1984" w:type="dxa"/>
            <w:vAlign w:val="center"/>
          </w:tcPr>
          <w:p w14:paraId="7614B953">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100.00%</w:t>
            </w:r>
          </w:p>
        </w:tc>
      </w:tr>
      <w:tr w14:paraId="22FAC0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1306A6E3">
            <w:pPr>
              <w:widowControl/>
              <w:ind w:firstLine="480" w:firstLineChars="200"/>
              <w:jc w:val="left"/>
              <w:textAlignment w:val="center"/>
              <w:rPr>
                <w:rFonts w:hAnsi="宋体" w:cs="宋体"/>
                <w:color w:val="000000"/>
                <w:kern w:val="0"/>
                <w:sz w:val="24"/>
                <w:szCs w:val="28"/>
              </w:rPr>
            </w:pPr>
            <w:r>
              <w:rPr>
                <w:rFonts w:hint="eastAsia" w:ascii="仿宋_GB2312" w:hAnsi="宋体" w:eastAsia="仿宋_GB2312" w:cs="仿宋_GB2312"/>
                <w:color w:val="000000"/>
                <w:kern w:val="0"/>
                <w:sz w:val="24"/>
                <w:lang w:bidi="ar"/>
              </w:rPr>
              <w:t>采购管理</w:t>
            </w:r>
          </w:p>
        </w:tc>
        <w:tc>
          <w:tcPr>
            <w:tcW w:w="1559" w:type="dxa"/>
            <w:vAlign w:val="center"/>
          </w:tcPr>
          <w:p w14:paraId="04815D29">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2</w:t>
            </w:r>
          </w:p>
        </w:tc>
        <w:tc>
          <w:tcPr>
            <w:tcW w:w="1730" w:type="dxa"/>
            <w:vAlign w:val="center"/>
          </w:tcPr>
          <w:p w14:paraId="1D11D353">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2</w:t>
            </w:r>
          </w:p>
        </w:tc>
        <w:tc>
          <w:tcPr>
            <w:tcW w:w="1984" w:type="dxa"/>
            <w:vAlign w:val="center"/>
          </w:tcPr>
          <w:p w14:paraId="3019CD28">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100.00%</w:t>
            </w:r>
          </w:p>
        </w:tc>
      </w:tr>
      <w:tr w14:paraId="634570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7E5287D3">
            <w:pPr>
              <w:widowControl/>
              <w:ind w:firstLine="480" w:firstLineChars="200"/>
              <w:jc w:val="left"/>
              <w:textAlignment w:val="center"/>
              <w:rPr>
                <w:rFonts w:hAnsi="宋体" w:cs="宋体"/>
                <w:color w:val="000000"/>
                <w:kern w:val="0"/>
                <w:sz w:val="24"/>
                <w:szCs w:val="28"/>
              </w:rPr>
            </w:pPr>
            <w:r>
              <w:rPr>
                <w:rFonts w:hint="eastAsia" w:ascii="仿宋_GB2312" w:hAnsi="宋体" w:eastAsia="仿宋_GB2312" w:cs="仿宋_GB2312"/>
                <w:color w:val="000000"/>
                <w:kern w:val="0"/>
                <w:sz w:val="24"/>
                <w:lang w:bidi="ar"/>
              </w:rPr>
              <w:t>资产管理</w:t>
            </w:r>
          </w:p>
        </w:tc>
        <w:tc>
          <w:tcPr>
            <w:tcW w:w="1559" w:type="dxa"/>
            <w:vAlign w:val="center"/>
          </w:tcPr>
          <w:p w14:paraId="7D060E22">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2</w:t>
            </w:r>
          </w:p>
        </w:tc>
        <w:tc>
          <w:tcPr>
            <w:tcW w:w="1730" w:type="dxa"/>
            <w:vAlign w:val="center"/>
          </w:tcPr>
          <w:p w14:paraId="49F9BA29">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2</w:t>
            </w:r>
          </w:p>
        </w:tc>
        <w:tc>
          <w:tcPr>
            <w:tcW w:w="1984" w:type="dxa"/>
            <w:vAlign w:val="center"/>
          </w:tcPr>
          <w:p w14:paraId="5DC0C715">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100.00%</w:t>
            </w:r>
          </w:p>
        </w:tc>
      </w:tr>
      <w:tr w14:paraId="1506BA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5316A05B">
            <w:pPr>
              <w:widowControl/>
              <w:ind w:firstLine="480" w:firstLineChars="200"/>
              <w:jc w:val="left"/>
              <w:textAlignment w:val="center"/>
              <w:rPr>
                <w:rFonts w:hAnsi="宋体" w:cs="宋体"/>
                <w:color w:val="000000"/>
                <w:kern w:val="0"/>
                <w:sz w:val="24"/>
                <w:szCs w:val="28"/>
              </w:rPr>
            </w:pPr>
            <w:r>
              <w:rPr>
                <w:rFonts w:hint="eastAsia" w:ascii="仿宋_GB2312" w:hAnsi="宋体" w:eastAsia="仿宋_GB2312" w:cs="仿宋_GB2312"/>
                <w:color w:val="000000"/>
                <w:kern w:val="0"/>
                <w:sz w:val="24"/>
                <w:lang w:bidi="ar"/>
              </w:rPr>
              <w:t>人员管理</w:t>
            </w:r>
          </w:p>
        </w:tc>
        <w:tc>
          <w:tcPr>
            <w:tcW w:w="1559" w:type="dxa"/>
            <w:vAlign w:val="center"/>
          </w:tcPr>
          <w:p w14:paraId="24A02E6B">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2</w:t>
            </w:r>
          </w:p>
        </w:tc>
        <w:tc>
          <w:tcPr>
            <w:tcW w:w="1730" w:type="dxa"/>
            <w:vAlign w:val="center"/>
          </w:tcPr>
          <w:p w14:paraId="73849473">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2</w:t>
            </w:r>
          </w:p>
        </w:tc>
        <w:tc>
          <w:tcPr>
            <w:tcW w:w="1984" w:type="dxa"/>
            <w:vAlign w:val="center"/>
          </w:tcPr>
          <w:p w14:paraId="3176255B">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100.00%</w:t>
            </w:r>
          </w:p>
        </w:tc>
      </w:tr>
      <w:tr w14:paraId="67BC04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vAlign w:val="center"/>
          </w:tcPr>
          <w:p w14:paraId="1C791EF6">
            <w:pPr>
              <w:widowControl/>
              <w:ind w:firstLine="480" w:firstLineChars="200"/>
              <w:jc w:val="left"/>
              <w:textAlignment w:val="center"/>
              <w:rPr>
                <w:rFonts w:hAnsi="宋体" w:cs="宋体"/>
                <w:color w:val="000000"/>
                <w:kern w:val="0"/>
                <w:sz w:val="24"/>
                <w:szCs w:val="28"/>
              </w:rPr>
            </w:pPr>
            <w:r>
              <w:rPr>
                <w:rFonts w:hint="eastAsia" w:ascii="仿宋_GB2312" w:hAnsi="宋体" w:eastAsia="仿宋_GB2312" w:cs="仿宋_GB2312"/>
                <w:color w:val="000000"/>
                <w:kern w:val="0"/>
                <w:sz w:val="24"/>
                <w:lang w:bidi="ar"/>
              </w:rPr>
              <w:t>重点工作管理</w:t>
            </w:r>
          </w:p>
        </w:tc>
        <w:tc>
          <w:tcPr>
            <w:tcW w:w="1559" w:type="dxa"/>
            <w:vAlign w:val="center"/>
          </w:tcPr>
          <w:p w14:paraId="700D8522">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2</w:t>
            </w:r>
          </w:p>
        </w:tc>
        <w:tc>
          <w:tcPr>
            <w:tcW w:w="1730" w:type="dxa"/>
            <w:vAlign w:val="center"/>
          </w:tcPr>
          <w:p w14:paraId="3AB35429">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2</w:t>
            </w:r>
          </w:p>
        </w:tc>
        <w:tc>
          <w:tcPr>
            <w:tcW w:w="1984" w:type="dxa"/>
            <w:vAlign w:val="center"/>
          </w:tcPr>
          <w:p w14:paraId="09FC8088">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100.00%</w:t>
            </w:r>
          </w:p>
        </w:tc>
      </w:tr>
      <w:tr w14:paraId="4A3103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482" w:type="dxa"/>
            <w:shd w:val="clear" w:color="auto" w:fill="BDD6EE"/>
            <w:vAlign w:val="center"/>
          </w:tcPr>
          <w:p w14:paraId="24F6134F">
            <w:pPr>
              <w:widowControl/>
              <w:ind w:firstLine="442" w:firstLineChars="200"/>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合计</w:t>
            </w:r>
          </w:p>
        </w:tc>
        <w:tc>
          <w:tcPr>
            <w:tcW w:w="1559" w:type="dxa"/>
            <w:shd w:val="clear" w:color="auto" w:fill="BDD6EE"/>
            <w:vAlign w:val="center"/>
          </w:tcPr>
          <w:p w14:paraId="75BBC2B9">
            <w:pPr>
              <w:widowControl/>
              <w:jc w:val="center"/>
              <w:textAlignment w:val="center"/>
              <w:rPr>
                <w:rFonts w:ascii="宋体" w:hAnsi="宋体" w:eastAsia="宋体" w:cs="宋体"/>
                <w:b/>
                <w:kern w:val="0"/>
                <w:sz w:val="22"/>
                <w:szCs w:val="22"/>
              </w:rPr>
            </w:pPr>
            <w:r>
              <w:rPr>
                <w:rFonts w:hint="eastAsia" w:ascii="宋体" w:hAnsi="宋体" w:eastAsia="宋体" w:cs="宋体"/>
                <w:b/>
                <w:bCs/>
                <w:kern w:val="0"/>
                <w:sz w:val="22"/>
                <w:szCs w:val="22"/>
                <w:lang w:bidi="ar"/>
              </w:rPr>
              <w:t>20</w:t>
            </w:r>
          </w:p>
        </w:tc>
        <w:tc>
          <w:tcPr>
            <w:tcW w:w="1730" w:type="dxa"/>
            <w:shd w:val="clear" w:color="auto" w:fill="BDD6EE"/>
            <w:vAlign w:val="center"/>
          </w:tcPr>
          <w:p w14:paraId="7B055F27">
            <w:pPr>
              <w:widowControl/>
              <w:jc w:val="center"/>
              <w:textAlignment w:val="center"/>
              <w:rPr>
                <w:rFonts w:ascii="宋体" w:hAnsi="宋体" w:eastAsia="宋体" w:cs="宋体"/>
                <w:b/>
                <w:kern w:val="0"/>
                <w:sz w:val="22"/>
                <w:szCs w:val="22"/>
              </w:rPr>
            </w:pPr>
            <w:r>
              <w:rPr>
                <w:rFonts w:hint="eastAsia" w:ascii="宋体" w:hAnsi="宋体" w:eastAsia="宋体" w:cs="宋体"/>
                <w:b/>
                <w:bCs/>
                <w:kern w:val="0"/>
                <w:sz w:val="22"/>
                <w:szCs w:val="22"/>
                <w:lang w:bidi="ar"/>
              </w:rPr>
              <w:t>19.46</w:t>
            </w:r>
          </w:p>
        </w:tc>
        <w:tc>
          <w:tcPr>
            <w:tcW w:w="1984" w:type="dxa"/>
            <w:shd w:val="clear" w:color="auto" w:fill="BDD6EE"/>
            <w:vAlign w:val="center"/>
          </w:tcPr>
          <w:p w14:paraId="322772E4">
            <w:pPr>
              <w:widowControl/>
              <w:jc w:val="center"/>
              <w:textAlignment w:val="center"/>
              <w:rPr>
                <w:rFonts w:ascii="宋体" w:hAnsi="宋体" w:eastAsia="宋体" w:cs="宋体"/>
                <w:kern w:val="0"/>
                <w:sz w:val="22"/>
                <w:szCs w:val="22"/>
              </w:rPr>
            </w:pPr>
            <w:r>
              <w:rPr>
                <w:rFonts w:hint="eastAsia" w:ascii="宋体" w:hAnsi="宋体" w:eastAsia="宋体" w:cs="宋体"/>
                <w:b/>
                <w:bCs/>
                <w:kern w:val="0"/>
                <w:sz w:val="22"/>
                <w:szCs w:val="22"/>
                <w:lang w:bidi="ar"/>
              </w:rPr>
              <w:t>97.30%</w:t>
            </w:r>
          </w:p>
        </w:tc>
      </w:tr>
    </w:tbl>
    <w:p w14:paraId="02CA2419">
      <w:pPr>
        <w:spacing w:line="360" w:lineRule="auto"/>
        <w:ind w:firstLine="562"/>
        <w:rPr>
          <w:rFonts w:ascii="仿宋_GB2312" w:hAnsi="仿宋_GB2312" w:eastAsia="仿宋_GB2312" w:cs="仿宋_GB2312"/>
          <w:sz w:val="30"/>
          <w:szCs w:val="30"/>
        </w:rPr>
      </w:pPr>
      <w:r>
        <w:rPr>
          <w:rFonts w:hint="eastAsia" w:ascii="仿宋_GB2312" w:hAnsi="仿宋_GB2312" w:eastAsia="仿宋_GB2312" w:cs="仿宋_GB2312"/>
          <w:b/>
          <w:bCs/>
          <w:sz w:val="30"/>
          <w:szCs w:val="30"/>
        </w:rPr>
        <w:t>基本支出预算执行率：</w:t>
      </w:r>
      <w:r>
        <w:rPr>
          <w:rFonts w:hint="eastAsia" w:ascii="仿宋_GB2312" w:hAnsi="仿宋_GB2312" w:eastAsia="仿宋_GB2312" w:cs="仿宋_GB2312"/>
          <w:sz w:val="30"/>
          <w:szCs w:val="30"/>
        </w:rPr>
        <w:t>2023年度我院基本支出全年预算数为2,054.52万元，实际支出数为1,879.25万元，基本支出预算执行率为88.60%。该指标分值2分，自评得分1.77分，得分率88.50%。</w:t>
      </w:r>
    </w:p>
    <w:p w14:paraId="65D14846">
      <w:pPr>
        <w:spacing w:line="360" w:lineRule="auto"/>
        <w:ind w:firstLine="562"/>
        <w:rPr>
          <w:rFonts w:ascii="仿宋_GB2312" w:hAnsi="仿宋_GB2312" w:eastAsia="仿宋_GB2312" w:cs="仿宋_GB2312"/>
          <w:sz w:val="30"/>
          <w:szCs w:val="30"/>
        </w:rPr>
      </w:pPr>
      <w:r>
        <w:rPr>
          <w:rFonts w:hint="eastAsia" w:ascii="仿宋_GB2312" w:hAnsi="仿宋_GB2312" w:eastAsia="仿宋_GB2312" w:cs="仿宋_GB2312"/>
          <w:b/>
          <w:bCs/>
          <w:sz w:val="30"/>
          <w:szCs w:val="30"/>
        </w:rPr>
        <w:t>项目支出预算执行率：</w:t>
      </w:r>
      <w:r>
        <w:rPr>
          <w:rFonts w:hint="eastAsia" w:ascii="仿宋_GB2312" w:hAnsi="仿宋_GB2312" w:eastAsia="仿宋_GB2312" w:cs="仿宋_GB2312"/>
          <w:sz w:val="30"/>
          <w:szCs w:val="30"/>
        </w:rPr>
        <w:t>2023年度项目支出全年预算数和实际支出数为517.00万元，项目支出预算执行率为100%。该指标分值2分，自评得分2分，得分率100%。</w:t>
      </w:r>
    </w:p>
    <w:p w14:paraId="1E76FB9E">
      <w:pPr>
        <w:spacing w:line="360" w:lineRule="auto"/>
        <w:ind w:firstLine="562"/>
        <w:rPr>
          <w:rFonts w:ascii="仿宋_GB2312" w:hAnsi="仿宋_GB2312" w:eastAsia="仿宋_GB2312" w:cs="仿宋_GB2312"/>
          <w:sz w:val="30"/>
          <w:szCs w:val="30"/>
        </w:rPr>
      </w:pPr>
      <w:r>
        <w:rPr>
          <w:rFonts w:hint="eastAsia" w:ascii="仿宋_GB2312" w:hAnsi="仿宋_GB2312" w:eastAsia="仿宋_GB2312" w:cs="仿宋_GB2312"/>
          <w:b/>
          <w:bCs/>
          <w:sz w:val="30"/>
          <w:szCs w:val="30"/>
        </w:rPr>
        <w:t>“三公经费”控制率：</w:t>
      </w:r>
      <w:r>
        <w:rPr>
          <w:rFonts w:hint="eastAsia" w:ascii="仿宋_GB2312" w:hAnsi="仿宋_GB2312" w:eastAsia="仿宋_GB2312" w:cs="仿宋_GB2312"/>
          <w:sz w:val="30"/>
          <w:szCs w:val="30"/>
        </w:rPr>
        <w:t>2023年“三公经费”全年预算数70.32万元，实际支出数59.31万元，“三公经费”控制率为84.36%。该指标分值2分，自评得分1.69分，得分率84.50%。</w:t>
      </w:r>
    </w:p>
    <w:p w14:paraId="3B814E45">
      <w:pPr>
        <w:spacing w:line="360" w:lineRule="auto"/>
        <w:ind w:firstLine="562"/>
        <w:rPr>
          <w:rFonts w:ascii="仿宋_GB2312" w:hAnsi="仿宋_GB2312" w:eastAsia="仿宋_GB2312" w:cs="仿宋_GB2312"/>
          <w:sz w:val="30"/>
          <w:szCs w:val="30"/>
        </w:rPr>
      </w:pPr>
      <w:r>
        <w:rPr>
          <w:rFonts w:hint="eastAsia" w:ascii="仿宋_GB2312" w:hAnsi="仿宋_GB2312" w:eastAsia="仿宋_GB2312" w:cs="仿宋_GB2312"/>
          <w:b/>
          <w:bCs/>
          <w:sz w:val="30"/>
          <w:szCs w:val="30"/>
        </w:rPr>
        <w:t>结转结余变动率：</w:t>
      </w:r>
      <w:r>
        <w:rPr>
          <w:rFonts w:hint="eastAsia" w:ascii="仿宋_GB2312" w:hAnsi="仿宋_GB2312" w:eastAsia="仿宋_GB2312" w:cs="仿宋_GB2312"/>
          <w:sz w:val="30"/>
          <w:szCs w:val="30"/>
        </w:rPr>
        <w:t>我院2022年结转资金119.34万元2023年度结转结余资金175.27万元，结转结余资金变动率为46.87%。该指标分值2分，自评得分2分，得分率100%。</w:t>
      </w:r>
    </w:p>
    <w:p w14:paraId="6CDFB13D">
      <w:pPr>
        <w:spacing w:line="360" w:lineRule="auto"/>
        <w:ind w:firstLine="562"/>
        <w:rPr>
          <w:rFonts w:ascii="仿宋_GB2312" w:hAnsi="仿宋_GB2312" w:eastAsia="仿宋_GB2312" w:cs="仿宋_GB2312"/>
          <w:sz w:val="30"/>
          <w:szCs w:val="30"/>
        </w:rPr>
      </w:pPr>
      <w:r>
        <w:rPr>
          <w:rFonts w:hint="eastAsia" w:ascii="仿宋_GB2312" w:hAnsi="仿宋_GB2312" w:eastAsia="仿宋_GB2312" w:cs="仿宋_GB2312"/>
          <w:b/>
          <w:bCs/>
          <w:sz w:val="30"/>
          <w:szCs w:val="30"/>
        </w:rPr>
        <w:t>财务管理制度健全性：</w:t>
      </w:r>
      <w:r>
        <w:rPr>
          <w:rFonts w:hint="eastAsia" w:ascii="仿宋_GB2312" w:hAnsi="仿宋_GB2312" w:eastAsia="仿宋_GB2312" w:cs="仿宋_GB2312"/>
          <w:sz w:val="30"/>
          <w:szCs w:val="30"/>
        </w:rPr>
        <w:t>我院修订并完善了《漳县人民法院财务管理制度》，对资金开支有完备的审批流程和管控手续，大额资金均由党委会研究通过后使用。在预算执行、事项支出、会计核算以及重大事项支出程序等方面不存在不规范现象，无虚列项目支出、截留、挤占、挪用项目资金等情况。该指标分值2分，自评得分2分，得分率100%。</w:t>
      </w:r>
    </w:p>
    <w:p w14:paraId="0D808E3E">
      <w:pPr>
        <w:spacing w:line="360" w:lineRule="auto"/>
        <w:ind w:firstLine="562"/>
        <w:rPr>
          <w:rFonts w:ascii="仿宋_GB2312" w:hAnsi="仿宋_GB2312" w:eastAsia="仿宋_GB2312" w:cs="仿宋_GB2312"/>
          <w:sz w:val="30"/>
          <w:szCs w:val="30"/>
        </w:rPr>
      </w:pPr>
      <w:r>
        <w:rPr>
          <w:rFonts w:hint="eastAsia" w:ascii="仿宋_GB2312" w:hAnsi="仿宋_GB2312" w:eastAsia="仿宋_GB2312" w:cs="仿宋_GB2312"/>
          <w:b/>
          <w:bCs/>
          <w:sz w:val="30"/>
          <w:szCs w:val="30"/>
        </w:rPr>
        <w:t>资金使用规范性：</w:t>
      </w:r>
      <w:r>
        <w:rPr>
          <w:rFonts w:hint="eastAsia" w:ascii="仿宋_GB2312" w:hAnsi="仿宋_GB2312" w:eastAsia="仿宋_GB2312" w:cs="仿宋_GB2312"/>
          <w:sz w:val="30"/>
          <w:szCs w:val="30"/>
        </w:rPr>
        <w:t>我院资金支出总体上审批程序合规、手续齐全，支出内容符合省财政预算批复规定的用途，严格使用公务卡报销，有效提高了财务资金使用的合理性和规范性，防止了国有资金流失。该指标分值2分，自评得分2分，得分率100%。</w:t>
      </w:r>
    </w:p>
    <w:p w14:paraId="0991DCD4">
      <w:pPr>
        <w:spacing w:line="360" w:lineRule="auto"/>
        <w:ind w:firstLine="562"/>
        <w:rPr>
          <w:rFonts w:ascii="仿宋_GB2312" w:hAnsi="仿宋_GB2312" w:eastAsia="仿宋_GB2312" w:cs="仿宋_GB2312"/>
          <w:sz w:val="30"/>
          <w:szCs w:val="30"/>
        </w:rPr>
      </w:pPr>
      <w:r>
        <w:rPr>
          <w:rFonts w:hint="eastAsia" w:ascii="仿宋_GB2312" w:hAnsi="仿宋_GB2312" w:eastAsia="仿宋_GB2312" w:cs="仿宋_GB2312"/>
          <w:b/>
          <w:bCs/>
          <w:sz w:val="30"/>
          <w:szCs w:val="30"/>
        </w:rPr>
        <w:t>政府采购规范性：</w:t>
      </w:r>
      <w:r>
        <w:rPr>
          <w:rFonts w:hint="eastAsia" w:ascii="仿宋_GB2312" w:hAnsi="仿宋_GB2312" w:eastAsia="仿宋_GB2312" w:cs="仿宋_GB2312"/>
          <w:sz w:val="30"/>
          <w:szCs w:val="30"/>
        </w:rPr>
        <w:t>我院采购实际执行情况与采购计划安排无差异。采购事项严格执行相关标准，采购业务符合政府采购相关规定。该指标分值2分，自评得分2分，得分率100%。</w:t>
      </w:r>
    </w:p>
    <w:p w14:paraId="02376AFC">
      <w:pPr>
        <w:spacing w:line="360" w:lineRule="auto"/>
        <w:ind w:firstLine="562"/>
        <w:rPr>
          <w:rFonts w:ascii="仿宋_GB2312" w:hAnsi="仿宋_GB2312" w:eastAsia="仿宋_GB2312" w:cs="仿宋_GB2312"/>
          <w:sz w:val="30"/>
          <w:szCs w:val="30"/>
        </w:rPr>
      </w:pPr>
      <w:r>
        <w:rPr>
          <w:rFonts w:hint="eastAsia" w:ascii="仿宋_GB2312" w:hAnsi="仿宋_GB2312" w:eastAsia="仿宋_GB2312" w:cs="仿宋_GB2312"/>
          <w:b/>
          <w:bCs/>
          <w:sz w:val="30"/>
          <w:szCs w:val="30"/>
        </w:rPr>
        <w:t>资产管理规范性：</w:t>
      </w:r>
      <w:r>
        <w:rPr>
          <w:rFonts w:hint="eastAsia" w:ascii="仿宋_GB2312" w:hAnsi="仿宋_GB2312" w:eastAsia="仿宋_GB2312" w:cs="仿宋_GB2312"/>
          <w:sz w:val="30"/>
          <w:szCs w:val="30"/>
        </w:rPr>
        <w:t>2023年我院账务和资产卡片数据相符，资产卡片与实物相符，各类资产保存完整、使用合规、配置合理、处置规范，资产处置收入能够及时足额上缴财政，资产管理符合相关要求。该指标分值2分，自评得分2分，得分率100%。</w:t>
      </w:r>
    </w:p>
    <w:p w14:paraId="4F611380">
      <w:pPr>
        <w:spacing w:line="360" w:lineRule="auto"/>
        <w:ind w:firstLine="562"/>
        <w:rPr>
          <w:rFonts w:ascii="仿宋_GB2312" w:hAnsi="仿宋_GB2312" w:eastAsia="仿宋_GB2312" w:cs="仿宋_GB2312"/>
          <w:sz w:val="30"/>
          <w:szCs w:val="30"/>
        </w:rPr>
      </w:pPr>
      <w:r>
        <w:rPr>
          <w:rFonts w:hint="eastAsia" w:ascii="仿宋_GB2312" w:hAnsi="仿宋_GB2312" w:eastAsia="仿宋_GB2312" w:cs="仿宋_GB2312"/>
          <w:b/>
          <w:bCs/>
          <w:sz w:val="30"/>
          <w:szCs w:val="30"/>
        </w:rPr>
        <w:t>在职人员控制率：</w:t>
      </w:r>
      <w:r>
        <w:rPr>
          <w:rFonts w:hint="eastAsia" w:ascii="仿宋_GB2312" w:hAnsi="仿宋_GB2312" w:eastAsia="仿宋_GB2312" w:cs="仿宋_GB2312"/>
          <w:sz w:val="30"/>
          <w:szCs w:val="30"/>
        </w:rPr>
        <w:t>我院人员管理规范，部门整体的财政供养人员规模得到有效控制，编制人数101人，在职人员95人，在职人员控制率94.06%。该指标分值2分，自评得分2分，得分率100%。</w:t>
      </w:r>
    </w:p>
    <w:p w14:paraId="1D1C3C12">
      <w:pPr>
        <w:spacing w:line="360" w:lineRule="auto"/>
        <w:ind w:firstLine="562"/>
        <w:rPr>
          <w:rFonts w:ascii="仿宋_GB2312" w:hAnsi="仿宋_GB2312" w:eastAsia="仿宋_GB2312" w:cs="仿宋_GB2312"/>
          <w:sz w:val="30"/>
          <w:szCs w:val="30"/>
        </w:rPr>
      </w:pPr>
      <w:r>
        <w:rPr>
          <w:rFonts w:hint="eastAsia" w:ascii="仿宋_GB2312" w:hAnsi="仿宋_GB2312" w:eastAsia="仿宋_GB2312" w:cs="仿宋_GB2312"/>
          <w:b/>
          <w:bCs/>
          <w:sz w:val="30"/>
          <w:szCs w:val="30"/>
        </w:rPr>
        <w:t>重点工作管理制度健全性：</w:t>
      </w:r>
      <w:r>
        <w:rPr>
          <w:rFonts w:hint="eastAsia" w:ascii="仿宋_GB2312" w:hAnsi="仿宋_GB2312" w:eastAsia="仿宋_GB2312" w:cs="仿宋_GB2312"/>
          <w:sz w:val="30"/>
          <w:szCs w:val="30"/>
        </w:rPr>
        <w:t>我院针对重点工作，修订并完善了相关案件审判制度，制度合法、合规、完整，并且能够有效执行和指导重点工作的有效推进和实施。该指标分值2分，自评得分2分，得分率100%。</w:t>
      </w:r>
    </w:p>
    <w:p w14:paraId="33A9CF8C">
      <w:pPr>
        <w:pStyle w:val="4"/>
        <w:keepNext w:val="0"/>
        <w:keepLines w:val="0"/>
        <w:spacing w:line="360" w:lineRule="auto"/>
        <w:ind w:firstLine="562"/>
        <w:rPr>
          <w:rFonts w:ascii="仿宋_GB2312" w:hAnsi="仿宋_GB2312" w:eastAsia="仿宋_GB2312" w:cs="仿宋_GB2312"/>
          <w:sz w:val="30"/>
          <w:szCs w:val="30"/>
        </w:rPr>
      </w:pPr>
      <w:bookmarkStart w:id="39" w:name="_Toc40046032"/>
      <w:r>
        <w:rPr>
          <w:rFonts w:hint="eastAsia" w:ascii="仿宋_GB2312" w:hAnsi="仿宋_GB2312" w:eastAsia="仿宋_GB2312" w:cs="仿宋_GB2312"/>
          <w:sz w:val="30"/>
          <w:szCs w:val="30"/>
        </w:rPr>
        <w:t>3.履职效果</w:t>
      </w:r>
      <w:bookmarkEnd w:id="39"/>
      <w:r>
        <w:rPr>
          <w:rFonts w:hint="eastAsia" w:ascii="仿宋_GB2312" w:hAnsi="仿宋_GB2312" w:eastAsia="仿宋_GB2312" w:cs="仿宋_GB2312"/>
          <w:sz w:val="30"/>
          <w:szCs w:val="30"/>
        </w:rPr>
        <w:t>目标完成情况分析</w:t>
      </w:r>
    </w:p>
    <w:p w14:paraId="601E82B7">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履职效果指标包括部门履职目标、部门效果、服务对象满意度及社会影响四个二级指标，下设18个三级指标。履职效果指标分值60分，自评得分54.60分，得分率96.36%。</w:t>
      </w:r>
    </w:p>
    <w:tbl>
      <w:tblPr>
        <w:tblStyle w:val="16"/>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40"/>
        <w:gridCol w:w="1856"/>
        <w:gridCol w:w="1750"/>
        <w:gridCol w:w="2273"/>
      </w:tblGrid>
      <w:tr w14:paraId="4EDFF14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71B738BC">
            <w:pPr>
              <w:widowControl/>
              <w:ind w:firstLine="482" w:firstLineChars="200"/>
              <w:jc w:val="center"/>
              <w:textAlignment w:val="center"/>
              <w:rPr>
                <w:rFonts w:ascii="宋体" w:hAnsi="宋体" w:cs="宋体"/>
                <w:b/>
                <w:color w:val="000000"/>
                <w:kern w:val="0"/>
                <w:sz w:val="24"/>
              </w:rPr>
            </w:pPr>
            <w:r>
              <w:rPr>
                <w:rFonts w:hint="eastAsia" w:ascii="仿宋_GB2312" w:hAnsi="宋体" w:eastAsia="仿宋_GB2312" w:cs="仿宋_GB2312"/>
                <w:b/>
                <w:bCs/>
                <w:color w:val="000000"/>
                <w:kern w:val="0"/>
                <w:sz w:val="24"/>
                <w:lang w:bidi="ar"/>
              </w:rPr>
              <w:t>二级指标</w:t>
            </w:r>
          </w:p>
        </w:tc>
        <w:tc>
          <w:tcPr>
            <w:tcW w:w="1089" w:type="pct"/>
            <w:shd w:val="clear" w:color="auto" w:fill="BDD6EE"/>
            <w:vAlign w:val="center"/>
          </w:tcPr>
          <w:p w14:paraId="0BA3C19D">
            <w:pPr>
              <w:widowControl/>
              <w:jc w:val="center"/>
              <w:textAlignment w:val="center"/>
              <w:rPr>
                <w:rFonts w:ascii="宋体" w:hAnsi="宋体" w:cs="宋体"/>
                <w:b/>
                <w:color w:val="000000"/>
                <w:kern w:val="0"/>
                <w:sz w:val="24"/>
              </w:rPr>
            </w:pPr>
            <w:r>
              <w:rPr>
                <w:rFonts w:hint="eastAsia" w:ascii="仿宋_GB2312" w:hAnsi="宋体" w:eastAsia="仿宋_GB2312" w:cs="仿宋_GB2312"/>
                <w:b/>
                <w:bCs/>
                <w:color w:val="000000"/>
                <w:kern w:val="0"/>
                <w:sz w:val="24"/>
                <w:lang w:bidi="ar"/>
              </w:rPr>
              <w:t>分值</w:t>
            </w:r>
          </w:p>
        </w:tc>
        <w:tc>
          <w:tcPr>
            <w:tcW w:w="1027" w:type="pct"/>
            <w:shd w:val="clear" w:color="auto" w:fill="BDD6EE"/>
            <w:vAlign w:val="center"/>
          </w:tcPr>
          <w:p w14:paraId="5110280C">
            <w:pPr>
              <w:widowControl/>
              <w:jc w:val="center"/>
              <w:textAlignment w:val="center"/>
              <w:rPr>
                <w:rFonts w:ascii="宋体" w:hAnsi="宋体" w:cs="宋体"/>
                <w:b/>
                <w:color w:val="000000"/>
                <w:kern w:val="0"/>
                <w:sz w:val="24"/>
              </w:rPr>
            </w:pPr>
            <w:r>
              <w:rPr>
                <w:rFonts w:hint="eastAsia" w:ascii="仿宋_GB2312" w:hAnsi="宋体" w:eastAsia="仿宋_GB2312" w:cs="仿宋_GB2312"/>
                <w:b/>
                <w:bCs/>
                <w:color w:val="000000"/>
                <w:kern w:val="0"/>
                <w:sz w:val="24"/>
                <w:lang w:bidi="ar"/>
              </w:rPr>
              <w:t>自评得分</w:t>
            </w:r>
          </w:p>
        </w:tc>
        <w:tc>
          <w:tcPr>
            <w:tcW w:w="1333" w:type="pct"/>
            <w:shd w:val="clear" w:color="auto" w:fill="BDD6EE"/>
            <w:vAlign w:val="center"/>
          </w:tcPr>
          <w:p w14:paraId="032132CE">
            <w:pPr>
              <w:widowControl/>
              <w:jc w:val="center"/>
              <w:textAlignment w:val="center"/>
              <w:rPr>
                <w:rFonts w:ascii="宋体" w:hAnsi="宋体" w:cs="宋体"/>
                <w:b/>
                <w:color w:val="000000"/>
                <w:kern w:val="0"/>
                <w:sz w:val="24"/>
              </w:rPr>
            </w:pPr>
            <w:r>
              <w:rPr>
                <w:rFonts w:hint="eastAsia" w:ascii="仿宋_GB2312" w:hAnsi="宋体" w:eastAsia="仿宋_GB2312" w:cs="仿宋_GB2312"/>
                <w:b/>
                <w:bCs/>
                <w:color w:val="000000"/>
                <w:kern w:val="0"/>
                <w:sz w:val="24"/>
                <w:lang w:bidi="ar"/>
              </w:rPr>
              <w:t>得分率</w:t>
            </w:r>
          </w:p>
        </w:tc>
      </w:tr>
      <w:tr w14:paraId="62304C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478D61AC">
            <w:pPr>
              <w:widowControl/>
              <w:ind w:firstLine="480" w:firstLineChars="200"/>
              <w:jc w:val="left"/>
              <w:textAlignment w:val="center"/>
              <w:rPr>
                <w:rFonts w:hAnsi="宋体" w:cs="宋体"/>
                <w:color w:val="000000"/>
                <w:kern w:val="0"/>
                <w:sz w:val="24"/>
                <w:szCs w:val="28"/>
              </w:rPr>
            </w:pPr>
            <w:r>
              <w:rPr>
                <w:rFonts w:hint="eastAsia" w:ascii="仿宋_GB2312" w:hAnsi="宋体" w:eastAsia="仿宋_GB2312" w:cs="仿宋_GB2312"/>
                <w:color w:val="000000"/>
                <w:kern w:val="0"/>
                <w:sz w:val="24"/>
                <w:lang w:bidi="ar"/>
              </w:rPr>
              <w:t>部门履职指标</w:t>
            </w:r>
          </w:p>
        </w:tc>
        <w:tc>
          <w:tcPr>
            <w:tcW w:w="1089" w:type="pct"/>
            <w:vAlign w:val="center"/>
          </w:tcPr>
          <w:p w14:paraId="53CE847B">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41.18</w:t>
            </w:r>
          </w:p>
        </w:tc>
        <w:tc>
          <w:tcPr>
            <w:tcW w:w="1027" w:type="pct"/>
            <w:vAlign w:val="center"/>
          </w:tcPr>
          <w:p w14:paraId="11BA8A30">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36.10</w:t>
            </w:r>
          </w:p>
        </w:tc>
        <w:tc>
          <w:tcPr>
            <w:tcW w:w="1333" w:type="pct"/>
            <w:vAlign w:val="center"/>
          </w:tcPr>
          <w:p w14:paraId="09A56B2E">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99.55%</w:t>
            </w:r>
          </w:p>
        </w:tc>
      </w:tr>
      <w:tr w14:paraId="368C69F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0B9ABF75">
            <w:pPr>
              <w:widowControl/>
              <w:ind w:firstLine="480" w:firstLineChars="200"/>
              <w:jc w:val="left"/>
              <w:textAlignment w:val="center"/>
              <w:rPr>
                <w:rFonts w:hAnsi="宋体" w:eastAsia="仿宋_GB2312" w:cs="宋体"/>
                <w:color w:val="000000"/>
                <w:kern w:val="0"/>
                <w:sz w:val="24"/>
                <w:szCs w:val="28"/>
              </w:rPr>
            </w:pPr>
            <w:r>
              <w:rPr>
                <w:rFonts w:hint="eastAsia" w:ascii="仿宋_GB2312" w:hAnsi="宋体" w:eastAsia="仿宋_GB2312" w:cs="仿宋_GB2312"/>
                <w:color w:val="000000"/>
                <w:kern w:val="0"/>
                <w:sz w:val="24"/>
                <w:lang w:bidi="ar"/>
              </w:rPr>
              <w:t>部门效果</w:t>
            </w:r>
          </w:p>
        </w:tc>
        <w:tc>
          <w:tcPr>
            <w:tcW w:w="1089" w:type="pct"/>
            <w:vAlign w:val="center"/>
          </w:tcPr>
          <w:p w14:paraId="5512B8B7">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2.94</w:t>
            </w:r>
          </w:p>
        </w:tc>
        <w:tc>
          <w:tcPr>
            <w:tcW w:w="1027" w:type="pct"/>
            <w:vAlign w:val="center"/>
          </w:tcPr>
          <w:p w14:paraId="76AA0642">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2.62</w:t>
            </w:r>
          </w:p>
        </w:tc>
        <w:tc>
          <w:tcPr>
            <w:tcW w:w="1333" w:type="pct"/>
            <w:vAlign w:val="center"/>
          </w:tcPr>
          <w:p w14:paraId="065B61DB">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59.50%</w:t>
            </w:r>
          </w:p>
        </w:tc>
      </w:tr>
      <w:tr w14:paraId="6E4D58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2FC6DF3E">
            <w:pPr>
              <w:widowControl/>
              <w:ind w:firstLine="480" w:firstLineChars="200"/>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服务对象满意度</w:t>
            </w:r>
          </w:p>
        </w:tc>
        <w:tc>
          <w:tcPr>
            <w:tcW w:w="1089" w:type="pct"/>
            <w:vAlign w:val="center"/>
          </w:tcPr>
          <w:p w14:paraId="31083A0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w:t>
            </w:r>
          </w:p>
        </w:tc>
        <w:tc>
          <w:tcPr>
            <w:tcW w:w="1027" w:type="pct"/>
            <w:vAlign w:val="center"/>
          </w:tcPr>
          <w:p w14:paraId="22B1FE9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w:t>
            </w:r>
          </w:p>
        </w:tc>
        <w:tc>
          <w:tcPr>
            <w:tcW w:w="1333" w:type="pct"/>
            <w:vAlign w:val="center"/>
          </w:tcPr>
          <w:p w14:paraId="5EC42EB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100.00%</w:t>
            </w:r>
          </w:p>
        </w:tc>
      </w:tr>
      <w:tr w14:paraId="51A5DA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vAlign w:val="center"/>
          </w:tcPr>
          <w:p w14:paraId="0A21B4B4">
            <w:pPr>
              <w:widowControl/>
              <w:ind w:firstLine="480" w:firstLineChars="200"/>
              <w:jc w:val="left"/>
              <w:textAlignment w:val="center"/>
              <w:rPr>
                <w:rFonts w:hAnsi="宋体" w:cs="宋体"/>
                <w:color w:val="000000"/>
                <w:kern w:val="0"/>
                <w:sz w:val="24"/>
                <w:szCs w:val="28"/>
              </w:rPr>
            </w:pPr>
            <w:r>
              <w:rPr>
                <w:rFonts w:hint="eastAsia" w:ascii="仿宋_GB2312" w:hAnsi="宋体" w:eastAsia="仿宋_GB2312" w:cs="仿宋_GB2312"/>
                <w:color w:val="000000"/>
                <w:kern w:val="0"/>
                <w:sz w:val="24"/>
                <w:lang w:bidi="ar"/>
              </w:rPr>
              <w:t>社会影响</w:t>
            </w:r>
          </w:p>
        </w:tc>
        <w:tc>
          <w:tcPr>
            <w:tcW w:w="1089" w:type="pct"/>
            <w:vAlign w:val="center"/>
          </w:tcPr>
          <w:p w14:paraId="425FCE2E">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5.88</w:t>
            </w:r>
          </w:p>
        </w:tc>
        <w:tc>
          <w:tcPr>
            <w:tcW w:w="1027" w:type="pct"/>
            <w:vAlign w:val="center"/>
          </w:tcPr>
          <w:p w14:paraId="0CBF29AD">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5.88</w:t>
            </w:r>
          </w:p>
        </w:tc>
        <w:tc>
          <w:tcPr>
            <w:tcW w:w="1333" w:type="pct"/>
            <w:vAlign w:val="center"/>
          </w:tcPr>
          <w:p w14:paraId="278773C2">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100.00%</w:t>
            </w:r>
          </w:p>
        </w:tc>
      </w:tr>
      <w:tr w14:paraId="601768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49" w:type="pct"/>
            <w:shd w:val="clear" w:color="auto" w:fill="BDD6EE"/>
            <w:vAlign w:val="center"/>
          </w:tcPr>
          <w:p w14:paraId="43F9B257">
            <w:pPr>
              <w:widowControl/>
              <w:ind w:firstLine="482" w:firstLineChars="200"/>
              <w:jc w:val="center"/>
              <w:textAlignment w:val="center"/>
              <w:rPr>
                <w:rFonts w:ascii="宋体" w:hAnsi="宋体" w:cs="宋体"/>
                <w:b/>
                <w:color w:val="000000"/>
                <w:kern w:val="0"/>
                <w:sz w:val="24"/>
              </w:rPr>
            </w:pPr>
            <w:r>
              <w:rPr>
                <w:rFonts w:hint="eastAsia" w:ascii="仿宋_GB2312" w:hAnsi="宋体" w:eastAsia="仿宋_GB2312" w:cs="仿宋_GB2312"/>
                <w:b/>
                <w:bCs/>
                <w:color w:val="000000"/>
                <w:kern w:val="0"/>
                <w:sz w:val="24"/>
                <w:lang w:bidi="ar"/>
              </w:rPr>
              <w:t>合计</w:t>
            </w:r>
          </w:p>
        </w:tc>
        <w:tc>
          <w:tcPr>
            <w:tcW w:w="1089" w:type="pct"/>
            <w:shd w:val="clear" w:color="auto" w:fill="BDD6EE"/>
            <w:vAlign w:val="center"/>
          </w:tcPr>
          <w:p w14:paraId="083C000A">
            <w:pPr>
              <w:widowControl/>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60</w:t>
            </w:r>
          </w:p>
        </w:tc>
        <w:tc>
          <w:tcPr>
            <w:tcW w:w="1027" w:type="pct"/>
            <w:shd w:val="clear" w:color="auto" w:fill="BDD6EE"/>
            <w:vAlign w:val="center"/>
          </w:tcPr>
          <w:p w14:paraId="4BC661AB">
            <w:pPr>
              <w:widowControl/>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54.60</w:t>
            </w:r>
          </w:p>
        </w:tc>
        <w:tc>
          <w:tcPr>
            <w:tcW w:w="1333" w:type="pct"/>
            <w:shd w:val="clear" w:color="auto" w:fill="BDD6EE"/>
            <w:vAlign w:val="center"/>
          </w:tcPr>
          <w:p w14:paraId="6399DD1F">
            <w:pPr>
              <w:widowControl/>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91.00%</w:t>
            </w:r>
          </w:p>
        </w:tc>
      </w:tr>
    </w:tbl>
    <w:p w14:paraId="5B77A595">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（1）部门履职目标</w:t>
      </w:r>
    </w:p>
    <w:p w14:paraId="70074F4F">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部门履职指标分值41.18分，自评得分36.10分，得分率99.55%。</w:t>
      </w:r>
    </w:p>
    <w:p w14:paraId="3CA49BAE">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刑事案件结案率：</w:t>
      </w:r>
      <w:r>
        <w:rPr>
          <w:rFonts w:hint="eastAsia" w:ascii="仿宋_GB2312" w:hAnsi="仿宋_GB2312" w:eastAsia="仿宋_GB2312" w:cs="仿宋_GB2312"/>
          <w:sz w:val="30"/>
          <w:szCs w:val="30"/>
        </w:rPr>
        <w:t>年度目标≥9</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%，实际完成96.39%，该指标分值2.96分，自评得分2.96分，得分率100%。</w:t>
      </w:r>
    </w:p>
    <w:p w14:paraId="2D96E0AA">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民商事案件结案率：</w:t>
      </w:r>
      <w:r>
        <w:rPr>
          <w:rFonts w:hint="eastAsia" w:ascii="仿宋_GB2312" w:hAnsi="仿宋_GB2312" w:eastAsia="仿宋_GB2312" w:cs="仿宋_GB2312"/>
          <w:sz w:val="30"/>
          <w:szCs w:val="30"/>
        </w:rPr>
        <w:t>年度目标≥95%，实际完成98.09%，该指标分值2.94分，自评得分2.94分，得分率100%。</w:t>
      </w:r>
    </w:p>
    <w:p w14:paraId="59BF89FC">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行政案件审结率：</w:t>
      </w:r>
      <w:r>
        <w:rPr>
          <w:rFonts w:hint="eastAsia" w:ascii="仿宋_GB2312" w:hAnsi="仿宋_GB2312" w:eastAsia="仿宋_GB2312" w:cs="仿宋_GB2312"/>
          <w:sz w:val="30"/>
          <w:szCs w:val="30"/>
        </w:rPr>
        <w:t>年度目标≥9</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%，实际完成98.09%，该指标分值2.94分，自评得分2.94分，得分率100%。</w:t>
      </w:r>
    </w:p>
    <w:p w14:paraId="2E1F6FC0">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执行案件结案率：</w:t>
      </w:r>
      <w:r>
        <w:rPr>
          <w:rFonts w:hint="eastAsia" w:ascii="仿宋_GB2312" w:hAnsi="仿宋_GB2312" w:eastAsia="仿宋_GB2312" w:cs="仿宋_GB2312"/>
          <w:sz w:val="30"/>
          <w:szCs w:val="30"/>
        </w:rPr>
        <w:t>年度目标≥95%，实际完成98.52%，该指标分值2.94分，自评得分2.94分，得分率100%。</w:t>
      </w:r>
    </w:p>
    <w:p w14:paraId="488BC73D">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培训工作完成率：</w:t>
      </w:r>
      <w:r>
        <w:rPr>
          <w:rFonts w:hint="eastAsia" w:ascii="仿宋_GB2312" w:hAnsi="仿宋_GB2312" w:eastAsia="仿宋_GB2312" w:cs="仿宋_GB2312"/>
          <w:sz w:val="30"/>
          <w:szCs w:val="30"/>
        </w:rPr>
        <w:t>年度目标≥10次，实际完成73次，该指标分值2.94分，自评得分0分，得分率0%。</w:t>
      </w:r>
    </w:p>
    <w:p w14:paraId="1E2E50E2">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宣传工作完成率：</w:t>
      </w:r>
      <w:r>
        <w:rPr>
          <w:rFonts w:hint="eastAsia" w:ascii="仿宋_GB2312" w:hAnsi="仿宋_GB2312" w:eastAsia="仿宋_GB2312" w:cs="仿宋_GB2312"/>
          <w:sz w:val="30"/>
          <w:szCs w:val="30"/>
        </w:rPr>
        <w:t>年度目标≥10次，实际完成23次，该指标分值2.94分，自评得分2.15分，得分率73.13%。</w:t>
      </w:r>
    </w:p>
    <w:p w14:paraId="6FB70B4B">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一审服判息诉率：</w:t>
      </w:r>
      <w:r>
        <w:rPr>
          <w:rFonts w:hint="eastAsia" w:ascii="仿宋_GB2312" w:hAnsi="仿宋_GB2312" w:eastAsia="仿宋_GB2312" w:cs="仿宋_GB2312"/>
          <w:sz w:val="30"/>
          <w:szCs w:val="30"/>
        </w:rPr>
        <w:t>年度目标≥85%，实际完成92.16%，该指标分值2.94分，自评得分2.94分，得分率100%。</w:t>
      </w:r>
    </w:p>
    <w:p w14:paraId="30DE50D2">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上诉案件改判率：</w:t>
      </w:r>
      <w:r>
        <w:rPr>
          <w:rFonts w:hint="eastAsia" w:ascii="仿宋_GB2312" w:hAnsi="仿宋_GB2312" w:eastAsia="仿宋_GB2312" w:cs="仿宋_GB2312"/>
          <w:sz w:val="30"/>
          <w:szCs w:val="30"/>
        </w:rPr>
        <w:t>年度目标≤35%，实际完成18.90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，该指标分值，2.94分，自评得分1.59分，得分率54.08%。</w:t>
      </w:r>
    </w:p>
    <w:p w14:paraId="4BD1EDB9">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采购设备质量验收合格率：</w:t>
      </w:r>
      <w:r>
        <w:rPr>
          <w:rFonts w:hint="eastAsia" w:ascii="仿宋_GB2312" w:hAnsi="仿宋_GB2312" w:eastAsia="仿宋_GB2312" w:cs="仿宋_GB2312"/>
          <w:sz w:val="30"/>
          <w:szCs w:val="30"/>
        </w:rPr>
        <w:t>我院2023年度购置各类设备均符合相关质量要求并通过验收，验收合格率为100%。该指标分值2.94分，自评得分2.94分，得分率100%。</w:t>
      </w:r>
    </w:p>
    <w:p w14:paraId="69C47D47">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培训考核通过率：</w:t>
      </w:r>
      <w:r>
        <w:rPr>
          <w:rFonts w:hint="eastAsia" w:ascii="仿宋_GB2312" w:hAnsi="仿宋_GB2312" w:eastAsia="仿宋_GB2312" w:cs="仿宋_GB2312"/>
          <w:sz w:val="30"/>
          <w:szCs w:val="30"/>
        </w:rPr>
        <w:t>本年度进行的培训均通过考核，通过率100%，该指标分值2.94分，自评得分2.94分，得分率100%。</w:t>
      </w:r>
    </w:p>
    <w:p w14:paraId="414792FE">
      <w:pPr>
        <w:pStyle w:val="5"/>
        <w:keepNext w:val="0"/>
        <w:keepLines w:val="0"/>
        <w:pageBreakBefore w:val="0"/>
        <w:widowControl w:val="0"/>
        <w:kinsoku/>
        <w:wordWrap/>
        <w:overflowPunct/>
        <w:topLinePunct w:val="0"/>
        <w:autoSpaceDE/>
        <w:autoSpaceDN/>
        <w:bidi w:val="0"/>
        <w:adjustRightInd/>
        <w:snapToGrid/>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法定审限内结案率：</w:t>
      </w:r>
      <w:r>
        <w:rPr>
          <w:rFonts w:hint="eastAsia" w:ascii="仿宋_GB2312" w:hAnsi="仿宋_GB2312" w:eastAsia="仿宋_GB2312" w:cs="仿宋_GB2312"/>
          <w:sz w:val="30"/>
          <w:szCs w:val="30"/>
        </w:rPr>
        <w:t>2023年我院法定审限内结案率为100%，审判效率较</w:t>
      </w:r>
      <w:r>
        <w:rPr>
          <w:rFonts w:hint="eastAsia" w:ascii="仿宋_GB2312" w:hAnsi="仿宋_GB2312" w:eastAsia="仿宋_GB2312" w:cs="仿宋_GB2312"/>
          <w:kern w:val="2"/>
          <w:sz w:val="30"/>
          <w:szCs w:val="30"/>
          <w:lang w:val="en-US" w:eastAsia="zh-CN" w:bidi="ar-SA"/>
        </w:rPr>
        <w:t>高。该指标分值2.94分，自评得分2.94分，得分率100%。</w:t>
      </w:r>
    </w:p>
    <w:p w14:paraId="5F02F8C8">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办公设备购置工作完成及时性：</w:t>
      </w:r>
      <w:r>
        <w:rPr>
          <w:rFonts w:hint="eastAsia" w:ascii="仿宋_GB2312" w:hAnsi="仿宋_GB2312" w:eastAsia="仿宋_GB2312" w:cs="仿宋_GB2312"/>
          <w:sz w:val="30"/>
          <w:szCs w:val="30"/>
        </w:rPr>
        <w:t>2023年度我院及时完成办公设备购置工作，优化了后勤服务方式，最大限度提高服务保障效能。该指标分值2.94分，自评得分2.94分，得分率100%。</w:t>
      </w:r>
    </w:p>
    <w:p w14:paraId="05DFBCA0">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培训工作完成及时性：</w:t>
      </w:r>
      <w:r>
        <w:rPr>
          <w:rFonts w:hint="eastAsia" w:ascii="仿宋_GB2312" w:hAnsi="仿宋_GB2312" w:eastAsia="仿宋_GB2312" w:cs="仿宋_GB2312"/>
          <w:sz w:val="30"/>
          <w:szCs w:val="30"/>
        </w:rPr>
        <w:t>2023年我院举办各类业务培训，均已按照计划完成。该指标分值2.94分，自评得分2.94分，得分率100%。</w:t>
      </w:r>
    </w:p>
    <w:p w14:paraId="20951398">
      <w:pPr>
        <w:pStyle w:val="15"/>
        <w:spacing w:after="0" w:line="360" w:lineRule="auto"/>
        <w:ind w:left="0" w:leftChars="0"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成本控制情况：</w:t>
      </w:r>
      <w:r>
        <w:rPr>
          <w:rFonts w:hint="eastAsia" w:ascii="仿宋_GB2312" w:hAnsi="仿宋_GB2312" w:eastAsia="仿宋_GB2312" w:cs="仿宋_GB2312"/>
          <w:sz w:val="30"/>
          <w:szCs w:val="30"/>
        </w:rPr>
        <w:t>我院严格贯彻过紧日子方针，通过优化保障管理方式，培养节俭文化，在提高服务质量水平的同时，降低成本开支，节约行政成本，各项活动开支均未超出预算，成本有效控制在预算范围内。该指标分值2.94分，自评得分2.94分，得分率100%。</w:t>
      </w:r>
    </w:p>
    <w:p w14:paraId="1EC9AFA8">
      <w:pPr>
        <w:spacing w:line="360" w:lineRule="auto"/>
        <w:ind w:firstLine="602" w:firstLineChars="200"/>
        <w:outlineLvl w:val="3"/>
        <w:rPr>
          <w:rFonts w:ascii="仿宋_GB2312" w:hAnsi="仿宋_GB2312" w:eastAsia="仿宋_GB2312" w:cs="仿宋_GB2312"/>
          <w:sz w:val="30"/>
          <w:szCs w:val="30"/>
        </w:rPr>
      </w:pPr>
      <w:r>
        <w:rPr>
          <w:rFonts w:hint="eastAsia" w:ascii="仿宋_GB2312" w:hAnsi="仿宋_GB2312" w:eastAsia="仿宋_GB2312" w:cs="仿宋_GB2312"/>
          <w:b/>
          <w:bCs/>
          <w:sz w:val="30"/>
          <w:szCs w:val="30"/>
        </w:rPr>
        <w:t>（2）部门效果目标</w:t>
      </w:r>
    </w:p>
    <w:p w14:paraId="31E2C830">
      <w:pPr>
        <w:spacing w:line="360" w:lineRule="auto"/>
        <w:ind w:firstLine="600" w:firstLineChars="200"/>
        <w:rPr>
          <w:rFonts w:ascii="仿宋_GB2312" w:hAnsi="仿宋_GB2312" w:eastAsia="仿宋_GB2312" w:cs="仿宋_GB2312"/>
          <w:b/>
          <w:bCs/>
          <w:spacing w:val="4"/>
          <w:sz w:val="30"/>
          <w:szCs w:val="30"/>
        </w:rPr>
      </w:pPr>
      <w:r>
        <w:rPr>
          <w:rFonts w:hint="eastAsia" w:ascii="仿宋_GB2312" w:hAnsi="仿宋_GB2312" w:eastAsia="仿宋_GB2312" w:cs="仿宋_GB2312"/>
          <w:sz w:val="30"/>
          <w:szCs w:val="30"/>
        </w:rPr>
        <w:t>部门效果指标分值</w:t>
      </w:r>
      <w:r>
        <w:rPr>
          <w:rFonts w:hint="eastAsia" w:ascii="仿宋_GB2312" w:hAnsi="仿宋_GB2312" w:eastAsia="仿宋_GB2312" w:cs="仿宋_GB2312"/>
          <w:kern w:val="0"/>
          <w:sz w:val="30"/>
          <w:szCs w:val="30"/>
        </w:rPr>
        <w:t>2.94</w:t>
      </w:r>
      <w:r>
        <w:rPr>
          <w:rFonts w:hint="eastAsia" w:ascii="仿宋_GB2312" w:hAnsi="仿宋_GB2312" w:eastAsia="仿宋_GB2312" w:cs="仿宋_GB2312"/>
          <w:sz w:val="30"/>
          <w:szCs w:val="30"/>
        </w:rPr>
        <w:t>分，自评得分</w:t>
      </w:r>
      <w:r>
        <w:rPr>
          <w:rFonts w:hint="eastAsia" w:ascii="仿宋_GB2312" w:hAnsi="仿宋_GB2312" w:eastAsia="仿宋_GB2312" w:cs="仿宋_GB2312"/>
          <w:kern w:val="0"/>
          <w:sz w:val="30"/>
          <w:szCs w:val="30"/>
        </w:rPr>
        <w:t>2.62</w:t>
      </w:r>
      <w:r>
        <w:rPr>
          <w:rFonts w:hint="eastAsia" w:ascii="仿宋_GB2312" w:hAnsi="仿宋_GB2312" w:eastAsia="仿宋_GB2312" w:cs="仿宋_GB2312"/>
          <w:sz w:val="30"/>
          <w:szCs w:val="30"/>
        </w:rPr>
        <w:t>分，得分率</w:t>
      </w:r>
      <w:r>
        <w:rPr>
          <w:rFonts w:hint="eastAsia" w:ascii="仿宋_GB2312" w:hAnsi="仿宋_GB2312" w:eastAsia="仿宋_GB2312" w:cs="仿宋_GB2312"/>
          <w:kern w:val="0"/>
          <w:sz w:val="30"/>
          <w:szCs w:val="30"/>
        </w:rPr>
        <w:t>89.12%</w:t>
      </w:r>
      <w:r>
        <w:rPr>
          <w:rFonts w:hint="eastAsia" w:ascii="仿宋_GB2312" w:hAnsi="仿宋_GB2312" w:eastAsia="仿宋_GB2312" w:cs="仿宋_GB2312"/>
          <w:sz w:val="30"/>
          <w:szCs w:val="30"/>
        </w:rPr>
        <w:t>。</w:t>
      </w:r>
    </w:p>
    <w:p w14:paraId="11678100">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调撤率：</w:t>
      </w:r>
      <w:r>
        <w:rPr>
          <w:rFonts w:hint="eastAsia" w:ascii="仿宋_GB2312" w:hAnsi="仿宋_GB2312" w:eastAsia="仿宋_GB2312" w:cs="仿宋_GB2312"/>
          <w:sz w:val="30"/>
          <w:szCs w:val="30"/>
        </w:rPr>
        <w:t>2023年我院坚持和谐司法，促进案结事了，民事案件调解撤诉率85%。</w:t>
      </w:r>
      <w:r>
        <w:rPr>
          <w:rFonts w:hint="eastAsia" w:ascii="仿宋_GB2312" w:hAnsi="仿宋_GB2312" w:eastAsia="仿宋_GB2312" w:cs="仿宋_GB2312"/>
          <w:kern w:val="0"/>
          <w:sz w:val="30"/>
          <w:szCs w:val="30"/>
        </w:rPr>
        <w:t>该指标分值2.94分，自评得分2.62分，得分率89.12%。</w:t>
      </w:r>
    </w:p>
    <w:p w14:paraId="5B6D0BB9">
      <w:pPr>
        <w:pStyle w:val="4"/>
        <w:keepNext w:val="0"/>
        <w:keepLines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bookmarkStart w:id="40" w:name="_Toc40046034"/>
      <w:r>
        <w:rPr>
          <w:rFonts w:hint="eastAsia" w:ascii="仿宋_GB2312" w:hAnsi="仿宋_GB2312" w:eastAsia="仿宋_GB2312" w:cs="仿宋_GB2312"/>
          <w:sz w:val="30"/>
          <w:szCs w:val="30"/>
        </w:rPr>
        <w:t>服务对象满意度</w:t>
      </w:r>
      <w:bookmarkEnd w:id="40"/>
    </w:p>
    <w:p w14:paraId="70DB763B">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服务对象满意度主要考察人民群众满意度。该指标分值10分，自评得分10分，得分率100%。</w:t>
      </w:r>
    </w:p>
    <w:p w14:paraId="22207DA5">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人民群众满意度：</w:t>
      </w:r>
      <w:r>
        <w:rPr>
          <w:rFonts w:hint="eastAsia" w:ascii="仿宋_GB2312" w:hAnsi="仿宋_GB2312" w:eastAsia="仿宋_GB2312" w:cs="仿宋_GB2312"/>
          <w:sz w:val="30"/>
          <w:szCs w:val="30"/>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人民群众满意度为85%。该指标分值10分，自评得分10分，得分率100%。</w:t>
      </w:r>
    </w:p>
    <w:p w14:paraId="15ED3482">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（4）社会影响</w:t>
      </w:r>
    </w:p>
    <w:p w14:paraId="6E828FC6">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社会影响指标分值5.88分，自评得分5.88分，得分率100%。</w:t>
      </w:r>
    </w:p>
    <w:p w14:paraId="1ACA36B9">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单位获奖情况：</w:t>
      </w:r>
      <w:r>
        <w:rPr>
          <w:rFonts w:hint="eastAsia" w:ascii="仿宋_GB2312" w:hAnsi="仿宋_GB2312" w:eastAsia="仿宋_GB2312" w:cs="仿宋_GB2312"/>
          <w:sz w:val="30"/>
          <w:szCs w:val="30"/>
        </w:rPr>
        <w:t>2023年我院被甘肃省高级人民法院 甘肃省人力资源和社会保障厅评为“全省优秀法院”。该指标分值2.94分，自评得分2.94分，得分率100%。</w:t>
      </w:r>
    </w:p>
    <w:p w14:paraId="546D16BB">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违法违纪情况：</w:t>
      </w:r>
      <w:r>
        <w:rPr>
          <w:rFonts w:hint="eastAsia" w:ascii="仿宋_GB2312" w:hAnsi="仿宋_GB2312" w:eastAsia="仿宋_GB2312" w:cs="仿宋_GB2312"/>
          <w:sz w:val="30"/>
          <w:szCs w:val="30"/>
        </w:rPr>
        <w:t>2023年我院未出现在国家层面督查或人大审计、监察等监督监察时发现问题被问责的情况。该指标分值2.94分，自评得分2.94分，得分率100%。</w:t>
      </w:r>
    </w:p>
    <w:p w14:paraId="6EDE1BD5">
      <w:pPr>
        <w:pStyle w:val="4"/>
        <w:keepNext w:val="0"/>
        <w:keepLines w:val="0"/>
        <w:spacing w:line="360" w:lineRule="auto"/>
        <w:ind w:firstLine="602" w:firstLineChars="200"/>
        <w:rPr>
          <w:rFonts w:ascii="仿宋_GB2312" w:hAnsi="仿宋_GB2312" w:eastAsia="仿宋_GB2312" w:cs="仿宋_GB2312"/>
          <w:sz w:val="30"/>
          <w:szCs w:val="30"/>
        </w:rPr>
      </w:pPr>
      <w:bookmarkStart w:id="41" w:name="_Toc40046033"/>
      <w:r>
        <w:rPr>
          <w:rFonts w:hint="eastAsia" w:ascii="仿宋_GB2312" w:hAnsi="仿宋_GB2312" w:eastAsia="仿宋_GB2312" w:cs="仿宋_GB2312"/>
          <w:sz w:val="30"/>
          <w:szCs w:val="30"/>
        </w:rPr>
        <w:t>4.能力建设</w:t>
      </w:r>
      <w:bookmarkEnd w:id="41"/>
    </w:p>
    <w:p w14:paraId="54504E43">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能力建设指标分值10分，自评得分10分，得分率100%。</w:t>
      </w:r>
    </w:p>
    <w:p w14:paraId="3A22E6E5">
      <w:pPr>
        <w:pStyle w:val="5"/>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中期规划建设完备程度：</w:t>
      </w:r>
      <w:r>
        <w:rPr>
          <w:rFonts w:hint="eastAsia" w:ascii="仿宋_GB2312" w:hAnsi="仿宋_GB2312" w:eastAsia="仿宋_GB2312" w:cs="仿宋_GB2312"/>
          <w:sz w:val="30"/>
          <w:szCs w:val="30"/>
        </w:rPr>
        <w:t>我院中期规划完整清晰、内容全面可行，能够为未来的工作明确目标、方向和内容。该指标分值3.34分，自评得分3.34分，得分率100%。</w:t>
      </w:r>
    </w:p>
    <w:p w14:paraId="771A978C">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kern w:val="0"/>
          <w:sz w:val="30"/>
          <w:szCs w:val="30"/>
        </w:rPr>
        <w:t>人员培训机制完备性：</w:t>
      </w:r>
      <w:r>
        <w:rPr>
          <w:rFonts w:hint="eastAsia" w:ascii="仿宋_GB2312" w:hAnsi="仿宋_GB2312" w:eastAsia="仿宋_GB2312" w:cs="仿宋_GB2312"/>
          <w:sz w:val="30"/>
          <w:szCs w:val="30"/>
        </w:rPr>
        <w:t>我院高度重视人员能力的培养，在人员培训方面，严格展开培训活动，为法院的长期发展储备优秀人才，不断完善人员培训机制，强化岗位练兵活动，积极加强干警业务能力水平的提升。该指标分值3</w:t>
      </w:r>
      <w:r>
        <w:rPr>
          <w:rFonts w:hint="eastAsia" w:ascii="仿宋_GB2312" w:hAnsi="仿宋_GB2312" w:eastAsia="仿宋_GB2312" w:cs="仿宋_GB2312"/>
          <w:sz w:val="30"/>
          <w:szCs w:val="30"/>
          <w:lang w:val="en-US" w:eastAsia="zh-CN"/>
        </w:rPr>
        <w:t>.33</w:t>
      </w:r>
      <w:r>
        <w:rPr>
          <w:rFonts w:hint="eastAsia" w:ascii="仿宋_GB2312" w:hAnsi="仿宋_GB2312" w:eastAsia="仿宋_GB2312" w:cs="仿宋_GB2312"/>
          <w:sz w:val="30"/>
          <w:szCs w:val="30"/>
        </w:rPr>
        <w:t>分，自评得分3</w:t>
      </w:r>
      <w:r>
        <w:rPr>
          <w:rFonts w:hint="eastAsia" w:ascii="仿宋_GB2312" w:hAnsi="仿宋_GB2312" w:eastAsia="仿宋_GB2312" w:cs="仿宋_GB2312"/>
          <w:sz w:val="30"/>
          <w:szCs w:val="30"/>
          <w:lang w:val="en-US" w:eastAsia="zh-CN"/>
        </w:rPr>
        <w:t>.33</w:t>
      </w:r>
      <w:r>
        <w:rPr>
          <w:rFonts w:hint="eastAsia" w:ascii="仿宋_GB2312" w:hAnsi="仿宋_GB2312" w:eastAsia="仿宋_GB2312" w:cs="仿宋_GB2312"/>
          <w:sz w:val="30"/>
          <w:szCs w:val="30"/>
        </w:rPr>
        <w:t>分，得分率100%。</w:t>
      </w:r>
    </w:p>
    <w:p w14:paraId="6DF37EC3">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档案管理完备性：</w:t>
      </w:r>
      <w:r>
        <w:rPr>
          <w:rFonts w:hint="eastAsia" w:ascii="仿宋_GB2312" w:hAnsi="仿宋_GB2312" w:eastAsia="仿宋_GB2312" w:cs="仿宋_GB2312"/>
          <w:sz w:val="30"/>
          <w:szCs w:val="30"/>
        </w:rPr>
        <w:t>我院严格规范和完善各项档案管理工作，在档案收集、保管方面管理到位，有效执行，并设有档案管理的专职人员，取得了良好的成效。该指标分值</w:t>
      </w:r>
      <w:r>
        <w:rPr>
          <w:rFonts w:hint="eastAsia" w:ascii="仿宋_GB2312" w:hAnsi="仿宋_GB2312" w:eastAsia="仿宋_GB2312" w:cs="仿宋_GB2312"/>
          <w:sz w:val="30"/>
          <w:szCs w:val="30"/>
          <w:lang w:val="en-US" w:eastAsia="zh-CN"/>
        </w:rPr>
        <w:t>3.33</w:t>
      </w:r>
      <w:r>
        <w:rPr>
          <w:rFonts w:hint="eastAsia" w:ascii="仿宋_GB2312" w:hAnsi="仿宋_GB2312" w:eastAsia="仿宋_GB2312" w:cs="仿宋_GB2312"/>
          <w:sz w:val="30"/>
          <w:szCs w:val="30"/>
        </w:rPr>
        <w:t>分，自评得分</w:t>
      </w:r>
      <w:r>
        <w:rPr>
          <w:rFonts w:hint="eastAsia" w:ascii="仿宋_GB2312" w:hAnsi="仿宋_GB2312" w:eastAsia="仿宋_GB2312" w:cs="仿宋_GB2312"/>
          <w:sz w:val="30"/>
          <w:szCs w:val="30"/>
          <w:lang w:val="en-US" w:eastAsia="zh-CN"/>
        </w:rPr>
        <w:t>3.33</w:t>
      </w:r>
      <w:r>
        <w:rPr>
          <w:rFonts w:hint="eastAsia" w:ascii="仿宋_GB2312" w:hAnsi="仿宋_GB2312" w:eastAsia="仿宋_GB2312" w:cs="仿宋_GB2312"/>
          <w:sz w:val="30"/>
          <w:szCs w:val="30"/>
        </w:rPr>
        <w:t>分，得分率100%。</w:t>
      </w:r>
    </w:p>
    <w:p w14:paraId="0B68E9B4">
      <w:pPr>
        <w:pStyle w:val="3"/>
        <w:keepNext w:val="0"/>
        <w:keepLines w:val="0"/>
        <w:spacing w:before="0" w:after="0" w:line="360" w:lineRule="auto"/>
        <w:ind w:firstLine="643" w:firstLineChars="200"/>
        <w:rPr>
          <w:rFonts w:cs="楷体"/>
        </w:rPr>
      </w:pPr>
      <w:bookmarkStart w:id="42" w:name="_Toc12558"/>
      <w:bookmarkStart w:id="43" w:name="_Toc16731"/>
      <w:bookmarkStart w:id="44" w:name="_Toc3174"/>
      <w:bookmarkStart w:id="45" w:name="_Toc16525"/>
      <w:bookmarkStart w:id="46" w:name="_Toc7497"/>
      <w:bookmarkStart w:id="47" w:name="_Toc40046035"/>
      <w:r>
        <w:rPr>
          <w:rFonts w:hint="eastAsia" w:cs="楷体"/>
        </w:rPr>
        <w:t>（四）偏离绩效目标的原因及下一步改进措施</w:t>
      </w:r>
      <w:bookmarkEnd w:id="42"/>
      <w:bookmarkEnd w:id="43"/>
      <w:bookmarkEnd w:id="44"/>
      <w:bookmarkEnd w:id="45"/>
      <w:bookmarkEnd w:id="46"/>
      <w:bookmarkEnd w:id="47"/>
    </w:p>
    <w:p w14:paraId="69DC4F41">
      <w:pPr>
        <w:spacing w:line="360" w:lineRule="auto"/>
        <w:ind w:firstLine="600" w:firstLineChars="200"/>
        <w:rPr>
          <w:rFonts w:ascii="仿宋_GB2312" w:hAnsi="仿宋_GB2312" w:eastAsia="仿宋_GB2312" w:cs="仿宋_GB2312"/>
          <w:sz w:val="30"/>
          <w:szCs w:val="30"/>
        </w:rPr>
      </w:pPr>
      <w:bookmarkStart w:id="48" w:name="_Toc16890"/>
      <w:bookmarkStart w:id="49" w:name="_Toc19849"/>
      <w:bookmarkStart w:id="50" w:name="_Toc8740"/>
      <w:bookmarkStart w:id="51" w:name="_Toc26191"/>
      <w:bookmarkStart w:id="52" w:name="_Toc2045"/>
      <w:r>
        <w:rPr>
          <w:rFonts w:hint="eastAsia" w:ascii="仿宋_GB2312" w:hAnsi="仿宋_GB2312" w:eastAsia="仿宋_GB2312" w:cs="仿宋_GB2312"/>
          <w:sz w:val="30"/>
          <w:szCs w:val="30"/>
        </w:rPr>
        <w:t>（1）基本支出预算执行率</w:t>
      </w:r>
    </w:p>
    <w:p w14:paraId="1DD77DE9">
      <w:pPr>
        <w:spacing w:line="360" w:lineRule="auto"/>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基本支出全年预算数1,537.52万元，全年基本支出数1,362.25万元，年度指标值为100%，实际完成值为88.60%，未达到预期目标，产生偏差的原因是年底结余退休、调动人员社保缴费记实。</w:t>
      </w:r>
    </w:p>
    <w:p w14:paraId="413B8B05">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（2）目标值设置不合理</w:t>
      </w:r>
    </w:p>
    <w:p w14:paraId="5591A1A4">
      <w:pPr>
        <w:spacing w:line="360" w:lineRule="auto"/>
        <w:ind w:firstLine="600" w:firstLineChars="200"/>
      </w:pPr>
      <w:r>
        <w:rPr>
          <w:rFonts w:hint="eastAsia" w:ascii="仿宋_GB2312" w:hAnsi="仿宋_GB2312" w:eastAsia="仿宋_GB2312" w:cs="仿宋_GB2312"/>
          <w:kern w:val="0"/>
          <w:sz w:val="30"/>
          <w:szCs w:val="30"/>
        </w:rPr>
        <w:t>培训工作完成率年度目标&gt;=10次，实际完成73次，指标目标值设置偏低，实际完成情况超过目标值130%；宣传工作完成率年度目标&gt;=10次，实际完成23次，指标目标值设置偏低，实际完成情况超过目标值130%；上诉案件改判率年度目标&lt;=35%，实际完成18.90%，因指标目标值设置偏高，未达到年度目标值。下一年我院将根据往年指标完成情况及本年度工作计划合理设置目标值。</w:t>
      </w:r>
    </w:p>
    <w:p w14:paraId="339714B2">
      <w:pPr>
        <w:pStyle w:val="2"/>
        <w:keepNext w:val="0"/>
        <w:keepLines w:val="0"/>
        <w:spacing w:before="0" w:after="0" w:line="360" w:lineRule="auto"/>
      </w:pPr>
      <w:r>
        <w:rPr>
          <w:rFonts w:hint="eastAsia"/>
        </w:rPr>
        <w:t>四、部门预算项目支出绩效自评情况分析</w:t>
      </w:r>
      <w:bookmarkEnd w:id="48"/>
      <w:bookmarkEnd w:id="49"/>
      <w:bookmarkEnd w:id="50"/>
      <w:bookmarkEnd w:id="51"/>
      <w:bookmarkEnd w:id="52"/>
    </w:p>
    <w:p w14:paraId="61D24CAB">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2023年，我院预算支出项目为2个，通过自评，2个项目结果为“优”。分项目自评情况分析如下：</w:t>
      </w:r>
    </w:p>
    <w:p w14:paraId="0A6E0ADC">
      <w:pPr>
        <w:pStyle w:val="3"/>
        <w:keepNext w:val="0"/>
        <w:keepLines w:val="0"/>
        <w:spacing w:before="0" w:after="0" w:line="360" w:lineRule="auto"/>
        <w:ind w:firstLine="643" w:firstLineChars="200"/>
        <w:rPr>
          <w:rFonts w:cs="楷体"/>
        </w:rPr>
      </w:pPr>
      <w:bookmarkStart w:id="53" w:name="_Toc40046039"/>
      <w:bookmarkStart w:id="54" w:name="_Toc16262"/>
      <w:bookmarkStart w:id="55" w:name="_Toc22792"/>
      <w:bookmarkStart w:id="56" w:name="_Toc4248"/>
      <w:bookmarkStart w:id="57" w:name="_Toc23312"/>
      <w:r>
        <w:rPr>
          <w:rFonts w:hint="eastAsia" w:cs="楷体"/>
        </w:rPr>
        <w:t>（一）</w:t>
      </w:r>
      <w:bookmarkEnd w:id="53"/>
      <w:r>
        <w:rPr>
          <w:rFonts w:hint="eastAsia" w:cs="楷体"/>
        </w:rPr>
        <w:t>法庭运维费</w:t>
      </w:r>
      <w:bookmarkEnd w:id="54"/>
      <w:bookmarkEnd w:id="55"/>
      <w:bookmarkEnd w:id="56"/>
      <w:r>
        <w:rPr>
          <w:rFonts w:hint="eastAsia" w:cs="楷体"/>
        </w:rPr>
        <w:t>项目</w:t>
      </w:r>
      <w:bookmarkEnd w:id="57"/>
    </w:p>
    <w:p w14:paraId="4F2C497B">
      <w:pPr>
        <w:spacing w:line="360" w:lineRule="auto"/>
        <w:ind w:firstLine="600" w:firstLineChars="200"/>
      </w:pPr>
      <w:bookmarkStart w:id="58" w:name="_Toc40046040"/>
      <w:r>
        <w:rPr>
          <w:rFonts w:hint="eastAsia" w:ascii="仿宋_GB2312" w:hAnsi="仿宋_GB2312" w:eastAsia="仿宋_GB2312" w:cs="仿宋_GB2312"/>
          <w:sz w:val="30"/>
          <w:szCs w:val="30"/>
        </w:rPr>
        <w:t>本次绩效自评综合评定2023年法庭运维费项目支出绩效得分为99.39分，绩效等级为“优”。项目支出绩效评价包括项目资金预算执行率、成本、产出、效益、满意度五个一级指标，下设8个二级指标和15个三级指标。项目资金预算执行率100%，一级指标得分情况详见下表 ：</w:t>
      </w:r>
    </w:p>
    <w:tbl>
      <w:tblPr>
        <w:tblStyle w:val="16"/>
        <w:tblW w:w="8536"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56"/>
        <w:gridCol w:w="1880"/>
        <w:gridCol w:w="1850"/>
        <w:gridCol w:w="2150"/>
      </w:tblGrid>
      <w:tr w14:paraId="3318C2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656" w:type="dxa"/>
            <w:shd w:val="clear" w:color="auto" w:fill="BDD6EE"/>
            <w:vAlign w:val="center"/>
          </w:tcPr>
          <w:p w14:paraId="25BA33F7">
            <w:pPr>
              <w:widowControl/>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一级指标</w:t>
            </w:r>
          </w:p>
        </w:tc>
        <w:tc>
          <w:tcPr>
            <w:tcW w:w="1880" w:type="dxa"/>
            <w:shd w:val="clear" w:color="auto" w:fill="BDD6EE"/>
            <w:vAlign w:val="center"/>
          </w:tcPr>
          <w:p w14:paraId="3833F106">
            <w:pPr>
              <w:widowControl/>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分值</w:t>
            </w:r>
          </w:p>
        </w:tc>
        <w:tc>
          <w:tcPr>
            <w:tcW w:w="1850" w:type="dxa"/>
            <w:shd w:val="clear" w:color="auto" w:fill="BDD6EE"/>
            <w:vAlign w:val="center"/>
          </w:tcPr>
          <w:p w14:paraId="361055BD">
            <w:pPr>
              <w:widowControl/>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自评得分</w:t>
            </w:r>
          </w:p>
        </w:tc>
        <w:tc>
          <w:tcPr>
            <w:tcW w:w="2150" w:type="dxa"/>
            <w:shd w:val="clear" w:color="auto" w:fill="BDD6EE"/>
            <w:vAlign w:val="center"/>
          </w:tcPr>
          <w:p w14:paraId="3F0BD7ED">
            <w:pPr>
              <w:widowControl/>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得分率</w:t>
            </w:r>
          </w:p>
        </w:tc>
      </w:tr>
      <w:tr w14:paraId="203C17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2656" w:type="dxa"/>
            <w:vAlign w:val="center"/>
          </w:tcPr>
          <w:p w14:paraId="7860F9D4">
            <w:pPr>
              <w:widowControl/>
              <w:ind w:firstLine="480" w:firstLineChars="200"/>
              <w:jc w:val="left"/>
              <w:textAlignment w:val="center"/>
              <w:rPr>
                <w:rFonts w:hAnsi="宋体" w:cs="宋体"/>
                <w:color w:val="000000"/>
                <w:kern w:val="0"/>
                <w:sz w:val="24"/>
                <w:szCs w:val="28"/>
              </w:rPr>
            </w:pPr>
            <w:r>
              <w:rPr>
                <w:rFonts w:hint="eastAsia" w:ascii="仿宋_GB2312" w:hAnsi="宋体" w:eastAsia="仿宋_GB2312" w:cs="仿宋_GB2312"/>
                <w:color w:val="000000"/>
                <w:kern w:val="0"/>
                <w:sz w:val="24"/>
                <w:lang w:bidi="ar"/>
              </w:rPr>
              <w:t>预算执行率</w:t>
            </w:r>
          </w:p>
        </w:tc>
        <w:tc>
          <w:tcPr>
            <w:tcW w:w="1880" w:type="dxa"/>
            <w:vAlign w:val="center"/>
          </w:tcPr>
          <w:p w14:paraId="56A112D9">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w:t>
            </w:r>
          </w:p>
        </w:tc>
        <w:tc>
          <w:tcPr>
            <w:tcW w:w="1850" w:type="dxa"/>
            <w:vAlign w:val="center"/>
          </w:tcPr>
          <w:p w14:paraId="5DB50FB2">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150" w:type="dxa"/>
            <w:vAlign w:val="center"/>
          </w:tcPr>
          <w:p w14:paraId="4FBD9A6B">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100.00%</w:t>
            </w:r>
          </w:p>
        </w:tc>
      </w:tr>
      <w:tr w14:paraId="6DC831F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2656" w:type="dxa"/>
            <w:vAlign w:val="center"/>
          </w:tcPr>
          <w:p w14:paraId="60595B96">
            <w:pPr>
              <w:widowControl/>
              <w:ind w:firstLine="480" w:firstLineChars="200"/>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成本指标</w:t>
            </w:r>
          </w:p>
        </w:tc>
        <w:tc>
          <w:tcPr>
            <w:tcW w:w="1880" w:type="dxa"/>
            <w:vAlign w:val="center"/>
          </w:tcPr>
          <w:p w14:paraId="4695A96B">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1850" w:type="dxa"/>
            <w:vAlign w:val="center"/>
          </w:tcPr>
          <w:p w14:paraId="28D4D43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2150" w:type="dxa"/>
            <w:vAlign w:val="center"/>
          </w:tcPr>
          <w:p w14:paraId="4FDDFDFE">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100.00%</w:t>
            </w:r>
          </w:p>
        </w:tc>
      </w:tr>
      <w:tr w14:paraId="3E93B3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656" w:type="dxa"/>
            <w:vAlign w:val="center"/>
          </w:tcPr>
          <w:p w14:paraId="48C1F0CE">
            <w:pPr>
              <w:widowControl/>
              <w:ind w:firstLine="480" w:firstLineChars="200"/>
              <w:jc w:val="left"/>
              <w:textAlignment w:val="center"/>
              <w:rPr>
                <w:rFonts w:hAnsi="宋体" w:eastAsia="仿宋_GB2312" w:cs="宋体"/>
                <w:color w:val="000000"/>
                <w:kern w:val="0"/>
                <w:sz w:val="24"/>
                <w:szCs w:val="28"/>
              </w:rPr>
            </w:pPr>
            <w:r>
              <w:rPr>
                <w:rFonts w:hint="eastAsia" w:ascii="仿宋_GB2312" w:hAnsi="宋体" w:eastAsia="仿宋_GB2312" w:cs="仿宋_GB2312"/>
                <w:color w:val="000000"/>
                <w:kern w:val="0"/>
                <w:sz w:val="24"/>
                <w:lang w:bidi="ar"/>
              </w:rPr>
              <w:t>产出指标</w:t>
            </w:r>
          </w:p>
        </w:tc>
        <w:tc>
          <w:tcPr>
            <w:tcW w:w="1880" w:type="dxa"/>
            <w:vAlign w:val="center"/>
          </w:tcPr>
          <w:p w14:paraId="1D2168C3">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40</w:t>
            </w:r>
          </w:p>
        </w:tc>
        <w:tc>
          <w:tcPr>
            <w:tcW w:w="1850" w:type="dxa"/>
            <w:vAlign w:val="center"/>
          </w:tcPr>
          <w:p w14:paraId="010D67F9">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2150" w:type="dxa"/>
            <w:vAlign w:val="center"/>
          </w:tcPr>
          <w:p w14:paraId="5402D24F">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100.00%</w:t>
            </w:r>
          </w:p>
        </w:tc>
      </w:tr>
      <w:tr w14:paraId="5E82CA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656" w:type="dxa"/>
            <w:vAlign w:val="center"/>
          </w:tcPr>
          <w:p w14:paraId="688E0868">
            <w:pPr>
              <w:widowControl/>
              <w:ind w:firstLine="480" w:firstLineChars="200"/>
              <w:jc w:val="left"/>
              <w:textAlignment w:val="center"/>
              <w:rPr>
                <w:rFonts w:hAnsi="宋体" w:eastAsia="仿宋_GB2312" w:cs="宋体"/>
                <w:color w:val="000000"/>
                <w:kern w:val="0"/>
                <w:sz w:val="24"/>
                <w:szCs w:val="28"/>
              </w:rPr>
            </w:pPr>
            <w:r>
              <w:rPr>
                <w:rFonts w:hint="eastAsia" w:ascii="仿宋_GB2312" w:hAnsi="宋体" w:eastAsia="仿宋_GB2312" w:cs="仿宋_GB2312"/>
                <w:color w:val="000000"/>
                <w:kern w:val="0"/>
                <w:sz w:val="24"/>
                <w:lang w:bidi="ar"/>
              </w:rPr>
              <w:t>效益指标</w:t>
            </w:r>
          </w:p>
        </w:tc>
        <w:tc>
          <w:tcPr>
            <w:tcW w:w="1880" w:type="dxa"/>
            <w:vAlign w:val="center"/>
          </w:tcPr>
          <w:p w14:paraId="6E64FCCA">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20</w:t>
            </w:r>
          </w:p>
        </w:tc>
        <w:tc>
          <w:tcPr>
            <w:tcW w:w="1850" w:type="dxa"/>
            <w:vAlign w:val="center"/>
          </w:tcPr>
          <w:p w14:paraId="2392C949">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19.39</w:t>
            </w:r>
          </w:p>
        </w:tc>
        <w:tc>
          <w:tcPr>
            <w:tcW w:w="2150" w:type="dxa"/>
            <w:vAlign w:val="center"/>
          </w:tcPr>
          <w:p w14:paraId="608843AF">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96.95%</w:t>
            </w:r>
          </w:p>
        </w:tc>
      </w:tr>
      <w:tr w14:paraId="1056B7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656" w:type="dxa"/>
            <w:vAlign w:val="center"/>
          </w:tcPr>
          <w:p w14:paraId="68E12BB6">
            <w:pPr>
              <w:widowControl/>
              <w:ind w:firstLine="480" w:firstLineChars="200"/>
              <w:jc w:val="left"/>
              <w:textAlignment w:val="center"/>
              <w:rPr>
                <w:rFonts w:hAnsi="宋体" w:eastAsia="仿宋_GB2312" w:cs="宋体"/>
                <w:color w:val="000000"/>
                <w:kern w:val="0"/>
                <w:sz w:val="24"/>
                <w:szCs w:val="28"/>
              </w:rPr>
            </w:pPr>
            <w:r>
              <w:rPr>
                <w:rFonts w:hint="eastAsia" w:ascii="仿宋_GB2312" w:hAnsi="宋体" w:eastAsia="仿宋_GB2312" w:cs="仿宋_GB2312"/>
                <w:color w:val="000000"/>
                <w:kern w:val="0"/>
                <w:sz w:val="24"/>
                <w:lang w:bidi="ar"/>
              </w:rPr>
              <w:t>满意度指标</w:t>
            </w:r>
          </w:p>
        </w:tc>
        <w:tc>
          <w:tcPr>
            <w:tcW w:w="1880" w:type="dxa"/>
            <w:vAlign w:val="center"/>
          </w:tcPr>
          <w:p w14:paraId="2ECDD3FE">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w:t>
            </w:r>
          </w:p>
        </w:tc>
        <w:tc>
          <w:tcPr>
            <w:tcW w:w="1850" w:type="dxa"/>
            <w:vAlign w:val="center"/>
          </w:tcPr>
          <w:p w14:paraId="2AA4D89F">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150" w:type="dxa"/>
            <w:vAlign w:val="center"/>
          </w:tcPr>
          <w:p w14:paraId="07C18C00">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100.00%</w:t>
            </w:r>
          </w:p>
        </w:tc>
      </w:tr>
      <w:tr w14:paraId="316AC7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2656" w:type="dxa"/>
            <w:shd w:val="clear" w:color="auto" w:fill="BDD6EE"/>
            <w:vAlign w:val="center"/>
          </w:tcPr>
          <w:p w14:paraId="2C086233">
            <w:pPr>
              <w:widowControl/>
              <w:ind w:firstLine="482" w:firstLineChars="200"/>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合计</w:t>
            </w:r>
          </w:p>
        </w:tc>
        <w:tc>
          <w:tcPr>
            <w:tcW w:w="1880" w:type="dxa"/>
            <w:shd w:val="clear" w:color="auto" w:fill="BDD6EE"/>
            <w:vAlign w:val="center"/>
          </w:tcPr>
          <w:p w14:paraId="3AE0C395">
            <w:pPr>
              <w:widowControl/>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100</w:t>
            </w:r>
          </w:p>
        </w:tc>
        <w:tc>
          <w:tcPr>
            <w:tcW w:w="1850" w:type="dxa"/>
            <w:shd w:val="clear" w:color="auto" w:fill="BDD6EE"/>
            <w:vAlign w:val="center"/>
          </w:tcPr>
          <w:p w14:paraId="574A8292">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99.39</w:t>
            </w:r>
          </w:p>
        </w:tc>
        <w:tc>
          <w:tcPr>
            <w:tcW w:w="2150" w:type="dxa"/>
            <w:shd w:val="clear" w:color="auto" w:fill="BDD6EE"/>
            <w:vAlign w:val="center"/>
          </w:tcPr>
          <w:p w14:paraId="0FD7B1E9">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99.39%</w:t>
            </w:r>
          </w:p>
        </w:tc>
      </w:tr>
    </w:tbl>
    <w:p w14:paraId="3B28C5C2">
      <w:pPr>
        <w:pStyle w:val="4"/>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1.项目支出预算执行情况</w:t>
      </w:r>
      <w:bookmarkEnd w:id="58"/>
    </w:p>
    <w:p w14:paraId="1CAEC2F0">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法庭运维费项目年初预算数、全年预算数以及全年执行数均为32万元，预算执行率100%，满分10分，得分10分。</w:t>
      </w:r>
    </w:p>
    <w:p w14:paraId="1DEB82C3">
      <w:pPr>
        <w:pStyle w:val="4"/>
        <w:spacing w:line="360" w:lineRule="auto"/>
        <w:ind w:firstLine="602" w:firstLineChars="200"/>
        <w:rPr>
          <w:rFonts w:ascii="仿宋_GB2312" w:hAnsi="仿宋_GB2312" w:eastAsia="仿宋_GB2312" w:cs="仿宋_GB2312"/>
          <w:sz w:val="30"/>
          <w:szCs w:val="30"/>
        </w:rPr>
      </w:pPr>
      <w:bookmarkStart w:id="59" w:name="_Toc40046041"/>
      <w:r>
        <w:rPr>
          <w:rFonts w:hint="eastAsia" w:ascii="仿宋_GB2312" w:hAnsi="仿宋_GB2312" w:eastAsia="仿宋_GB2312" w:cs="仿宋_GB2312"/>
          <w:sz w:val="30"/>
          <w:szCs w:val="30"/>
        </w:rPr>
        <w:t>2.总体绩效目标完成情况分析</w:t>
      </w:r>
      <w:bookmarkEnd w:id="59"/>
    </w:p>
    <w:p w14:paraId="1E4210D2">
      <w:pPr>
        <w:keepNext/>
        <w:keepLines/>
        <w:spacing w:line="360" w:lineRule="auto"/>
        <w:ind w:firstLine="600" w:firstLineChars="200"/>
        <w:rPr>
          <w:rFonts w:ascii="仿宋_GB2312" w:hAnsi="仿宋_GB2312" w:eastAsia="仿宋_GB2312" w:cs="仿宋_GB2312"/>
          <w:sz w:val="30"/>
          <w:szCs w:val="30"/>
        </w:rPr>
      </w:pPr>
      <w:bookmarkStart w:id="60" w:name="_Toc40046042"/>
      <w:r>
        <w:rPr>
          <w:rFonts w:hint="eastAsia" w:ascii="仿宋_GB2312" w:hAnsi="仿宋_GB2312" w:eastAsia="仿宋_GB2312" w:cs="仿宋_GB2312"/>
          <w:sz w:val="30"/>
          <w:szCs w:val="30"/>
        </w:rPr>
        <w:t>保障我院三岔、新寺、四族</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个法庭的日常运行，支付法庭运转所产生的电费、水费、办公费、维修费等。</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个基层法庭的维护维修等工作在预算范围内及时完成。</w:t>
      </w:r>
    </w:p>
    <w:p w14:paraId="35829809">
      <w:pPr>
        <w:pStyle w:val="4"/>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3.各项指标完成情况分析</w:t>
      </w:r>
      <w:bookmarkEnd w:id="60"/>
    </w:p>
    <w:p w14:paraId="090FDECD">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（1）成本指标</w:t>
      </w:r>
    </w:p>
    <w:p w14:paraId="2BD2C1C7">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成本指标下设经济成本指标一个二级指标。指标分值20分，自评得分20分，得分率100%。指标分值20分，自评得分20分，得分率100%。</w:t>
      </w:r>
    </w:p>
    <w:p w14:paraId="7820D96F">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成本控制情况：</w:t>
      </w:r>
      <w:r>
        <w:rPr>
          <w:rFonts w:hint="eastAsia" w:ascii="仿宋_GB2312" w:hAnsi="仿宋_GB2312" w:eastAsia="仿宋_GB2312" w:cs="仿宋_GB2312"/>
          <w:kern w:val="0"/>
          <w:sz w:val="30"/>
          <w:szCs w:val="30"/>
        </w:rPr>
        <w:t>我院法庭运维费全年预算数和实际支出数均为32万元，成本控制在全年预算数以内，符合年度指标值的要求。</w:t>
      </w:r>
      <w:r>
        <w:rPr>
          <w:rFonts w:hint="eastAsia" w:ascii="仿宋_GB2312" w:hAnsi="仿宋_GB2312" w:eastAsia="仿宋_GB2312" w:cs="仿宋_GB2312"/>
          <w:sz w:val="30"/>
          <w:szCs w:val="30"/>
        </w:rPr>
        <w:t>该指标分值20分，自评得分20分，得分率100%。</w:t>
      </w:r>
    </w:p>
    <w:p w14:paraId="589147B9">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（2）产出指标</w:t>
      </w:r>
    </w:p>
    <w:p w14:paraId="66EA34FD">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产出指标下设数量、质量和时效3个二级指标。指标分值40分，自评得分40分，得分率100%。</w:t>
      </w:r>
    </w:p>
    <w:p w14:paraId="0772570E">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①数量指标</w:t>
      </w:r>
    </w:p>
    <w:p w14:paraId="130F6F81">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数量指标下设5个三级指标，指标分值22.24分，自评得分22.24分，得分率100%。</w:t>
      </w:r>
    </w:p>
    <w:p w14:paraId="40AAA6CC">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保障法庭个数：</w:t>
      </w:r>
      <w:r>
        <w:rPr>
          <w:rFonts w:hint="eastAsia" w:ascii="仿宋_GB2312" w:hAnsi="仿宋_GB2312" w:eastAsia="仿宋_GB2312" w:cs="仿宋_GB2312"/>
          <w:sz w:val="30"/>
          <w:szCs w:val="30"/>
        </w:rPr>
        <w:t>我院保障了三岔、新寺、四族</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个人民法庭的正常运转，改善了我院基层法庭办公、办案条件，为其提供了稳定的经费保障。该指标分值4.44分，自评得分4.44分，得分率100%。</w:t>
      </w:r>
    </w:p>
    <w:p w14:paraId="6B5DD4EF">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法庭设备设施运行维护完成率：</w:t>
      </w:r>
      <w:r>
        <w:rPr>
          <w:rFonts w:hint="eastAsia" w:ascii="仿宋_GB2312" w:hAnsi="仿宋_GB2312" w:eastAsia="仿宋_GB2312" w:cs="仿宋_GB2312"/>
          <w:sz w:val="30"/>
          <w:szCs w:val="30"/>
        </w:rPr>
        <w:t>我院本年度基层法庭设备设施运行维护工作均已完成，工作完成率为100%，指标分值4.44分，自评得分4.44分，得分率100%。</w:t>
      </w:r>
    </w:p>
    <w:p w14:paraId="367C18E2">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法庭水电暖保障工作完成率：</w:t>
      </w:r>
      <w:r>
        <w:rPr>
          <w:rFonts w:hint="eastAsia" w:ascii="仿宋_GB2312" w:hAnsi="仿宋_GB2312" w:eastAsia="仿宋_GB2312" w:cs="仿宋_GB2312"/>
          <w:sz w:val="30"/>
          <w:szCs w:val="30"/>
        </w:rPr>
        <w:t>我院本年度基层法庭水电暖保障工作均已完成，工作完成率100%。指标分值4.48分，自评得分4.48分，得分率100%。</w:t>
      </w:r>
    </w:p>
    <w:p w14:paraId="53EF87B6">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每日清扫次数：</w:t>
      </w:r>
      <w:r>
        <w:rPr>
          <w:rFonts w:hint="eastAsia" w:ascii="仿宋_GB2312" w:hAnsi="仿宋_GB2312" w:eastAsia="仿宋_GB2312" w:cs="仿宋_GB2312"/>
          <w:sz w:val="30"/>
          <w:szCs w:val="30"/>
        </w:rPr>
        <w:t>年度目标值≥1次，实际完成1次。指标分值4.44分，自评得分4.44分，得分率100%。</w:t>
      </w:r>
    </w:p>
    <w:p w14:paraId="3F2B171B">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维护维修工作完成率：</w:t>
      </w:r>
      <w:r>
        <w:rPr>
          <w:rFonts w:hint="eastAsia" w:ascii="仿宋_GB2312" w:hAnsi="仿宋_GB2312" w:eastAsia="仿宋_GB2312" w:cs="仿宋_GB2312"/>
          <w:sz w:val="30"/>
          <w:szCs w:val="30"/>
        </w:rPr>
        <w:t>我院本年度维修维护工作均已完成，工作完成率为100%。指标分值4.44分，自评得分4.44分，得分率100%。</w:t>
      </w:r>
    </w:p>
    <w:p w14:paraId="1BC8013D">
      <w:pPr>
        <w:pStyle w:val="13"/>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②质量指标</w:t>
      </w:r>
    </w:p>
    <w:p w14:paraId="05A2BC7D">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质量指标下设3个三级指标，指标分值13.32分，自评得分13.32分，得分率100%。</w:t>
      </w:r>
    </w:p>
    <w:p w14:paraId="692C11F7">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法庭日常运转稳定率：</w:t>
      </w:r>
      <w:r>
        <w:rPr>
          <w:rFonts w:hint="eastAsia" w:ascii="仿宋_GB2312" w:hAnsi="仿宋_GB2312" w:eastAsia="仿宋_GB2312" w:cs="仿宋_GB2312"/>
          <w:sz w:val="30"/>
          <w:szCs w:val="30"/>
        </w:rPr>
        <w:t>我院本年度法庭日常运转稳定率达到100%，保障了法院工作的正常开展。指标分值4.44分，自评得分4.44分，得分率100%。</w:t>
      </w:r>
    </w:p>
    <w:p w14:paraId="332FAB0A">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设备完好率：</w:t>
      </w:r>
      <w:r>
        <w:rPr>
          <w:rFonts w:hint="eastAsia" w:ascii="仿宋_GB2312" w:hAnsi="仿宋_GB2312" w:eastAsia="仿宋_GB2312" w:cs="仿宋_GB2312"/>
          <w:sz w:val="30"/>
          <w:szCs w:val="30"/>
        </w:rPr>
        <w:t>设备定期进行维修维护，设备完好率达到100%。指标分值4.44分，自评得分4.44分，得分率100%。</w:t>
      </w:r>
    </w:p>
    <w:p w14:paraId="4DEFBA5A">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维修维护验收合格率：</w:t>
      </w:r>
      <w:r>
        <w:rPr>
          <w:rFonts w:hint="eastAsia" w:ascii="仿宋_GB2312" w:hAnsi="仿宋_GB2312" w:eastAsia="仿宋_GB2312" w:cs="仿宋_GB2312"/>
          <w:sz w:val="30"/>
          <w:szCs w:val="30"/>
        </w:rPr>
        <w:t>2023年我院维修维护验收均已合格，验收合格率达到100%。指标分值4.44分，自评得分4.44分，得分率100%。</w:t>
      </w:r>
    </w:p>
    <w:p w14:paraId="06168DC2">
      <w:pPr>
        <w:pStyle w:val="6"/>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③时效指标</w:t>
      </w:r>
    </w:p>
    <w:p w14:paraId="3FA286A9">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时效指标下设1个三级指标，指标分值4.44分，自评得分4.44分，得分率100%。</w:t>
      </w:r>
    </w:p>
    <w:p w14:paraId="61843A9C">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设备设施维修及时性：</w:t>
      </w:r>
      <w:r>
        <w:rPr>
          <w:rFonts w:hint="eastAsia" w:ascii="仿宋_GB2312" w:hAnsi="仿宋_GB2312" w:eastAsia="仿宋_GB2312" w:cs="仿宋_GB2312"/>
          <w:sz w:val="30"/>
          <w:szCs w:val="30"/>
        </w:rPr>
        <w:t>2023年我院设备设施维修工作已按时完成，并全部通过验收。指标分值4.44分，自评得分4.44分，得分率100%。</w:t>
      </w:r>
    </w:p>
    <w:p w14:paraId="6CE3343C">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（3）效益指标</w:t>
      </w:r>
    </w:p>
    <w:p w14:paraId="529923C1">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本项目效益指标主要考虑经济效益、社会效益、生态效益。指标分值20分，自评得分19.39分，得分率96.95%。</w:t>
      </w:r>
    </w:p>
    <w:p w14:paraId="25733332">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经济指标：</w:t>
      </w:r>
      <w:r>
        <w:rPr>
          <w:rFonts w:hint="eastAsia" w:ascii="仿宋_GB2312" w:hAnsi="仿宋_GB2312" w:eastAsia="仿宋_GB2312" w:cs="仿宋_GB2312"/>
          <w:sz w:val="30"/>
          <w:szCs w:val="30"/>
        </w:rPr>
        <w:t>2023年我院积极采用多角度，多元化解决纠纷机制，加大财产保全力度，最大限度的维护当事人的合法权益，执行标的到位率为61.31%。达到了预期目标值，由于系统原因导致扣分。指标分值5分，自评得分4.39分，得分率87.80%。</w:t>
      </w:r>
    </w:p>
    <w:p w14:paraId="4A05759A">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社会效益指标：</w:t>
      </w:r>
      <w:r>
        <w:rPr>
          <w:rFonts w:hint="eastAsia" w:ascii="仿宋_GB2312" w:hAnsi="仿宋_GB2312" w:eastAsia="仿宋_GB2312" w:cs="仿宋_GB2312"/>
          <w:sz w:val="30"/>
          <w:szCs w:val="30"/>
        </w:rPr>
        <w:t>2023年度我院定期维修维保水电暖设施，设备设施维修及时，环境卫生每日清扫。保障了人民法庭的正常运转，提升审判环境整洁性。为我院审判服务提供了有效保障。该指标分值10分，自评得分10分，得分率100%。</w:t>
      </w:r>
    </w:p>
    <w:p w14:paraId="0C04D241">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生态效益指标：</w:t>
      </w:r>
      <w:r>
        <w:rPr>
          <w:rFonts w:hint="eastAsia" w:ascii="仿宋_GB2312" w:hAnsi="仿宋_GB2312" w:eastAsia="仿宋_GB2312" w:cs="仿宋_GB2312"/>
          <w:sz w:val="30"/>
          <w:szCs w:val="30"/>
        </w:rPr>
        <w:t>高耗能设备能耗下降率目标值≥5%，实际完成6%，指标分值5分，自评得分5分，得分率100%。</w:t>
      </w:r>
    </w:p>
    <w:p w14:paraId="44E43DA5">
      <w:pPr>
        <w:numPr>
          <w:ilvl w:val="255"/>
          <w:numId w:val="0"/>
        </w:num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（3）满意度指标</w:t>
      </w:r>
    </w:p>
    <w:p w14:paraId="6857861B">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服务对象满意度主要考察基层派出法庭工作人员满意度，该指标分值合计10分，自评得分10分，得分率100%。</w:t>
      </w:r>
    </w:p>
    <w:p w14:paraId="60486000">
      <w:pPr>
        <w:spacing w:line="360" w:lineRule="auto"/>
        <w:ind w:firstLine="600" w:firstLineChars="200"/>
        <w:rPr>
          <w:rFonts w:ascii="仿宋_GB2312" w:hAnsi="仿宋_GB2312" w:eastAsia="仿宋_GB2312" w:cs="仿宋_GB2312"/>
          <w:sz w:val="30"/>
          <w:szCs w:val="30"/>
        </w:rPr>
      </w:pPr>
      <w:bookmarkStart w:id="61" w:name="_Toc40046043"/>
      <w:r>
        <w:rPr>
          <w:rFonts w:hint="eastAsia" w:ascii="仿宋_GB2312" w:hAnsi="仿宋_GB2312" w:eastAsia="仿宋_GB2312" w:cs="仿宋_GB2312"/>
          <w:sz w:val="30"/>
          <w:szCs w:val="30"/>
        </w:rPr>
        <w:t>该项目的实施，我进一步提高了办公效率，工作环境得到优化改善，后勤保障能力得到提升，基层派出法庭工作人员满意度为</w:t>
      </w:r>
      <w:r>
        <w:rPr>
          <w:rFonts w:hint="eastAsia" w:ascii="仿宋_GB2312" w:hAnsi="仿宋_GB2312" w:eastAsia="仿宋_GB2312" w:cs="仿宋_GB2312"/>
          <w:sz w:val="30"/>
          <w:szCs w:val="30"/>
          <w:lang w:val="en-US" w:eastAsia="zh-CN"/>
        </w:rPr>
        <w:t>92</w:t>
      </w:r>
      <w:r>
        <w:rPr>
          <w:rFonts w:hint="eastAsia" w:ascii="仿宋_GB2312" w:hAnsi="仿宋_GB2312" w:eastAsia="仿宋_GB2312" w:cs="仿宋_GB2312"/>
          <w:sz w:val="30"/>
          <w:szCs w:val="30"/>
        </w:rPr>
        <w:t>%，达到年度指标值。该指标分值10分，自评得分10分，得分率100%</w:t>
      </w:r>
    </w:p>
    <w:p w14:paraId="2064CADB">
      <w:pPr>
        <w:pStyle w:val="4"/>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3.偏离绩效目标的原因及下一步改进措施</w:t>
      </w:r>
      <w:bookmarkEnd w:id="61"/>
    </w:p>
    <w:p w14:paraId="7B98E5C4">
      <w:pPr>
        <w:widowControl/>
        <w:spacing w:line="360" w:lineRule="auto"/>
        <w:ind w:firstLine="600" w:firstLineChars="200"/>
      </w:pPr>
      <w:bookmarkStart w:id="62" w:name="_Toc11920"/>
      <w:bookmarkStart w:id="63" w:name="_Toc6037"/>
      <w:bookmarkStart w:id="64" w:name="_Toc40046044"/>
      <w:bookmarkStart w:id="65" w:name="_Toc7812"/>
      <w:bookmarkStart w:id="66" w:name="_Toc28429"/>
      <w:bookmarkStart w:id="67" w:name="_Toc513"/>
      <w:r>
        <w:rPr>
          <w:rFonts w:hint="eastAsia" w:ascii="仿宋_GB2312" w:hAnsi="仿宋_GB2312" w:eastAsia="仿宋_GB2312" w:cs="仿宋_GB2312"/>
          <w:sz w:val="30"/>
          <w:szCs w:val="30"/>
        </w:rPr>
        <w:t>目标值设置不合理。执行标的到位率年度目标</w:t>
      </w:r>
      <w:r>
        <w:rPr>
          <w:rFonts w:ascii="仿宋_GB2312" w:hAnsi="宋体" w:eastAsia="仿宋_GB2312" w:cs="仿宋_GB2312"/>
          <w:color w:val="000000"/>
          <w:kern w:val="0"/>
          <w:sz w:val="31"/>
          <w:szCs w:val="31"/>
          <w:lang w:bidi="ar"/>
        </w:rPr>
        <w:t>目标值设置偏低，实际完成情况</w:t>
      </w:r>
      <w:r>
        <w:rPr>
          <w:rFonts w:hint="eastAsia" w:ascii="仿宋_GB2312" w:hAnsi="宋体" w:eastAsia="仿宋_GB2312" w:cs="仿宋_GB2312"/>
          <w:color w:val="000000"/>
          <w:kern w:val="0"/>
          <w:sz w:val="31"/>
          <w:szCs w:val="31"/>
          <w:lang w:bidi="ar"/>
        </w:rPr>
        <w:t>超过目标值130%。下一年我院将根据往年指标完成情况及本年度工作计划合理设置目标值。</w:t>
      </w:r>
    </w:p>
    <w:bookmarkEnd w:id="62"/>
    <w:p w14:paraId="2BA434D1">
      <w:pPr>
        <w:pStyle w:val="3"/>
        <w:spacing w:before="0" w:after="0" w:line="360" w:lineRule="auto"/>
        <w:ind w:firstLine="643" w:firstLineChars="200"/>
        <w:rPr>
          <w:rFonts w:cs="楷体"/>
        </w:rPr>
      </w:pPr>
      <w:bookmarkStart w:id="68" w:name="_Toc31489"/>
      <w:r>
        <w:rPr>
          <w:rFonts w:hint="eastAsia" w:cs="楷体"/>
        </w:rPr>
        <w:t>（二）</w:t>
      </w:r>
      <w:bookmarkEnd w:id="63"/>
      <w:bookmarkEnd w:id="64"/>
      <w:r>
        <w:rPr>
          <w:rFonts w:hint="eastAsia" w:cs="楷体"/>
        </w:rPr>
        <w:t>业务费</w:t>
      </w:r>
      <w:bookmarkEnd w:id="65"/>
      <w:bookmarkEnd w:id="66"/>
      <w:bookmarkEnd w:id="67"/>
      <w:bookmarkEnd w:id="68"/>
    </w:p>
    <w:p w14:paraId="010D6B38">
      <w:pPr>
        <w:keepNext/>
        <w:keepLines/>
        <w:spacing w:line="360" w:lineRule="auto"/>
        <w:ind w:firstLine="600" w:firstLineChars="200"/>
        <w:rPr>
          <w:rFonts w:ascii="仿宋_GB2312" w:hAnsi="仿宋_GB2312" w:eastAsia="仿宋_GB2312" w:cs="仿宋_GB2312"/>
          <w:sz w:val="30"/>
          <w:szCs w:val="30"/>
        </w:rPr>
      </w:pPr>
      <w:bookmarkStart w:id="69" w:name="_Toc18806"/>
      <w:bookmarkStart w:id="70" w:name="_Toc22570"/>
      <w:bookmarkStart w:id="71" w:name="_Toc40046064"/>
      <w:bookmarkStart w:id="72" w:name="_Toc3777"/>
      <w:bookmarkStart w:id="73" w:name="_Toc1889"/>
      <w:bookmarkStart w:id="74" w:name="_Toc7144"/>
      <w:bookmarkStart w:id="75" w:name="_Toc40046065"/>
      <w:r>
        <w:rPr>
          <w:rFonts w:hint="eastAsia" w:ascii="仿宋_GB2312" w:hAnsi="仿宋_GB2312" w:eastAsia="仿宋_GB2312" w:cs="仿宋_GB2312"/>
          <w:sz w:val="30"/>
          <w:szCs w:val="30"/>
        </w:rPr>
        <w:t>本次绩效自评综合评定2023年业务费项目支出绩效得分为97.39分，绩效等级为“优”。项目支出绩效评价包括项目资金预算执行率、成本、产出、效益、满意度五个一级指标，下设8个二级指标和29个三级指标。项目资金预算执行率100%，一级指标得分情况详见下表 ：</w:t>
      </w:r>
    </w:p>
    <w:tbl>
      <w:tblPr>
        <w:tblStyle w:val="16"/>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30"/>
        <w:gridCol w:w="1582"/>
        <w:gridCol w:w="1571"/>
        <w:gridCol w:w="2036"/>
      </w:tblGrid>
      <w:tr w14:paraId="0666EB9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0CF5A0EA">
            <w:pPr>
              <w:widowControl/>
              <w:ind w:firstLine="482" w:firstLineChars="200"/>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一级指标</w:t>
            </w:r>
          </w:p>
        </w:tc>
        <w:tc>
          <w:tcPr>
            <w:tcW w:w="928" w:type="pct"/>
            <w:shd w:val="clear" w:color="auto" w:fill="BDD6EE"/>
            <w:vAlign w:val="center"/>
          </w:tcPr>
          <w:p w14:paraId="5716849F">
            <w:pPr>
              <w:widowControl/>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分值</w:t>
            </w:r>
          </w:p>
        </w:tc>
        <w:tc>
          <w:tcPr>
            <w:tcW w:w="922" w:type="pct"/>
            <w:shd w:val="clear" w:color="auto" w:fill="BDD6EE"/>
            <w:vAlign w:val="center"/>
          </w:tcPr>
          <w:p w14:paraId="5FF52C15">
            <w:pPr>
              <w:widowControl/>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自评得分</w:t>
            </w:r>
          </w:p>
        </w:tc>
        <w:tc>
          <w:tcPr>
            <w:tcW w:w="1194" w:type="pct"/>
            <w:shd w:val="clear" w:color="auto" w:fill="BDD6EE"/>
            <w:vAlign w:val="center"/>
          </w:tcPr>
          <w:p w14:paraId="1C0D3024">
            <w:pPr>
              <w:widowControl/>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得分率</w:t>
            </w:r>
          </w:p>
        </w:tc>
      </w:tr>
      <w:tr w14:paraId="45C74CD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1954" w:type="pct"/>
            <w:vAlign w:val="center"/>
          </w:tcPr>
          <w:p w14:paraId="4C63781F">
            <w:pPr>
              <w:widowControl/>
              <w:ind w:firstLine="480" w:firstLineChars="200"/>
              <w:jc w:val="left"/>
              <w:textAlignment w:val="center"/>
              <w:rPr>
                <w:rFonts w:hAnsi="宋体" w:cs="宋体"/>
                <w:color w:val="000000"/>
                <w:kern w:val="0"/>
                <w:sz w:val="24"/>
                <w:szCs w:val="28"/>
              </w:rPr>
            </w:pPr>
            <w:r>
              <w:rPr>
                <w:rFonts w:hint="eastAsia" w:ascii="仿宋_GB2312" w:hAnsi="宋体" w:eastAsia="仿宋_GB2312" w:cs="仿宋_GB2312"/>
                <w:color w:val="000000"/>
                <w:kern w:val="0"/>
                <w:sz w:val="24"/>
                <w:lang w:bidi="ar"/>
              </w:rPr>
              <w:t>预算执行率</w:t>
            </w:r>
          </w:p>
        </w:tc>
        <w:tc>
          <w:tcPr>
            <w:tcW w:w="928" w:type="pct"/>
            <w:vAlign w:val="center"/>
          </w:tcPr>
          <w:p w14:paraId="4C807441">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w:t>
            </w:r>
          </w:p>
        </w:tc>
        <w:tc>
          <w:tcPr>
            <w:tcW w:w="922" w:type="pct"/>
            <w:vAlign w:val="center"/>
          </w:tcPr>
          <w:p w14:paraId="3A9C09D4">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w:t>
            </w:r>
          </w:p>
        </w:tc>
        <w:tc>
          <w:tcPr>
            <w:tcW w:w="1194" w:type="pct"/>
            <w:vAlign w:val="center"/>
          </w:tcPr>
          <w:p w14:paraId="6DAA58A7">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100.00%</w:t>
            </w:r>
          </w:p>
        </w:tc>
      </w:tr>
      <w:tr w14:paraId="306AE1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1954" w:type="pct"/>
            <w:vAlign w:val="center"/>
          </w:tcPr>
          <w:p w14:paraId="6034D563">
            <w:pPr>
              <w:widowControl/>
              <w:ind w:firstLine="480" w:firstLineChars="200"/>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成本指标</w:t>
            </w:r>
          </w:p>
        </w:tc>
        <w:tc>
          <w:tcPr>
            <w:tcW w:w="928" w:type="pct"/>
            <w:vAlign w:val="center"/>
          </w:tcPr>
          <w:p w14:paraId="38A9C572">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922" w:type="pct"/>
            <w:vAlign w:val="center"/>
          </w:tcPr>
          <w:p w14:paraId="56FFEFCE">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1194" w:type="pct"/>
            <w:vAlign w:val="center"/>
          </w:tcPr>
          <w:p w14:paraId="6AC993F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100.00%</w:t>
            </w:r>
          </w:p>
        </w:tc>
      </w:tr>
      <w:tr w14:paraId="22AC19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0CBCD27F">
            <w:pPr>
              <w:widowControl/>
              <w:ind w:firstLine="480" w:firstLineChars="200"/>
              <w:jc w:val="left"/>
              <w:textAlignment w:val="center"/>
              <w:rPr>
                <w:rFonts w:hAnsi="宋体" w:eastAsia="仿宋_GB2312" w:cs="宋体"/>
                <w:color w:val="000000"/>
                <w:kern w:val="0"/>
                <w:sz w:val="24"/>
                <w:szCs w:val="28"/>
              </w:rPr>
            </w:pPr>
            <w:r>
              <w:rPr>
                <w:rFonts w:hint="eastAsia" w:ascii="仿宋_GB2312" w:hAnsi="宋体" w:eastAsia="仿宋_GB2312" w:cs="仿宋_GB2312"/>
                <w:color w:val="000000"/>
                <w:kern w:val="0"/>
                <w:sz w:val="24"/>
                <w:lang w:bidi="ar"/>
              </w:rPr>
              <w:t>产出指标</w:t>
            </w:r>
          </w:p>
        </w:tc>
        <w:tc>
          <w:tcPr>
            <w:tcW w:w="928" w:type="pct"/>
            <w:vAlign w:val="center"/>
          </w:tcPr>
          <w:p w14:paraId="05CEFA34">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40</w:t>
            </w:r>
          </w:p>
        </w:tc>
        <w:tc>
          <w:tcPr>
            <w:tcW w:w="922" w:type="pct"/>
            <w:vAlign w:val="center"/>
          </w:tcPr>
          <w:p w14:paraId="11D7A012">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39</w:t>
            </w:r>
          </w:p>
        </w:tc>
        <w:tc>
          <w:tcPr>
            <w:tcW w:w="1194" w:type="pct"/>
            <w:vAlign w:val="center"/>
          </w:tcPr>
          <w:p w14:paraId="566E633B">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97.50%</w:t>
            </w:r>
          </w:p>
        </w:tc>
      </w:tr>
      <w:tr w14:paraId="7ACDC0E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6B30797D">
            <w:pPr>
              <w:widowControl/>
              <w:ind w:firstLine="480" w:firstLineChars="200"/>
              <w:jc w:val="left"/>
              <w:textAlignment w:val="center"/>
              <w:rPr>
                <w:rFonts w:hAnsi="宋体" w:eastAsia="仿宋_GB2312" w:cs="宋体"/>
                <w:color w:val="000000"/>
                <w:kern w:val="0"/>
                <w:sz w:val="24"/>
                <w:szCs w:val="28"/>
              </w:rPr>
            </w:pPr>
            <w:r>
              <w:rPr>
                <w:rFonts w:hint="eastAsia" w:ascii="仿宋_GB2312" w:hAnsi="宋体" w:eastAsia="仿宋_GB2312" w:cs="仿宋_GB2312"/>
                <w:color w:val="000000"/>
                <w:kern w:val="0"/>
                <w:sz w:val="24"/>
                <w:lang w:bidi="ar"/>
              </w:rPr>
              <w:t>效益指标</w:t>
            </w:r>
          </w:p>
        </w:tc>
        <w:tc>
          <w:tcPr>
            <w:tcW w:w="928" w:type="pct"/>
            <w:vAlign w:val="center"/>
          </w:tcPr>
          <w:p w14:paraId="40305969">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20</w:t>
            </w:r>
          </w:p>
        </w:tc>
        <w:tc>
          <w:tcPr>
            <w:tcW w:w="922" w:type="pct"/>
            <w:vAlign w:val="center"/>
          </w:tcPr>
          <w:p w14:paraId="5E2C8E39">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18.39</w:t>
            </w:r>
          </w:p>
        </w:tc>
        <w:tc>
          <w:tcPr>
            <w:tcW w:w="1194" w:type="pct"/>
            <w:vAlign w:val="center"/>
          </w:tcPr>
          <w:p w14:paraId="06D8AFB4">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91.95%</w:t>
            </w:r>
          </w:p>
        </w:tc>
      </w:tr>
      <w:tr w14:paraId="31B14F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vAlign w:val="center"/>
          </w:tcPr>
          <w:p w14:paraId="0DAFA2AE">
            <w:pPr>
              <w:widowControl/>
              <w:ind w:firstLine="480" w:firstLineChars="200"/>
              <w:jc w:val="left"/>
              <w:textAlignment w:val="center"/>
              <w:rPr>
                <w:rFonts w:hAnsi="宋体" w:eastAsia="仿宋_GB2312" w:cs="宋体"/>
                <w:color w:val="000000"/>
                <w:kern w:val="0"/>
                <w:sz w:val="24"/>
                <w:szCs w:val="28"/>
              </w:rPr>
            </w:pPr>
            <w:r>
              <w:rPr>
                <w:rFonts w:hint="eastAsia" w:ascii="仿宋_GB2312" w:hAnsi="宋体" w:eastAsia="仿宋_GB2312" w:cs="仿宋_GB2312"/>
                <w:color w:val="000000"/>
                <w:kern w:val="0"/>
                <w:sz w:val="24"/>
                <w:lang w:bidi="ar"/>
              </w:rPr>
              <w:t>满意度指标</w:t>
            </w:r>
          </w:p>
        </w:tc>
        <w:tc>
          <w:tcPr>
            <w:tcW w:w="928" w:type="pct"/>
            <w:vAlign w:val="center"/>
          </w:tcPr>
          <w:p w14:paraId="74D612F9">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w:t>
            </w:r>
          </w:p>
        </w:tc>
        <w:tc>
          <w:tcPr>
            <w:tcW w:w="922" w:type="pct"/>
            <w:vAlign w:val="center"/>
          </w:tcPr>
          <w:p w14:paraId="2A5F51EE">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w:t>
            </w:r>
          </w:p>
        </w:tc>
        <w:tc>
          <w:tcPr>
            <w:tcW w:w="1194" w:type="pct"/>
            <w:vAlign w:val="center"/>
          </w:tcPr>
          <w:p w14:paraId="48046ABB">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100.00%</w:t>
            </w:r>
          </w:p>
        </w:tc>
      </w:tr>
      <w:tr w14:paraId="25E61C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1954" w:type="pct"/>
            <w:shd w:val="clear" w:color="auto" w:fill="BDD6EE"/>
            <w:vAlign w:val="center"/>
          </w:tcPr>
          <w:p w14:paraId="365744A0">
            <w:pPr>
              <w:widowControl/>
              <w:ind w:firstLine="482" w:firstLineChars="200"/>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合计</w:t>
            </w:r>
          </w:p>
        </w:tc>
        <w:tc>
          <w:tcPr>
            <w:tcW w:w="928" w:type="pct"/>
            <w:shd w:val="clear" w:color="auto" w:fill="BDD6EE"/>
            <w:vAlign w:val="center"/>
          </w:tcPr>
          <w:p w14:paraId="64EDA8C8">
            <w:pPr>
              <w:widowControl/>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100</w:t>
            </w:r>
          </w:p>
        </w:tc>
        <w:tc>
          <w:tcPr>
            <w:tcW w:w="922" w:type="pct"/>
            <w:shd w:val="clear" w:color="auto" w:fill="BDD6EE"/>
            <w:vAlign w:val="center"/>
          </w:tcPr>
          <w:p w14:paraId="523F5D6A">
            <w:pPr>
              <w:widowControl/>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97.39</w:t>
            </w:r>
          </w:p>
        </w:tc>
        <w:tc>
          <w:tcPr>
            <w:tcW w:w="1194" w:type="pct"/>
            <w:shd w:val="clear" w:color="auto" w:fill="BDD6EE"/>
            <w:vAlign w:val="center"/>
          </w:tcPr>
          <w:p w14:paraId="23BB5476">
            <w:pPr>
              <w:widowControl/>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97.39%</w:t>
            </w:r>
          </w:p>
        </w:tc>
      </w:tr>
    </w:tbl>
    <w:p w14:paraId="6152D317">
      <w:pPr>
        <w:pStyle w:val="4"/>
        <w:keepNext w:val="0"/>
        <w:keepLines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1.项目支出预算执行情况</w:t>
      </w:r>
    </w:p>
    <w:p w14:paraId="53C2AB64">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业务费项目年初预算数为135万元，全年预算数和全年执行数均为150万元，预算执行率100%，满分10分，得分10分。</w:t>
      </w:r>
    </w:p>
    <w:p w14:paraId="3293CA8A">
      <w:pPr>
        <w:pStyle w:val="4"/>
        <w:keepNext w:val="0"/>
        <w:keepLines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2.总体绩效目标完成情况分析</w:t>
      </w:r>
    </w:p>
    <w:p w14:paraId="29F77683">
      <w:pPr>
        <w:pStyle w:val="4"/>
        <w:keepNext w:val="0"/>
        <w:keepLines w:val="0"/>
        <w:spacing w:line="360" w:lineRule="auto"/>
        <w:ind w:firstLine="600" w:firstLineChars="200"/>
        <w:rPr>
          <w:rFonts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通过业务费项目的实施，较好的发挥审判职能作用，提高办案水平和审判质效，一审服判息诉率达85%以上，法定审限内结案率达98%以上，提升法院公信力和人民满意度，更好地维护国家法制、法律的权威、公平和正义。加强资金使用效率，完成各项设备的购置工作、物业服务保障工作和各项维修维护工作，保障法院审判执行业务正常运转和重点工作的开展。</w:t>
      </w:r>
    </w:p>
    <w:p w14:paraId="3FC24D1C">
      <w:pPr>
        <w:pStyle w:val="4"/>
        <w:keepNext w:val="0"/>
        <w:keepLines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3.各项指标完成情况分析</w:t>
      </w:r>
    </w:p>
    <w:p w14:paraId="123D8AE4">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（1）成本指标</w:t>
      </w:r>
    </w:p>
    <w:p w14:paraId="45E62C0B">
      <w:pPr>
        <w:keepNext/>
        <w:keepLines/>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成本指标下设经济成本1个二级指标，指标分值20分，得分20分，得分率100%。</w:t>
      </w:r>
    </w:p>
    <w:p w14:paraId="3CE6E5F1">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成本控制情况：</w:t>
      </w:r>
      <w:r>
        <w:rPr>
          <w:rFonts w:hint="eastAsia" w:ascii="仿宋_GB2312" w:hAnsi="仿宋_GB2312" w:eastAsia="仿宋_GB2312" w:cs="仿宋_GB2312"/>
          <w:sz w:val="30"/>
          <w:szCs w:val="30"/>
        </w:rPr>
        <w:t>我院业务费全年预算数和实际支出数均为150万元，</w:t>
      </w:r>
      <w:r>
        <w:rPr>
          <w:rFonts w:hint="eastAsia" w:ascii="仿宋_GB2312" w:hAnsi="仿宋_GB2312" w:eastAsia="仿宋_GB2312" w:cs="仿宋_GB2312"/>
          <w:kern w:val="0"/>
          <w:sz w:val="30"/>
          <w:szCs w:val="30"/>
        </w:rPr>
        <w:t>成本控制在全年预算数以内，符合年度指标值的要求。</w:t>
      </w:r>
      <w:r>
        <w:rPr>
          <w:rFonts w:hint="eastAsia" w:ascii="仿宋_GB2312" w:hAnsi="仿宋_GB2312" w:eastAsia="仿宋_GB2312" w:cs="仿宋_GB2312"/>
          <w:sz w:val="30"/>
          <w:szCs w:val="30"/>
        </w:rPr>
        <w:t>该指标分值20分，自评得分20分，得分率100%。</w:t>
      </w:r>
    </w:p>
    <w:p w14:paraId="3AA83C61">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（2）产出指标</w:t>
      </w:r>
    </w:p>
    <w:p w14:paraId="3A88D989">
      <w:pPr>
        <w:keepNext/>
        <w:keepLines/>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产出指标下设数量、质量和时效3个二级指标。指标分值40分，得分39分，得分率97.50%。</w:t>
      </w:r>
    </w:p>
    <w:p w14:paraId="60C5E146">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①数量指标</w:t>
      </w:r>
    </w:p>
    <w:p w14:paraId="33EE2F71">
      <w:pPr>
        <w:keepNext/>
        <w:keepLines/>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数量指标下设7个三级指标，指标分值14分，自评得分14分，得分率100%。</w:t>
      </w:r>
    </w:p>
    <w:p w14:paraId="65DD4BDF">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民商事案件审结率：</w:t>
      </w:r>
      <w:r>
        <w:rPr>
          <w:rFonts w:hint="eastAsia" w:ascii="仿宋_GB2312" w:hAnsi="仿宋_GB2312" w:eastAsia="仿宋_GB2312" w:cs="仿宋_GB2312"/>
          <w:sz w:val="30"/>
          <w:szCs w:val="30"/>
        </w:rPr>
        <w:t>年度目标≥95%，实际完成98.09%，该指标分值2分，自评得分2分，得分率100%。</w:t>
      </w:r>
    </w:p>
    <w:p w14:paraId="3E3A6782">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设备购置工作完成率：</w:t>
      </w:r>
      <w:r>
        <w:rPr>
          <w:rFonts w:hint="eastAsia" w:ascii="仿宋_GB2312" w:hAnsi="仿宋_GB2312" w:eastAsia="仿宋_GB2312" w:cs="仿宋_GB2312"/>
          <w:sz w:val="30"/>
          <w:szCs w:val="30"/>
        </w:rPr>
        <w:t>本年度我院设备购置工作均已完成，完成率100%。该指标分值2分，自评得分2分，得分率100%。</w:t>
      </w:r>
    </w:p>
    <w:p w14:paraId="1A1CD241">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维修维护工作完成率：</w:t>
      </w:r>
      <w:r>
        <w:rPr>
          <w:rFonts w:hint="eastAsia" w:ascii="仿宋_GB2312" w:hAnsi="仿宋_GB2312" w:eastAsia="仿宋_GB2312" w:cs="仿宋_GB2312"/>
          <w:sz w:val="30"/>
          <w:szCs w:val="30"/>
        </w:rPr>
        <w:t>本年度我院维修维护工作均已完成，完成率100%。该指标分值2分，自评得分2分，得分率100%。</w:t>
      </w:r>
    </w:p>
    <w:p w14:paraId="2FD38BB8">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物业服务工作完成率：</w:t>
      </w:r>
      <w:r>
        <w:rPr>
          <w:rFonts w:hint="eastAsia" w:ascii="仿宋_GB2312" w:hAnsi="仿宋_GB2312" w:eastAsia="仿宋_GB2312" w:cs="仿宋_GB2312"/>
          <w:sz w:val="30"/>
          <w:szCs w:val="30"/>
        </w:rPr>
        <w:t>本年度我院物业服务工作圆满完成，完成率100%。该指标2分，自评得分2分，得分率100%。</w:t>
      </w:r>
    </w:p>
    <w:p w14:paraId="4B7E0506">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刑事案件审结率：</w:t>
      </w:r>
      <w:r>
        <w:rPr>
          <w:rFonts w:hint="eastAsia" w:ascii="仿宋_GB2312" w:hAnsi="仿宋_GB2312" w:eastAsia="仿宋_GB2312" w:cs="仿宋_GB2312"/>
          <w:sz w:val="30"/>
          <w:szCs w:val="30"/>
        </w:rPr>
        <w:t>年度目标≥9</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%，实际完成96.39%，该指标2分，自评得分2分，得分率100%。</w:t>
      </w:r>
    </w:p>
    <w:p w14:paraId="4212A437">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行政案件审结率：</w:t>
      </w:r>
      <w:r>
        <w:rPr>
          <w:rFonts w:hint="eastAsia" w:ascii="仿宋_GB2312" w:hAnsi="仿宋_GB2312" w:eastAsia="仿宋_GB2312" w:cs="仿宋_GB2312"/>
          <w:sz w:val="30"/>
          <w:szCs w:val="30"/>
        </w:rPr>
        <w:t>年度目标≥98%，实际完成98.09%，该指标2分，自评得分2分，得分率100%。</w:t>
      </w:r>
    </w:p>
    <w:p w14:paraId="3F05C726">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执行案件结案率：</w:t>
      </w:r>
      <w:r>
        <w:rPr>
          <w:rFonts w:hint="eastAsia" w:ascii="仿宋_GB2312" w:hAnsi="仿宋_GB2312" w:eastAsia="仿宋_GB2312" w:cs="仿宋_GB2312"/>
          <w:sz w:val="30"/>
          <w:szCs w:val="30"/>
        </w:rPr>
        <w:t>年度目标≥95%，实际完成98.52%，该指标2分，自评得分2分，得分率100%。</w:t>
      </w:r>
    </w:p>
    <w:p w14:paraId="23CC1061">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②质量指标</w:t>
      </w:r>
    </w:p>
    <w:p w14:paraId="00BE095D">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质量指标下设7个三级指标，指标分值14分，自评得分13分，得分率</w:t>
      </w:r>
      <w:r>
        <w:rPr>
          <w:rFonts w:hint="eastAsia" w:ascii="仿宋_GB2312" w:hAnsi="仿宋_GB2312" w:eastAsia="仿宋_GB2312" w:cs="仿宋_GB2312"/>
          <w:sz w:val="30"/>
          <w:szCs w:val="30"/>
          <w:lang w:val="en-US" w:eastAsia="zh-CN"/>
        </w:rPr>
        <w:t>92.86</w:t>
      </w:r>
      <w:r>
        <w:rPr>
          <w:rFonts w:hint="eastAsia" w:ascii="仿宋_GB2312" w:hAnsi="仿宋_GB2312" w:eastAsia="仿宋_GB2312" w:cs="仿宋_GB2312"/>
          <w:sz w:val="30"/>
          <w:szCs w:val="30"/>
        </w:rPr>
        <w:t>%。</w:t>
      </w:r>
    </w:p>
    <w:p w14:paraId="6453728C">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当场登记立案率：</w:t>
      </w:r>
      <w:r>
        <w:rPr>
          <w:rFonts w:hint="eastAsia" w:ascii="仿宋_GB2312" w:hAnsi="仿宋_GB2312" w:eastAsia="仿宋_GB2312" w:cs="仿宋_GB2312"/>
          <w:sz w:val="30"/>
          <w:szCs w:val="30"/>
        </w:rPr>
        <w:t>年度目标≥60%，实际完成86.70%，该指标分值2分，自评得分1.92分，得分率96%。</w:t>
      </w:r>
    </w:p>
    <w:p w14:paraId="060D19B1">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购置设备质量验收合格率：</w:t>
      </w:r>
      <w:r>
        <w:rPr>
          <w:rFonts w:hint="eastAsia" w:ascii="仿宋_GB2312" w:hAnsi="仿宋_GB2312" w:eastAsia="仿宋_GB2312" w:cs="仿宋_GB2312"/>
          <w:sz w:val="30"/>
          <w:szCs w:val="30"/>
        </w:rPr>
        <w:t>本年度我院购置设备均通过验收，质量验收合格率100%。该指标2分，自评得分2分，得分率100%。</w:t>
      </w:r>
    </w:p>
    <w:p w14:paraId="123264D0">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上诉案件改判率：</w:t>
      </w:r>
      <w:r>
        <w:rPr>
          <w:rFonts w:hint="eastAsia" w:ascii="仿宋_GB2312" w:hAnsi="仿宋_GB2312" w:eastAsia="仿宋_GB2312" w:cs="仿宋_GB2312"/>
          <w:sz w:val="30"/>
          <w:szCs w:val="30"/>
        </w:rPr>
        <w:t>年度目标≤35%，实际完成18.90%。该指标2分，自评得分1.08分，得分率54%。</w:t>
      </w:r>
    </w:p>
    <w:p w14:paraId="611620BF">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设备完好率：</w:t>
      </w:r>
      <w:r>
        <w:rPr>
          <w:rFonts w:hint="eastAsia" w:ascii="仿宋_GB2312" w:hAnsi="仿宋_GB2312" w:eastAsia="仿宋_GB2312" w:cs="仿宋_GB2312"/>
          <w:sz w:val="30"/>
          <w:szCs w:val="30"/>
        </w:rPr>
        <w:t>设备定期进行维修维护，设备完好率达到</w:t>
      </w:r>
      <w:r>
        <w:rPr>
          <w:rFonts w:hint="eastAsia" w:ascii="仿宋_GB2312" w:hAnsi="仿宋_GB2312" w:eastAsia="仿宋_GB2312" w:cs="仿宋_GB2312"/>
          <w:sz w:val="30"/>
          <w:szCs w:val="30"/>
          <w:lang w:val="en-US" w:eastAsia="zh-CN"/>
        </w:rPr>
        <w:t>96</w:t>
      </w:r>
      <w:r>
        <w:rPr>
          <w:rFonts w:hint="eastAsia" w:ascii="仿宋_GB2312" w:hAnsi="仿宋_GB2312" w:eastAsia="仿宋_GB2312" w:cs="仿宋_GB2312"/>
          <w:sz w:val="30"/>
          <w:szCs w:val="30"/>
        </w:rPr>
        <w:t>%。该指标分值2分，自评得分2分，得分率100%。</w:t>
      </w:r>
    </w:p>
    <w:p w14:paraId="5FAE6A50">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庭审直播率：</w:t>
      </w:r>
      <w:r>
        <w:rPr>
          <w:rFonts w:hint="eastAsia" w:ascii="仿宋_GB2312" w:hAnsi="仿宋_GB2312" w:eastAsia="仿宋_GB2312" w:cs="仿宋_GB2312"/>
          <w:sz w:val="30"/>
          <w:szCs w:val="30"/>
        </w:rPr>
        <w:t>年度目标≥80%，实际完成81.42%，该指标2分，自评得分2分，得分率100%。</w:t>
      </w:r>
    </w:p>
    <w:p w14:paraId="128A0F8B">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物业服务保障工作达标率：</w:t>
      </w:r>
      <w:r>
        <w:rPr>
          <w:rFonts w:hint="eastAsia" w:ascii="仿宋_GB2312" w:hAnsi="仿宋_GB2312" w:eastAsia="仿宋_GB2312" w:cs="仿宋_GB2312"/>
          <w:sz w:val="30"/>
          <w:szCs w:val="30"/>
        </w:rPr>
        <w:t>本年度我院物业服务保障工作圆满完成，达标率100%。该指标2分，自评得分2分，得分率100%。</w:t>
      </w:r>
    </w:p>
    <w:p w14:paraId="76940441">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一审服判息诉率：</w:t>
      </w:r>
      <w:r>
        <w:rPr>
          <w:rFonts w:hint="eastAsia" w:ascii="仿宋_GB2312" w:hAnsi="仿宋_GB2312" w:eastAsia="仿宋_GB2312" w:cs="仿宋_GB2312"/>
          <w:sz w:val="30"/>
          <w:szCs w:val="30"/>
        </w:rPr>
        <w:t>年度目标≥85%，实际完成92.16%，该指标分值2分，自评得分2分，得分率100%。</w:t>
      </w:r>
    </w:p>
    <w:p w14:paraId="078A4B4B">
      <w:pPr>
        <w:pStyle w:val="6"/>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③时效指标</w:t>
      </w:r>
    </w:p>
    <w:p w14:paraId="5230CE9A">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时效指标下设6个三级指标，指标分值12分，自评得分12分，得分率100%。</w:t>
      </w:r>
    </w:p>
    <w:p w14:paraId="0897B251">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法定审限内结案率：</w:t>
      </w:r>
      <w:r>
        <w:rPr>
          <w:rFonts w:hint="eastAsia" w:ascii="仿宋_GB2312" w:hAnsi="仿宋_GB2312" w:eastAsia="仿宋_GB2312" w:cs="仿宋_GB2312"/>
          <w:sz w:val="30"/>
          <w:szCs w:val="30"/>
        </w:rPr>
        <w:t>2023年我院法定审限内结案率为100%，审判效率较高。该指标分值2分，自评得分2分，得分率100%。</w:t>
      </w:r>
    </w:p>
    <w:p w14:paraId="456D92C5">
      <w:pPr>
        <w:pStyle w:val="5"/>
        <w:keepNext w:val="0"/>
        <w:keepLines w:val="0"/>
        <w:pageBreakBefore w:val="0"/>
        <w:widowControl w:val="0"/>
        <w:kinsoku/>
        <w:wordWrap/>
        <w:overflowPunct/>
        <w:topLinePunct w:val="0"/>
        <w:autoSpaceDE/>
        <w:autoSpaceDN/>
        <w:bidi w:val="0"/>
        <w:adjustRightInd/>
        <w:snapToGrid/>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kern w:val="2"/>
          <w:sz w:val="30"/>
          <w:szCs w:val="30"/>
          <w:lang w:val="en-US" w:eastAsia="zh-CN" w:bidi="ar-SA"/>
        </w:rPr>
        <w:t>设备购置工作完成及时性</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2023年度我院</w:t>
      </w:r>
      <w:r>
        <w:rPr>
          <w:rFonts w:hint="eastAsia" w:ascii="仿宋_GB2312" w:hAnsi="仿宋_GB2312" w:eastAsia="仿宋_GB2312" w:cs="仿宋_GB2312"/>
          <w:sz w:val="30"/>
          <w:szCs w:val="30"/>
          <w:lang w:val="en-US" w:eastAsia="zh-CN"/>
        </w:rPr>
        <w:t>设备购置</w:t>
      </w:r>
      <w:r>
        <w:rPr>
          <w:rFonts w:hint="eastAsia" w:ascii="仿宋_GB2312" w:hAnsi="仿宋_GB2312" w:eastAsia="仿宋_GB2312" w:cs="仿宋_GB2312"/>
          <w:sz w:val="30"/>
          <w:szCs w:val="30"/>
        </w:rPr>
        <w:t>工作已按时完成，并全部通过验收。该指标分值2分，自评得分2分，得分率100%。</w:t>
      </w:r>
    </w:p>
    <w:p w14:paraId="588302ED">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审判案件工作完成及时性：</w:t>
      </w:r>
      <w:r>
        <w:rPr>
          <w:rFonts w:hint="eastAsia" w:ascii="仿宋_GB2312" w:hAnsi="仿宋_GB2312" w:eastAsia="仿宋_GB2312" w:cs="仿宋_GB2312"/>
          <w:sz w:val="30"/>
          <w:szCs w:val="30"/>
        </w:rPr>
        <w:t>2023年度我院各项案件审判工作及时完成，该指标分值2分，自评得分2分，得分率100%。</w:t>
      </w:r>
    </w:p>
    <w:p w14:paraId="55EADF58">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受理案件工作完成及时性：</w:t>
      </w:r>
      <w:r>
        <w:rPr>
          <w:rFonts w:hint="eastAsia" w:ascii="仿宋_GB2312" w:hAnsi="仿宋_GB2312" w:eastAsia="仿宋_GB2312" w:cs="仿宋_GB2312"/>
          <w:sz w:val="30"/>
          <w:szCs w:val="30"/>
        </w:rPr>
        <w:t>2023年度我院各项案件受理工作及时完成，该指标分值2分，自评得分2分，得分率100%。</w:t>
      </w:r>
    </w:p>
    <w:p w14:paraId="2EC67320">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维修维护工作开展及时性：</w:t>
      </w:r>
      <w:r>
        <w:rPr>
          <w:rFonts w:hint="eastAsia" w:ascii="仿宋_GB2312" w:hAnsi="仿宋_GB2312" w:eastAsia="仿宋_GB2312" w:cs="仿宋_GB2312"/>
          <w:sz w:val="30"/>
          <w:szCs w:val="30"/>
        </w:rPr>
        <w:t>2023年度我院维修维护工作及时开展，该指标分值2分，自评得分2分，得分率100%。</w:t>
      </w:r>
    </w:p>
    <w:p w14:paraId="2AE3F0B7">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物业服务保障及时性：</w:t>
      </w:r>
      <w:r>
        <w:rPr>
          <w:rFonts w:hint="eastAsia" w:ascii="仿宋_GB2312" w:hAnsi="仿宋_GB2312" w:eastAsia="仿宋_GB2312" w:cs="仿宋_GB2312"/>
          <w:sz w:val="30"/>
          <w:szCs w:val="30"/>
        </w:rPr>
        <w:t>2023年度我院物业服务保障工作及时，该指标分值2分，自评得分2分，得分率100%。</w:t>
      </w:r>
    </w:p>
    <w:p w14:paraId="2060E9B4">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（2）效益指标</w:t>
      </w:r>
    </w:p>
    <w:p w14:paraId="5C3938E8">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本项目效益指标主要考虑经济效益、社会效益和生态效益三部分。指标分值20分，自评得分18.39分，得分率91.95%。</w:t>
      </w:r>
    </w:p>
    <w:p w14:paraId="2FF00B45">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经济效益指标：</w:t>
      </w:r>
      <w:r>
        <w:rPr>
          <w:rFonts w:hint="eastAsia" w:ascii="仿宋_GB2312" w:hAnsi="仿宋_GB2312" w:eastAsia="仿宋_GB2312" w:cs="仿宋_GB2312"/>
          <w:sz w:val="30"/>
          <w:szCs w:val="30"/>
        </w:rPr>
        <w:t>我院持续攻坚执行难题。坚持高效公正规范文明执行，受理执行案件1418件，执结1397件，结案率98.52%，执行到位金额1.08亿元，结案率、执行到位率分别居全市第一、第二位。该指标分值6.68分，自评得分6.27分，得分率93.86%。</w:t>
      </w:r>
    </w:p>
    <w:p w14:paraId="29243A43">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社会效益指标：</w:t>
      </w:r>
      <w:r>
        <w:rPr>
          <w:rFonts w:hint="eastAsia" w:ascii="仿宋_GB2312" w:hAnsi="仿宋_GB2312" w:eastAsia="仿宋_GB2312" w:cs="仿宋_GB2312"/>
          <w:sz w:val="30"/>
          <w:szCs w:val="30"/>
        </w:rPr>
        <w:t>2023年我院坚持和谐司法，促进案结事了，民事案件调解撤诉率51.42%，一审案件陪审率61.31%。</w:t>
      </w:r>
      <w:r>
        <w:rPr>
          <w:rFonts w:hint="eastAsia" w:ascii="仿宋_GB2312" w:hAnsi="仿宋_GB2312" w:eastAsia="仿宋_GB2312" w:cs="仿宋_GB2312"/>
          <w:kern w:val="0"/>
          <w:sz w:val="30"/>
          <w:szCs w:val="30"/>
        </w:rPr>
        <w:t>该指标分值9.99分，自评得分8.79分，得分率87.99%。</w:t>
      </w:r>
    </w:p>
    <w:p w14:paraId="7994F438">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生态效益：</w:t>
      </w:r>
      <w:r>
        <w:rPr>
          <w:rFonts w:hint="eastAsia" w:ascii="仿宋_GB2312" w:hAnsi="仿宋_GB2312" w:eastAsia="仿宋_GB2312" w:cs="仿宋_GB2312"/>
          <w:kern w:val="0"/>
          <w:sz w:val="30"/>
          <w:szCs w:val="30"/>
        </w:rPr>
        <w:t>我院依法惩治环境资源刑事犯罪，织密生态环境司法保护网，打击生态犯罪，有效维护生态秩序。该指标分值3.33分，自评得分3.33分，得分率100%。</w:t>
      </w:r>
    </w:p>
    <w:p w14:paraId="71EFD0F5">
      <w:pPr>
        <w:numPr>
          <w:ilvl w:val="255"/>
          <w:numId w:val="0"/>
        </w:num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（3）满意度指标</w:t>
      </w:r>
    </w:p>
    <w:p w14:paraId="6BCA40AA">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根据我院向社会提供公共产品和服务的主要对象，服务对象满意度主要为法院工作人员、人民群众满意度，该指标分值10分，自评得分10分，得分率100%。</w:t>
      </w:r>
    </w:p>
    <w:p w14:paraId="2C62A205">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人民群众满意度：</w:t>
      </w:r>
      <w:r>
        <w:rPr>
          <w:rFonts w:hint="eastAsia" w:ascii="仿宋_GB2312" w:hAnsi="仿宋_GB2312" w:eastAsia="仿宋_GB2312" w:cs="仿宋_GB2312"/>
          <w:sz w:val="30"/>
          <w:szCs w:val="30"/>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人民群众满意度为</w:t>
      </w:r>
      <w:r>
        <w:rPr>
          <w:rFonts w:hint="eastAsia" w:ascii="仿宋_GB2312" w:hAnsi="仿宋_GB2312" w:eastAsia="仿宋_GB2312" w:cs="仿宋_GB2312"/>
          <w:sz w:val="30"/>
          <w:szCs w:val="30"/>
          <w:lang w:val="en-US" w:eastAsia="zh-CN"/>
        </w:rPr>
        <w:t>95</w:t>
      </w:r>
      <w:r>
        <w:rPr>
          <w:rFonts w:hint="eastAsia" w:ascii="仿宋_GB2312" w:hAnsi="仿宋_GB2312" w:eastAsia="仿宋_GB2312" w:cs="仿宋_GB2312"/>
          <w:sz w:val="30"/>
          <w:szCs w:val="30"/>
        </w:rPr>
        <w:t>%。该指标分值5分，自评得分5分，得分率100%。</w:t>
      </w:r>
    </w:p>
    <w:p w14:paraId="0EDBB4CC">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工作人员满意度：</w:t>
      </w:r>
      <w:r>
        <w:rPr>
          <w:rFonts w:hint="eastAsia" w:ascii="仿宋_GB2312" w:hAnsi="仿宋_GB2312" w:eastAsia="仿宋_GB2312" w:cs="仿宋_GB2312"/>
          <w:sz w:val="30"/>
          <w:szCs w:val="30"/>
        </w:rPr>
        <w:t>2023年我院在案件的审判上，细化工作举措，层层压实责任，确保查漏补缺工作落实到位，保障工作人员办案质量要求和业务能力水平的提升，法院工作人员满意度为</w:t>
      </w:r>
      <w:r>
        <w:rPr>
          <w:rFonts w:hint="eastAsia" w:ascii="仿宋_GB2312" w:hAnsi="仿宋_GB2312" w:eastAsia="仿宋_GB2312" w:cs="仿宋_GB2312"/>
          <w:sz w:val="30"/>
          <w:szCs w:val="30"/>
          <w:lang w:val="en-US" w:eastAsia="zh-CN"/>
        </w:rPr>
        <w:t>80</w:t>
      </w:r>
      <w:r>
        <w:rPr>
          <w:rFonts w:hint="eastAsia" w:ascii="仿宋_GB2312" w:hAnsi="仿宋_GB2312" w:eastAsia="仿宋_GB2312" w:cs="仿宋_GB2312"/>
          <w:sz w:val="30"/>
          <w:szCs w:val="30"/>
        </w:rPr>
        <w:t>%。该指标分值5分，自评得分5分，得分率100%。</w:t>
      </w:r>
    </w:p>
    <w:p w14:paraId="02E512C3">
      <w:pPr>
        <w:pStyle w:val="4"/>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4.偏离绩效目标的原因及下一步改进措施</w:t>
      </w:r>
    </w:p>
    <w:p w14:paraId="200FE50F">
      <w:pPr>
        <w:spacing w:line="360" w:lineRule="auto"/>
        <w:ind w:firstLine="600" w:firstLineChars="200"/>
      </w:pPr>
      <w:bookmarkStart w:id="76" w:name="_Toc6529"/>
      <w:bookmarkStart w:id="77" w:name="_Toc20300"/>
      <w:r>
        <w:rPr>
          <w:rFonts w:hint="eastAsia" w:ascii="仿宋_GB2312" w:hAnsi="仿宋_GB2312" w:eastAsia="仿宋_GB2312" w:cs="仿宋_GB2312"/>
          <w:sz w:val="30"/>
          <w:szCs w:val="30"/>
        </w:rPr>
        <w:t>目标值设置不合理：</w:t>
      </w:r>
      <w:r>
        <w:rPr>
          <w:rFonts w:hint="eastAsia" w:ascii="仿宋_GB2312" w:hAnsi="仿宋_GB2312" w:eastAsia="仿宋_GB2312" w:cs="仿宋_GB2312"/>
          <w:kern w:val="0"/>
          <w:sz w:val="30"/>
          <w:szCs w:val="30"/>
        </w:rPr>
        <w:t>当场登记立案率年度目标&gt;=60%，实际完成86.70%；指标目标值设置偏低，实际完成情况超过目标值130%。一审案件陪审率&gt;=96%，实际完成61.31%；上诉案件改判率年度目标&lt;=35%，实际完成18.90%，因指标目标值设置偏高，未达到年度目标值。下一年我院将根据往年指标完成情况及本年度工作计划合理设置目标值。</w:t>
      </w:r>
    </w:p>
    <w:p w14:paraId="5BB2D7B8">
      <w:pPr>
        <w:pStyle w:val="2"/>
        <w:spacing w:before="0" w:after="0"/>
      </w:pPr>
      <w:r>
        <w:rPr>
          <w:rFonts w:hint="eastAsia" w:cs="黑体"/>
          <w:szCs w:val="32"/>
        </w:rPr>
        <w:t>五、部门管理的省对市县转移支付绩效自评情况分析</w:t>
      </w:r>
      <w:bookmarkEnd w:id="69"/>
      <w:bookmarkEnd w:id="70"/>
      <w:bookmarkEnd w:id="71"/>
      <w:bookmarkEnd w:id="72"/>
      <w:bookmarkEnd w:id="73"/>
      <w:bookmarkEnd w:id="76"/>
      <w:bookmarkEnd w:id="77"/>
      <w:r>
        <w:rPr>
          <w:rFonts w:hint="eastAsia" w:cs="黑体"/>
          <w:szCs w:val="32"/>
        </w:rPr>
        <w:tab/>
      </w:r>
    </w:p>
    <w:p w14:paraId="2BAA6251">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2023年，我院转移支付自评项目为1个，通过自评，结果为“优”，自评情况分析如下：</w:t>
      </w:r>
    </w:p>
    <w:p w14:paraId="38E22DC4">
      <w:pPr>
        <w:pStyle w:val="3"/>
        <w:spacing w:before="0" w:after="0" w:line="360" w:lineRule="auto"/>
        <w:ind w:firstLine="643"/>
      </w:pPr>
      <w:bookmarkStart w:id="78" w:name="_Toc14917"/>
      <w:bookmarkStart w:id="79" w:name="_Toc6868"/>
      <w:bookmarkStart w:id="80" w:name="_Toc12566"/>
      <w:bookmarkStart w:id="81" w:name="_Toc31419"/>
      <w:r>
        <w:rPr>
          <w:rFonts w:hint="eastAsia"/>
        </w:rPr>
        <w:t>（一）中央政法转移支付资金</w:t>
      </w:r>
      <w:bookmarkEnd w:id="78"/>
      <w:bookmarkEnd w:id="79"/>
      <w:bookmarkEnd w:id="80"/>
      <w:bookmarkEnd w:id="81"/>
    </w:p>
    <w:p w14:paraId="654BC1A5">
      <w:pPr>
        <w:spacing w:line="360" w:lineRule="auto"/>
        <w:ind w:firstLine="600" w:firstLineChars="200"/>
        <w:rPr>
          <w:rFonts w:ascii="仿宋_GB2312" w:hAnsi="仿宋_GB2312" w:eastAsia="仿宋_GB2312" w:cs="仿宋_GB2312"/>
          <w:sz w:val="30"/>
          <w:szCs w:val="30"/>
        </w:rPr>
      </w:pPr>
      <w:bookmarkStart w:id="82" w:name="_Toc32543"/>
      <w:bookmarkStart w:id="83" w:name="_Toc26665"/>
      <w:bookmarkStart w:id="84" w:name="_Toc6252"/>
      <w:r>
        <w:rPr>
          <w:rFonts w:hint="eastAsia" w:ascii="仿宋_GB2312" w:hAnsi="仿宋_GB2312" w:eastAsia="仿宋_GB2312" w:cs="仿宋_GB2312"/>
          <w:sz w:val="30"/>
          <w:szCs w:val="30"/>
        </w:rPr>
        <w:t>本次绩效自评综合评定2023年中央政法转移支付资金支出绩效得分为94.27分，绩效等级为“优”。项目支出绩效评价包括项目资金预算执行率、成本、产出、效益、满意度五个一级指标，下设8个二级指标和29个三级指标。项目资金预算执行率100%，一级指标得分情况详见下表 ：</w:t>
      </w:r>
    </w:p>
    <w:tbl>
      <w:tblPr>
        <w:tblStyle w:val="16"/>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92"/>
        <w:gridCol w:w="1658"/>
        <w:gridCol w:w="1821"/>
        <w:gridCol w:w="2268"/>
      </w:tblGrid>
      <w:tr w14:paraId="3270A9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92" w:type="dxa"/>
            <w:shd w:val="clear" w:color="auto" w:fill="BDD6EE"/>
            <w:vAlign w:val="center"/>
          </w:tcPr>
          <w:p w14:paraId="7C35430F">
            <w:pPr>
              <w:widowControl/>
              <w:ind w:firstLine="482" w:firstLineChars="200"/>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一级指标</w:t>
            </w:r>
          </w:p>
        </w:tc>
        <w:tc>
          <w:tcPr>
            <w:tcW w:w="1658" w:type="dxa"/>
            <w:shd w:val="clear" w:color="auto" w:fill="BDD6EE"/>
            <w:vAlign w:val="center"/>
          </w:tcPr>
          <w:p w14:paraId="76E70B01">
            <w:pPr>
              <w:widowControl/>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分值</w:t>
            </w:r>
          </w:p>
        </w:tc>
        <w:tc>
          <w:tcPr>
            <w:tcW w:w="1821" w:type="dxa"/>
            <w:shd w:val="clear" w:color="auto" w:fill="BDD6EE"/>
            <w:vAlign w:val="center"/>
          </w:tcPr>
          <w:p w14:paraId="56D01A06">
            <w:pPr>
              <w:widowControl/>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自评得分</w:t>
            </w:r>
          </w:p>
        </w:tc>
        <w:tc>
          <w:tcPr>
            <w:tcW w:w="2268" w:type="dxa"/>
            <w:shd w:val="clear" w:color="auto" w:fill="BDD6EE"/>
            <w:vAlign w:val="center"/>
          </w:tcPr>
          <w:p w14:paraId="3B7914E7">
            <w:pPr>
              <w:widowControl/>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得分率</w:t>
            </w:r>
          </w:p>
        </w:tc>
      </w:tr>
      <w:tr w14:paraId="2CBEED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92" w:type="dxa"/>
            <w:vAlign w:val="center"/>
          </w:tcPr>
          <w:p w14:paraId="21A4B5D7">
            <w:pPr>
              <w:widowControl/>
              <w:ind w:firstLine="480" w:firstLineChars="200"/>
              <w:jc w:val="left"/>
              <w:textAlignment w:val="center"/>
              <w:rPr>
                <w:rFonts w:hAnsi="宋体" w:cs="宋体"/>
                <w:color w:val="000000"/>
                <w:kern w:val="0"/>
                <w:sz w:val="24"/>
                <w:szCs w:val="28"/>
              </w:rPr>
            </w:pPr>
            <w:r>
              <w:rPr>
                <w:rFonts w:hint="eastAsia" w:ascii="仿宋_GB2312" w:hAnsi="宋体" w:eastAsia="仿宋_GB2312" w:cs="仿宋_GB2312"/>
                <w:color w:val="000000"/>
                <w:kern w:val="0"/>
                <w:sz w:val="24"/>
                <w:lang w:bidi="ar"/>
              </w:rPr>
              <w:t>预算执行率</w:t>
            </w:r>
          </w:p>
        </w:tc>
        <w:tc>
          <w:tcPr>
            <w:tcW w:w="1658" w:type="dxa"/>
            <w:vAlign w:val="center"/>
          </w:tcPr>
          <w:p w14:paraId="0E83B071">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w:t>
            </w:r>
          </w:p>
        </w:tc>
        <w:tc>
          <w:tcPr>
            <w:tcW w:w="1821" w:type="dxa"/>
            <w:vAlign w:val="center"/>
          </w:tcPr>
          <w:p w14:paraId="03B5B0E9">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68" w:type="dxa"/>
            <w:vAlign w:val="center"/>
          </w:tcPr>
          <w:p w14:paraId="5B21AEB5">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100.00%</w:t>
            </w:r>
          </w:p>
        </w:tc>
      </w:tr>
      <w:tr w14:paraId="1961A1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92" w:type="dxa"/>
            <w:vAlign w:val="center"/>
          </w:tcPr>
          <w:p w14:paraId="40DDADC5">
            <w:pPr>
              <w:widowControl/>
              <w:ind w:firstLine="480" w:firstLineChars="200"/>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成本指标</w:t>
            </w:r>
          </w:p>
        </w:tc>
        <w:tc>
          <w:tcPr>
            <w:tcW w:w="1658" w:type="dxa"/>
            <w:vAlign w:val="center"/>
          </w:tcPr>
          <w:p w14:paraId="2A1701B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1821" w:type="dxa"/>
            <w:vAlign w:val="center"/>
          </w:tcPr>
          <w:p w14:paraId="43A898E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2268" w:type="dxa"/>
            <w:vAlign w:val="center"/>
          </w:tcPr>
          <w:p w14:paraId="6F8970D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rPr>
              <w:t>100.00%</w:t>
            </w:r>
          </w:p>
        </w:tc>
      </w:tr>
      <w:tr w14:paraId="32E6F9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92" w:type="dxa"/>
            <w:vAlign w:val="center"/>
          </w:tcPr>
          <w:p w14:paraId="47654061">
            <w:pPr>
              <w:widowControl/>
              <w:ind w:firstLine="480" w:firstLineChars="200"/>
              <w:jc w:val="left"/>
              <w:textAlignment w:val="center"/>
              <w:rPr>
                <w:rFonts w:hAnsi="宋体" w:eastAsia="仿宋_GB2312" w:cs="宋体"/>
                <w:color w:val="000000"/>
                <w:kern w:val="0"/>
                <w:sz w:val="24"/>
                <w:szCs w:val="28"/>
              </w:rPr>
            </w:pPr>
            <w:r>
              <w:rPr>
                <w:rFonts w:hint="eastAsia" w:ascii="仿宋_GB2312" w:hAnsi="宋体" w:eastAsia="仿宋_GB2312" w:cs="仿宋_GB2312"/>
                <w:color w:val="000000"/>
                <w:kern w:val="0"/>
                <w:sz w:val="24"/>
                <w:lang w:bidi="ar"/>
              </w:rPr>
              <w:t>产出指标</w:t>
            </w:r>
          </w:p>
        </w:tc>
        <w:tc>
          <w:tcPr>
            <w:tcW w:w="1658" w:type="dxa"/>
            <w:vAlign w:val="center"/>
          </w:tcPr>
          <w:p w14:paraId="44A8C87B">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40</w:t>
            </w:r>
          </w:p>
        </w:tc>
        <w:tc>
          <w:tcPr>
            <w:tcW w:w="1821" w:type="dxa"/>
            <w:vAlign w:val="center"/>
          </w:tcPr>
          <w:p w14:paraId="4537660F">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35.88</w:t>
            </w:r>
          </w:p>
        </w:tc>
        <w:tc>
          <w:tcPr>
            <w:tcW w:w="2268" w:type="dxa"/>
            <w:vAlign w:val="center"/>
          </w:tcPr>
          <w:p w14:paraId="597D3774">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89.70%</w:t>
            </w:r>
          </w:p>
        </w:tc>
      </w:tr>
      <w:tr w14:paraId="363B9F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92" w:type="dxa"/>
            <w:vAlign w:val="center"/>
          </w:tcPr>
          <w:p w14:paraId="4D5D1AE1">
            <w:pPr>
              <w:widowControl/>
              <w:ind w:firstLine="480" w:firstLineChars="200"/>
              <w:jc w:val="left"/>
              <w:textAlignment w:val="center"/>
              <w:rPr>
                <w:rFonts w:hAnsi="宋体" w:eastAsia="仿宋_GB2312" w:cs="宋体"/>
                <w:color w:val="000000"/>
                <w:kern w:val="0"/>
                <w:sz w:val="24"/>
                <w:szCs w:val="28"/>
              </w:rPr>
            </w:pPr>
            <w:r>
              <w:rPr>
                <w:rFonts w:hint="eastAsia" w:ascii="仿宋_GB2312" w:hAnsi="宋体" w:eastAsia="仿宋_GB2312" w:cs="仿宋_GB2312"/>
                <w:color w:val="000000"/>
                <w:kern w:val="0"/>
                <w:sz w:val="24"/>
                <w:lang w:bidi="ar"/>
              </w:rPr>
              <w:t>效益指标</w:t>
            </w:r>
          </w:p>
        </w:tc>
        <w:tc>
          <w:tcPr>
            <w:tcW w:w="1658" w:type="dxa"/>
            <w:vAlign w:val="center"/>
          </w:tcPr>
          <w:p w14:paraId="73B3E91E">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20</w:t>
            </w:r>
          </w:p>
        </w:tc>
        <w:tc>
          <w:tcPr>
            <w:tcW w:w="1821" w:type="dxa"/>
            <w:vAlign w:val="center"/>
          </w:tcPr>
          <w:p w14:paraId="5D31737C">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18.39</w:t>
            </w:r>
          </w:p>
        </w:tc>
        <w:tc>
          <w:tcPr>
            <w:tcW w:w="2268" w:type="dxa"/>
            <w:vAlign w:val="center"/>
          </w:tcPr>
          <w:p w14:paraId="15B6D2A1">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91.95%</w:t>
            </w:r>
          </w:p>
        </w:tc>
      </w:tr>
      <w:tr w14:paraId="5BFA7E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92" w:type="dxa"/>
            <w:vAlign w:val="center"/>
          </w:tcPr>
          <w:p w14:paraId="6630933A">
            <w:pPr>
              <w:widowControl/>
              <w:ind w:firstLine="480" w:firstLineChars="200"/>
              <w:jc w:val="left"/>
              <w:textAlignment w:val="center"/>
              <w:rPr>
                <w:rFonts w:hAnsi="宋体" w:eastAsia="仿宋_GB2312" w:cs="宋体"/>
                <w:color w:val="000000"/>
                <w:kern w:val="0"/>
                <w:sz w:val="24"/>
                <w:szCs w:val="28"/>
              </w:rPr>
            </w:pPr>
            <w:r>
              <w:rPr>
                <w:rFonts w:hint="eastAsia" w:ascii="仿宋_GB2312" w:hAnsi="宋体" w:eastAsia="仿宋_GB2312" w:cs="仿宋_GB2312"/>
                <w:color w:val="000000"/>
                <w:kern w:val="0"/>
                <w:sz w:val="24"/>
                <w:lang w:bidi="ar"/>
              </w:rPr>
              <w:t>满意度指标</w:t>
            </w:r>
          </w:p>
        </w:tc>
        <w:tc>
          <w:tcPr>
            <w:tcW w:w="1658" w:type="dxa"/>
            <w:vAlign w:val="center"/>
          </w:tcPr>
          <w:p w14:paraId="0BAF9DF8">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w:t>
            </w:r>
          </w:p>
        </w:tc>
        <w:tc>
          <w:tcPr>
            <w:tcW w:w="1821" w:type="dxa"/>
            <w:vAlign w:val="center"/>
          </w:tcPr>
          <w:p w14:paraId="2C532B2C">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68" w:type="dxa"/>
            <w:vAlign w:val="center"/>
          </w:tcPr>
          <w:p w14:paraId="6CBA2569">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100.00%</w:t>
            </w:r>
          </w:p>
        </w:tc>
      </w:tr>
      <w:tr w14:paraId="51A3B3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92" w:type="dxa"/>
            <w:shd w:val="clear" w:color="auto" w:fill="BDD6EE"/>
            <w:vAlign w:val="center"/>
          </w:tcPr>
          <w:p w14:paraId="363E8E7A">
            <w:pPr>
              <w:widowControl/>
              <w:ind w:firstLine="482" w:firstLineChars="200"/>
              <w:jc w:val="center"/>
              <w:textAlignment w:val="center"/>
              <w:rPr>
                <w:rFonts w:ascii="宋体" w:hAnsi="宋体" w:cs="宋体"/>
                <w:b/>
                <w:color w:val="000000"/>
                <w:kern w:val="0"/>
                <w:sz w:val="24"/>
                <w:shd w:val="clear" w:color="auto" w:fill="BDD6EE"/>
              </w:rPr>
            </w:pPr>
            <w:r>
              <w:rPr>
                <w:rFonts w:hint="eastAsia" w:ascii="仿宋_GB2312" w:hAnsi="宋体" w:eastAsia="仿宋_GB2312" w:cs="仿宋_GB2312"/>
                <w:b/>
                <w:bCs/>
                <w:color w:val="000000"/>
                <w:kern w:val="0"/>
                <w:sz w:val="24"/>
                <w:lang w:bidi="ar"/>
              </w:rPr>
              <w:t>合计</w:t>
            </w:r>
          </w:p>
        </w:tc>
        <w:tc>
          <w:tcPr>
            <w:tcW w:w="1658" w:type="dxa"/>
            <w:shd w:val="clear" w:color="auto" w:fill="BDD6EE"/>
            <w:vAlign w:val="center"/>
          </w:tcPr>
          <w:p w14:paraId="121797F2">
            <w:pPr>
              <w:widowControl/>
              <w:jc w:val="center"/>
              <w:textAlignment w:val="center"/>
              <w:rPr>
                <w:rFonts w:ascii="宋体" w:hAnsi="宋体" w:eastAsia="宋体" w:cs="宋体"/>
                <w:b/>
                <w:color w:val="000000"/>
                <w:kern w:val="0"/>
                <w:sz w:val="22"/>
                <w:szCs w:val="22"/>
              </w:rPr>
            </w:pPr>
            <w:r>
              <w:rPr>
                <w:rFonts w:hint="eastAsia" w:ascii="宋体" w:hAnsi="宋体" w:eastAsia="宋体" w:cs="宋体"/>
                <w:b/>
                <w:bCs/>
                <w:color w:val="000000"/>
                <w:kern w:val="0"/>
                <w:sz w:val="22"/>
                <w:szCs w:val="22"/>
                <w:lang w:bidi="ar"/>
              </w:rPr>
              <w:t>100</w:t>
            </w:r>
          </w:p>
        </w:tc>
        <w:tc>
          <w:tcPr>
            <w:tcW w:w="1821" w:type="dxa"/>
            <w:shd w:val="clear" w:color="auto" w:fill="BDD6EE"/>
            <w:vAlign w:val="center"/>
          </w:tcPr>
          <w:p w14:paraId="6A7FAF48">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94.27</w:t>
            </w:r>
          </w:p>
        </w:tc>
        <w:tc>
          <w:tcPr>
            <w:tcW w:w="2268" w:type="dxa"/>
            <w:shd w:val="clear" w:color="auto" w:fill="BDD6EE"/>
            <w:vAlign w:val="center"/>
          </w:tcPr>
          <w:p w14:paraId="11F819E8">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94.27%</w:t>
            </w:r>
          </w:p>
        </w:tc>
      </w:tr>
    </w:tbl>
    <w:p w14:paraId="77939EBD">
      <w:pPr>
        <w:pStyle w:val="4"/>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1.项目支出预算执行情况</w:t>
      </w:r>
    </w:p>
    <w:p w14:paraId="496B6D2E">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中央政法转移支付项目年初预算数为201.00万元，全年预算数和全年执行数均为335.00万元，预算执行率100%，满分10分，得分10分。</w:t>
      </w:r>
    </w:p>
    <w:p w14:paraId="626CEBDF">
      <w:pPr>
        <w:pStyle w:val="4"/>
        <w:keepNext w:val="0"/>
        <w:keepLines w:val="0"/>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2.总体绩效目标完成情况分析</w:t>
      </w:r>
    </w:p>
    <w:p w14:paraId="2C181713">
      <w:pPr>
        <w:pStyle w:val="4"/>
        <w:keepNext w:val="0"/>
        <w:keepLines w:val="0"/>
        <w:spacing w:line="360" w:lineRule="auto"/>
        <w:ind w:firstLine="600" w:firstLineChars="200"/>
        <w:rPr>
          <w:rFonts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通过中央政法转移支付资金项目的实施完成全年办公设备和专用设备采购工作，采购设备质量验收合格率达100%，加强了基层法庭建设工作，促进案件审判及法院各项事业运转提供有力保障。积极发挥转移支付资金的使用效益，弥补办案经费补助的问题，按时完成室外显示屏建设工作，不断提高办案水平和审判质效，结案率达95%以上，一审服判息诉率指标达85%以上，化解社会矛盾，维护经济秩序，为辖区的发展提供有力的司法保障。</w:t>
      </w:r>
    </w:p>
    <w:p w14:paraId="7DF0B15D">
      <w:pPr>
        <w:pStyle w:val="4"/>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3.各项指标完成情况分析</w:t>
      </w:r>
    </w:p>
    <w:p w14:paraId="1402C65B">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（1）成本指标</w:t>
      </w:r>
    </w:p>
    <w:p w14:paraId="1734DA0A">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成本指标下设经济成本指标1个二级指标。指标分值20分，自评得分20分，得分率100%。</w:t>
      </w:r>
    </w:p>
    <w:p w14:paraId="3CFB6E6E">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成本控制情况：</w:t>
      </w:r>
      <w:r>
        <w:rPr>
          <w:rFonts w:hint="eastAsia" w:ascii="仿宋_GB2312" w:hAnsi="仿宋_GB2312" w:eastAsia="仿宋_GB2312" w:cs="仿宋_GB2312"/>
          <w:sz w:val="30"/>
          <w:szCs w:val="30"/>
        </w:rPr>
        <w:t>我院中央政法转移支付资金全年预算数和实际支出数均为335万元，成本控制在全年预算数以内，符合年度指标值的要求。该指标分值20分，自评得分20分，得分率100%。</w:t>
      </w:r>
    </w:p>
    <w:p w14:paraId="75D2A4FA">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（2）产出指标</w:t>
      </w:r>
    </w:p>
    <w:p w14:paraId="60DA9D6B">
      <w:pPr>
        <w:pStyle w:val="5"/>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产出指标下设数量、质量和时效3个二级指标。指标分值40分，自评得35.88分，得分率89.70%</w:t>
      </w:r>
    </w:p>
    <w:p w14:paraId="046388FF">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①数量指标</w:t>
      </w:r>
    </w:p>
    <w:p w14:paraId="5FD2EBDC">
      <w:pPr>
        <w:pStyle w:val="5"/>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数量指标下设6个三级指标，指标分值13.36分，自评得分10.50分，得分率78.59%。</w:t>
      </w:r>
    </w:p>
    <w:p w14:paraId="58A70601">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购置办公办案设备：</w:t>
      </w:r>
      <w:r>
        <w:rPr>
          <w:rFonts w:hint="eastAsia" w:ascii="仿宋_GB2312" w:hAnsi="仿宋_GB2312" w:eastAsia="仿宋_GB2312" w:cs="仿宋_GB2312"/>
          <w:sz w:val="30"/>
          <w:szCs w:val="30"/>
        </w:rPr>
        <w:t>2023年度我院购置办公设备46个，达到年度目标值。该指标2.22分，自评得分2.22分，得分率100%。</w:t>
      </w:r>
    </w:p>
    <w:p w14:paraId="6CEB791B">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开展法制宣传活动次数：</w:t>
      </w:r>
      <w:r>
        <w:rPr>
          <w:rFonts w:hint="eastAsia" w:ascii="仿宋_GB2312" w:hAnsi="仿宋_GB2312" w:eastAsia="仿宋_GB2312" w:cs="仿宋_GB2312"/>
          <w:sz w:val="30"/>
          <w:szCs w:val="30"/>
        </w:rPr>
        <w:t>2023年度我院开展法制宣传活动23次，该指标2.22分，自评得分1.62分，得分率72.97%。</w:t>
      </w:r>
    </w:p>
    <w:p w14:paraId="2F642896">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开展培训次数：</w:t>
      </w:r>
      <w:r>
        <w:rPr>
          <w:rFonts w:hint="eastAsia" w:ascii="仿宋_GB2312" w:hAnsi="仿宋_GB2312" w:eastAsia="仿宋_GB2312" w:cs="仿宋_GB2312"/>
          <w:sz w:val="30"/>
          <w:szCs w:val="30"/>
        </w:rPr>
        <w:t>2023年度我院开展各项培训73次，该指标2.26分，自评得分0分，得分率</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w:t>
      </w:r>
    </w:p>
    <w:p w14:paraId="7F9A3A0C">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审判案件工作完成情况：</w:t>
      </w:r>
      <w:r>
        <w:rPr>
          <w:rFonts w:hint="eastAsia" w:ascii="仿宋_GB2312" w:hAnsi="仿宋_GB2312" w:eastAsia="仿宋_GB2312" w:cs="仿宋_GB2312"/>
          <w:sz w:val="30"/>
          <w:szCs w:val="30"/>
        </w:rPr>
        <w:t>2023年度我院各项审判案件工作及时完成，完成率100%，该指标2.22分，自评得分2.22分，得分率100%。</w:t>
      </w:r>
    </w:p>
    <w:p w14:paraId="27C74F7C">
      <w:pPr>
        <w:spacing w:line="360" w:lineRule="auto"/>
        <w:ind w:firstLine="602" w:firstLineChars="200"/>
        <w:rPr>
          <w:rFonts w:ascii="仿宋_GB2312" w:hAnsi="仿宋_GB2312" w:eastAsia="仿宋_GB2312" w:cs="仿宋_GB2312"/>
          <w:sz w:val="30"/>
          <w:szCs w:val="30"/>
        </w:rPr>
      </w:pPr>
      <w:r>
        <w:rPr>
          <w:rFonts w:ascii="仿宋_GB2312" w:hAnsi="仿宋_GB2312" w:eastAsia="仿宋_GB2312" w:cs="仿宋_GB2312"/>
          <w:b/>
          <w:bCs/>
          <w:sz w:val="30"/>
          <w:szCs w:val="30"/>
        </w:rPr>
        <w:t>受理案件工作完成情况</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2023年度我院各项案件受理及时，完成率100%。该指标2.22分，自评得分2.22分，得分率100%。</w:t>
      </w:r>
    </w:p>
    <w:p w14:paraId="5E67148E">
      <w:pPr>
        <w:spacing w:line="360" w:lineRule="auto"/>
        <w:ind w:firstLine="602" w:firstLineChars="200"/>
        <w:rPr>
          <w:rFonts w:ascii="仿宋_GB2312" w:hAnsi="仿宋_GB2312" w:eastAsia="仿宋_GB2312" w:cs="仿宋_GB2312"/>
          <w:sz w:val="30"/>
          <w:szCs w:val="30"/>
        </w:rPr>
      </w:pPr>
      <w:r>
        <w:rPr>
          <w:rFonts w:ascii="仿宋_GB2312" w:hAnsi="仿宋_GB2312" w:eastAsia="仿宋_GB2312" w:cs="仿宋_GB2312"/>
          <w:b/>
          <w:bCs/>
          <w:sz w:val="30"/>
          <w:szCs w:val="30"/>
        </w:rPr>
        <w:t>维修维护工作完成率</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2023年我院维修维护工作已完成，完成率100%。该指标2.22分，自评得分2.22分，得分率100%。</w:t>
      </w:r>
    </w:p>
    <w:p w14:paraId="39819E08">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②质量指标</w:t>
      </w:r>
    </w:p>
    <w:p w14:paraId="20EF6521">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质量指标下设7个三级指标，指标分值15.54分，自评得分14.28分，得分率91.89%。</w:t>
      </w:r>
    </w:p>
    <w:p w14:paraId="196C5159">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采购设备质量验收合格率：</w:t>
      </w:r>
      <w:r>
        <w:rPr>
          <w:rFonts w:hint="eastAsia" w:ascii="仿宋_GB2312" w:hAnsi="仿宋_GB2312" w:eastAsia="仿宋_GB2312" w:cs="仿宋_GB2312"/>
          <w:sz w:val="30"/>
          <w:szCs w:val="30"/>
        </w:rPr>
        <w:t>我院采购设备已全部通过验收，质量验收合格率100%。该指标2</w:t>
      </w:r>
      <w:bookmarkStart w:id="94" w:name="_GoBack"/>
      <w:bookmarkEnd w:id="94"/>
      <w:r>
        <w:rPr>
          <w:rFonts w:hint="eastAsia" w:ascii="仿宋_GB2312" w:hAnsi="仿宋_GB2312" w:eastAsia="仿宋_GB2312" w:cs="仿宋_GB2312"/>
          <w:sz w:val="30"/>
          <w:szCs w:val="30"/>
        </w:rPr>
        <w:t>.22分，自评得分2.22分，得分率100%。</w:t>
      </w:r>
    </w:p>
    <w:p w14:paraId="4219973E">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培训考核通过率：</w:t>
      </w:r>
      <w:r>
        <w:rPr>
          <w:rFonts w:hint="eastAsia" w:ascii="仿宋_GB2312" w:hAnsi="仿宋_GB2312" w:eastAsia="仿宋_GB2312" w:cs="仿宋_GB2312"/>
          <w:sz w:val="30"/>
          <w:szCs w:val="30"/>
        </w:rPr>
        <w:t>我院各项培训考核均已通过考核，考核通过率100%。该指标2.22分，自评得分2.22分，得分率100%。</w:t>
      </w:r>
    </w:p>
    <w:p w14:paraId="76E3ABC2">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上诉案件改判率：</w:t>
      </w:r>
      <w:r>
        <w:rPr>
          <w:rFonts w:hint="eastAsia" w:ascii="仿宋_GB2312" w:hAnsi="仿宋_GB2312" w:eastAsia="仿宋_GB2312" w:cs="仿宋_GB2312"/>
          <w:sz w:val="30"/>
          <w:szCs w:val="30"/>
        </w:rPr>
        <w:t>年度目标≤35%，实际完成18.90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，该指标2.22分，自评得分2.22分，得分率100%。</w:t>
      </w:r>
    </w:p>
    <w:p w14:paraId="71A74544">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设备完好率：</w:t>
      </w:r>
      <w:r>
        <w:rPr>
          <w:rFonts w:hint="eastAsia" w:ascii="仿宋_GB2312" w:hAnsi="仿宋_GB2312" w:eastAsia="仿宋_GB2312" w:cs="仿宋_GB2312"/>
          <w:sz w:val="30"/>
          <w:szCs w:val="30"/>
        </w:rPr>
        <w:t>设备定期进行维修维护，设备完好率达到100%。该指标2.22分，自评得分2.22分，得分率100%。</w:t>
      </w:r>
    </w:p>
    <w:p w14:paraId="1B760768">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宣传覆盖率：</w:t>
      </w:r>
      <w:r>
        <w:rPr>
          <w:rFonts w:hint="eastAsia" w:ascii="仿宋_GB2312" w:hAnsi="仿宋_GB2312" w:eastAsia="仿宋_GB2312" w:cs="仿宋_GB2312"/>
          <w:sz w:val="30"/>
          <w:szCs w:val="30"/>
        </w:rPr>
        <w:t>年度目标≥50%，实际完成85%。该指标2.22分，自评得分1.98分，得分率89.19%。</w:t>
      </w:r>
    </w:p>
    <w:p w14:paraId="4A563C18">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一审服判息诉率：</w:t>
      </w:r>
      <w:r>
        <w:rPr>
          <w:rFonts w:hint="eastAsia" w:ascii="仿宋_GB2312" w:hAnsi="仿宋_GB2312" w:eastAsia="仿宋_GB2312" w:cs="仿宋_GB2312"/>
          <w:sz w:val="30"/>
          <w:szCs w:val="30"/>
        </w:rPr>
        <w:t>年度目标≥85%，实际完成92.16%。该指标2.22分，自评得分2.22分，得分率100%。</w:t>
      </w:r>
    </w:p>
    <w:p w14:paraId="1CF949C8">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执行案件执结率：</w:t>
      </w:r>
      <w:r>
        <w:rPr>
          <w:rFonts w:hint="eastAsia" w:ascii="仿宋_GB2312" w:hAnsi="仿宋_GB2312" w:eastAsia="仿宋_GB2312" w:cs="仿宋_GB2312"/>
          <w:sz w:val="30"/>
          <w:szCs w:val="30"/>
        </w:rPr>
        <w:t>年度目标≥96%，实际完成98.52%。该指标2.22分，自评得分2.22分，得分率100%。</w:t>
      </w:r>
    </w:p>
    <w:p w14:paraId="25B45AC5">
      <w:pPr>
        <w:pStyle w:val="6"/>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③时效指标</w:t>
      </w:r>
    </w:p>
    <w:p w14:paraId="747058AE">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时效指标下设5个三级指标，指标分值11.10分，自评得分11.10分，得分率100%。</w:t>
      </w:r>
    </w:p>
    <w:p w14:paraId="5CE7ABB3">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办公设备购置工作完成及时性：</w:t>
      </w:r>
      <w:r>
        <w:rPr>
          <w:rFonts w:hint="eastAsia" w:ascii="仿宋_GB2312" w:hAnsi="仿宋_GB2312" w:eastAsia="仿宋_GB2312" w:cs="仿宋_GB2312"/>
          <w:sz w:val="30"/>
          <w:szCs w:val="30"/>
        </w:rPr>
        <w:t>我院办公设备购置工作已按时完成，并全部通过验收。该指标2.22分，自评得分2.22分，得分率100%。</w:t>
      </w:r>
    </w:p>
    <w:p w14:paraId="3E69A09D">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法定审限内结案率：</w:t>
      </w:r>
      <w:r>
        <w:rPr>
          <w:rFonts w:hint="eastAsia" w:ascii="仿宋_GB2312" w:hAnsi="仿宋_GB2312" w:eastAsia="仿宋_GB2312" w:cs="仿宋_GB2312"/>
          <w:sz w:val="30"/>
          <w:szCs w:val="30"/>
        </w:rPr>
        <w:t>2023年我院法定审限内结案率为100%，审判效率较高。该指标2.22分，自评得分2.22分，得分率100%。</w:t>
      </w:r>
    </w:p>
    <w:p w14:paraId="559354B7">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培训工作完成及时性：</w:t>
      </w:r>
      <w:r>
        <w:rPr>
          <w:rFonts w:hint="eastAsia" w:ascii="仿宋_GB2312" w:hAnsi="仿宋_GB2312" w:eastAsia="仿宋_GB2312" w:cs="仿宋_GB2312"/>
          <w:sz w:val="30"/>
          <w:szCs w:val="30"/>
        </w:rPr>
        <w:t>我院2023年度培训工作开展及时，均全部通过考核。该指标2.22分，自评得分2.22分，得分率100%。</w:t>
      </w:r>
    </w:p>
    <w:p w14:paraId="30DB442F">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维修改造工作完成及时性：</w:t>
      </w:r>
      <w:r>
        <w:rPr>
          <w:rFonts w:hint="eastAsia" w:ascii="仿宋_GB2312" w:hAnsi="仿宋_GB2312" w:eastAsia="仿宋_GB2312" w:cs="仿宋_GB2312"/>
          <w:sz w:val="30"/>
          <w:szCs w:val="30"/>
        </w:rPr>
        <w:t>我院维修改造工作已按时完成，并全部通过验收。该指标2.22分，自评得分2.22分，得分率100%。</w:t>
      </w:r>
    </w:p>
    <w:p w14:paraId="5D7ADBD2">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宣传工作完成及时性：</w:t>
      </w:r>
      <w:r>
        <w:rPr>
          <w:rFonts w:hint="eastAsia" w:ascii="仿宋_GB2312" w:hAnsi="仿宋_GB2312" w:eastAsia="仿宋_GB2312" w:cs="仿宋_GB2312"/>
          <w:sz w:val="30"/>
          <w:szCs w:val="30"/>
        </w:rPr>
        <w:t>2023年度我院宣传工作及时开展，达到年度目标。该指标2.22分，自评得分2.22分，得分率100%。</w:t>
      </w:r>
    </w:p>
    <w:p w14:paraId="6DDFBDFA">
      <w:p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（2）效益指标</w:t>
      </w:r>
    </w:p>
    <w:p w14:paraId="0A1CDD3C">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本项目效益指标下设经济效益、社会效益、生态效益3个二级指标。指标分值20分，自评得分18.39分，得分率91.95%。</w:t>
      </w:r>
    </w:p>
    <w:p w14:paraId="1396D1C9">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①经济效益指标：</w:t>
      </w:r>
      <w:r>
        <w:rPr>
          <w:rFonts w:hint="eastAsia" w:ascii="仿宋_GB2312" w:hAnsi="仿宋_GB2312" w:eastAsia="仿宋_GB2312" w:cs="仿宋_GB2312"/>
          <w:sz w:val="30"/>
          <w:szCs w:val="30"/>
        </w:rPr>
        <w:t>扎实开展“陇原风暴”“百日执行攻坚”等集中执行专项行动9次，执结案件263件，执行到位金额1,115.40万元，执行标的到位率61.31%。该指标分值3.35分，自评得分2.94分，得分率87.76%。</w:t>
      </w:r>
    </w:p>
    <w:p w14:paraId="637BFBAC">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②社会效益指标：</w:t>
      </w:r>
      <w:r>
        <w:rPr>
          <w:rFonts w:hint="eastAsia" w:ascii="仿宋_GB2312" w:hAnsi="仿宋_GB2312" w:eastAsia="仿宋_GB2312" w:cs="仿宋_GB2312"/>
          <w:sz w:val="30"/>
          <w:szCs w:val="30"/>
        </w:rPr>
        <w:t>通过该项目的实施，工作人员专业能力、办公效率得到提升。一审案件陪审率61.31%。本年度年我院坚持和谐司法，促进案结事了，民事案件调解撤诉率51.42%。</w:t>
      </w:r>
      <w:r>
        <w:rPr>
          <w:rFonts w:hint="eastAsia" w:ascii="仿宋_GB2312" w:hAnsi="仿宋_GB2312" w:eastAsia="仿宋_GB2312" w:cs="仿宋_GB2312"/>
          <w:kern w:val="0"/>
          <w:sz w:val="30"/>
          <w:szCs w:val="30"/>
        </w:rPr>
        <w:t>该指标分值13.32分，自评得分12.12分，得分率90.99%</w:t>
      </w:r>
      <w:r>
        <w:rPr>
          <w:rFonts w:hint="eastAsia" w:ascii="仿宋_GB2312" w:hAnsi="仿宋_GB2312" w:eastAsia="仿宋_GB2312" w:cs="仿宋_GB2312"/>
          <w:sz w:val="30"/>
          <w:szCs w:val="30"/>
        </w:rPr>
        <w:t>。</w:t>
      </w:r>
    </w:p>
    <w:p w14:paraId="4DFD9A61">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③生态效益指标：</w:t>
      </w:r>
      <w:r>
        <w:rPr>
          <w:rFonts w:hint="eastAsia" w:ascii="仿宋_GB2312" w:hAnsi="仿宋_GB2312" w:eastAsia="仿宋_GB2312" w:cs="仿宋_GB2312"/>
          <w:sz w:val="30"/>
          <w:szCs w:val="30"/>
        </w:rPr>
        <w:t>为促进单位节能、降耗、减污、增效，建设资源节约型社会的总体要求，我院高耗能设备能耗下降率达到100%。该指标分值3.33分，自评得分3.33分，得分率100%。</w:t>
      </w:r>
    </w:p>
    <w:p w14:paraId="6B2626AC">
      <w:pPr>
        <w:numPr>
          <w:ilvl w:val="255"/>
          <w:numId w:val="0"/>
        </w:numPr>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（3）满意度指标</w:t>
      </w:r>
    </w:p>
    <w:p w14:paraId="0B424D0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根据我院向社会提供公共产品和服务的主要对象，服务对象满意度主要为法院工作人员、人民群众满意度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参加培训人员满意度</w:t>
      </w:r>
      <w:r>
        <w:rPr>
          <w:rFonts w:hint="eastAsia" w:ascii="仿宋_GB2312" w:hAnsi="仿宋_GB2312" w:eastAsia="仿宋_GB2312" w:cs="仿宋_GB2312"/>
          <w:sz w:val="30"/>
          <w:szCs w:val="30"/>
        </w:rPr>
        <w:t>，该指标分值10分，自评得分10分，得分率100%。</w:t>
      </w:r>
    </w:p>
    <w:p w14:paraId="6797E6CB">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参加培训人员满意度：</w:t>
      </w:r>
      <w:r>
        <w:rPr>
          <w:rFonts w:hint="eastAsia" w:ascii="仿宋_GB2312" w:hAnsi="仿宋_GB2312" w:eastAsia="仿宋_GB2312" w:cs="仿宋_GB2312"/>
          <w:sz w:val="30"/>
          <w:szCs w:val="30"/>
        </w:rPr>
        <w:t>干警通过视频方式参加“人民法院大讲堂”“陇法讲堂”培训班29期，参加其他各类培训44期132人次，全面提升干警业务能力。举办员额法官讲法、庭审观摩评比、发改案件评析、法警实战化集训、书记员技能竞赛等岗位练兵活动，推动学习培训常态化。</w:t>
      </w:r>
      <w:r>
        <w:rPr>
          <w:rFonts w:hint="eastAsia" w:ascii="仿宋_GB2312" w:hAnsi="仿宋_GB2312" w:eastAsia="仿宋_GB2312" w:cs="仿宋_GB2312"/>
          <w:sz w:val="30"/>
          <w:szCs w:val="30"/>
          <w:lang w:val="en-US" w:eastAsia="zh-CN"/>
        </w:rPr>
        <w:t>参加培训人员满意度达到95%，</w:t>
      </w:r>
      <w:r>
        <w:rPr>
          <w:rFonts w:hint="eastAsia" w:ascii="仿宋_GB2312" w:hAnsi="仿宋_GB2312" w:eastAsia="仿宋_GB2312" w:cs="仿宋_GB2312"/>
          <w:kern w:val="2"/>
          <w:sz w:val="30"/>
          <w:szCs w:val="30"/>
          <w:lang w:val="en-US" w:eastAsia="zh-CN" w:bidi="ar-SA"/>
        </w:rPr>
        <w:t>该指标分值3.33分，自评得分3.33分，得分率100%。</w:t>
      </w:r>
    </w:p>
    <w:p w14:paraId="280BA4DA">
      <w:pPr>
        <w:pStyle w:val="5"/>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sz w:val="30"/>
          <w:szCs w:val="30"/>
          <w:lang w:val="en-US" w:eastAsia="zh-CN"/>
        </w:rPr>
        <w:t>法院</w:t>
      </w:r>
      <w:r>
        <w:rPr>
          <w:rFonts w:hint="eastAsia" w:ascii="仿宋_GB2312" w:hAnsi="仿宋_GB2312" w:eastAsia="仿宋_GB2312" w:cs="仿宋_GB2312"/>
          <w:b/>
          <w:bCs/>
          <w:sz w:val="30"/>
          <w:szCs w:val="30"/>
        </w:rPr>
        <w:t>工作人员满意度：</w:t>
      </w:r>
      <w:r>
        <w:rPr>
          <w:rFonts w:hint="eastAsia" w:ascii="仿宋_GB2312" w:hAnsi="仿宋_GB2312" w:eastAsia="仿宋_GB2312" w:cs="仿宋_GB2312"/>
          <w:sz w:val="30"/>
          <w:szCs w:val="30"/>
        </w:rPr>
        <w:t>2023</w:t>
      </w:r>
      <w:r>
        <w:rPr>
          <w:rFonts w:hint="eastAsia" w:ascii="仿宋_GB2312" w:hAnsi="仿宋_GB2312" w:eastAsia="仿宋_GB2312" w:cs="仿宋_GB2312"/>
          <w:kern w:val="2"/>
          <w:sz w:val="30"/>
          <w:szCs w:val="30"/>
          <w:lang w:val="en-US" w:eastAsia="zh-CN" w:bidi="ar-SA"/>
        </w:rPr>
        <w:t>年我院在案件的审判上，细化工作举措，层层压实责任，确保查漏补缺工作落实到位，保障工作人员办案质量要求和业务能力水平的提升，法院工作人员满意度为90%。该指标分值3.33分，自评得分3.33分，得分率100%。</w:t>
      </w:r>
    </w:p>
    <w:p w14:paraId="3DC60F71">
      <w:pPr>
        <w:pStyle w:val="5"/>
        <w:keepNext w:val="0"/>
        <w:keepLines w:val="0"/>
        <w:pageBreakBefore w:val="0"/>
        <w:widowControl w:val="0"/>
        <w:kinsoku/>
        <w:wordWrap/>
        <w:overflowPunct/>
        <w:topLinePunct w:val="0"/>
        <w:autoSpaceDE/>
        <w:autoSpaceDN/>
        <w:bidi w:val="0"/>
        <w:adjustRightInd/>
        <w:snapToGrid/>
        <w:ind w:firstLine="602"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人民群众满意度：</w:t>
      </w:r>
      <w:r>
        <w:rPr>
          <w:rFonts w:hint="eastAsia" w:ascii="仿宋_GB2312" w:hAnsi="仿宋_GB2312" w:eastAsia="仿宋_GB2312" w:cs="仿宋_GB2312"/>
          <w:sz w:val="30"/>
          <w:szCs w:val="30"/>
        </w:rPr>
        <w:t>我院依法审理各类案件，妥善化解矛盾纠纷和行政争议，维护了法</w:t>
      </w:r>
      <w:r>
        <w:rPr>
          <w:rFonts w:hint="eastAsia" w:ascii="仿宋_GB2312" w:hAnsi="仿宋_GB2312" w:eastAsia="仿宋_GB2312" w:cs="仿宋_GB2312"/>
          <w:kern w:val="2"/>
          <w:sz w:val="30"/>
          <w:szCs w:val="30"/>
          <w:lang w:val="en-US" w:eastAsia="zh-CN" w:bidi="ar-SA"/>
        </w:rPr>
        <w:t>院审判工作的有序开展，积极保障人民群众生命财产安全，不断增强人民群众获得感、幸福感和安全感，减轻人民群众诉讼诉累，因此得到了人民群众的好评，人民群众满意度为88%。该指标分值3.34分，自评得分3.34分</w:t>
      </w:r>
      <w:r>
        <w:rPr>
          <w:rFonts w:hint="eastAsia" w:ascii="仿宋_GB2312" w:hAnsi="仿宋_GB2312" w:eastAsia="仿宋_GB2312" w:cs="仿宋_GB2312"/>
          <w:sz w:val="30"/>
          <w:szCs w:val="30"/>
        </w:rPr>
        <w:t>，得分率100%。</w:t>
      </w:r>
    </w:p>
    <w:p w14:paraId="3DF36EBD">
      <w:pPr>
        <w:pStyle w:val="4"/>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4.偏离绩效目标的原因及下一步改进措施</w:t>
      </w:r>
    </w:p>
    <w:p w14:paraId="08A02CDF">
      <w:pPr>
        <w:spacing w:line="360" w:lineRule="auto"/>
        <w:ind w:firstLine="600" w:firstLineChars="200"/>
        <w:rPr>
          <w:color w:val="auto"/>
        </w:rPr>
      </w:pPr>
      <w:bookmarkStart w:id="85" w:name="_Toc17346"/>
      <w:bookmarkStart w:id="86" w:name="_Toc22823"/>
      <w:r>
        <w:rPr>
          <w:rFonts w:hint="eastAsia" w:ascii="仿宋_GB2312" w:hAnsi="仿宋_GB2312" w:eastAsia="仿宋_GB2312" w:cs="仿宋_GB2312"/>
          <w:color w:val="auto"/>
          <w:sz w:val="30"/>
          <w:szCs w:val="30"/>
        </w:rPr>
        <w:t>目标值设置不合理：开展培训次数</w:t>
      </w:r>
      <w:r>
        <w:rPr>
          <w:rFonts w:hint="eastAsia" w:ascii="仿宋_GB2312" w:hAnsi="仿宋_GB2312" w:eastAsia="仿宋_GB2312" w:cs="仿宋_GB2312"/>
          <w:color w:val="auto"/>
          <w:kern w:val="0"/>
          <w:sz w:val="30"/>
          <w:szCs w:val="30"/>
        </w:rPr>
        <w:t>年度目标&gt;=10次，实际完成73次，指标目标值设置偏低，实际完成情况超过目标值130%。执行标的到位率&gt;=35%，实际完成61.31%，因指标目标值设置偏高，未达到年度目标值。下一年我院将根据往年指标完成情况及本年度工作计划合理设置目标值。</w:t>
      </w:r>
    </w:p>
    <w:p w14:paraId="5FF4F235">
      <w:pPr>
        <w:pStyle w:val="2"/>
        <w:spacing w:before="0" w:after="0" w:line="360" w:lineRule="auto"/>
        <w:rPr>
          <w:rFonts w:cs="黑体"/>
          <w:szCs w:val="32"/>
        </w:rPr>
      </w:pPr>
      <w:r>
        <w:rPr>
          <w:rFonts w:hint="eastAsia" w:cs="黑体"/>
          <w:szCs w:val="32"/>
        </w:rPr>
        <w:t>六、绩效自评结果拟应用和公开情况</w:t>
      </w:r>
      <w:bookmarkEnd w:id="74"/>
      <w:bookmarkEnd w:id="75"/>
      <w:bookmarkEnd w:id="82"/>
      <w:bookmarkEnd w:id="83"/>
      <w:bookmarkEnd w:id="84"/>
      <w:bookmarkEnd w:id="85"/>
      <w:bookmarkEnd w:id="86"/>
    </w:p>
    <w:p w14:paraId="5B92289C">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绩效自评结果的应用是部门完善政策和改进管理的重要依据，部门要加强评价结果的应用。根据政策文件规定，我院绩效自评结果将编入2023年度决算中，随同2023年度部门决算同步公开。</w:t>
      </w:r>
    </w:p>
    <w:p w14:paraId="2992842D">
      <w:pPr>
        <w:pStyle w:val="2"/>
        <w:spacing w:before="0" w:after="0" w:line="360" w:lineRule="auto"/>
        <w:rPr>
          <w:rFonts w:cs="黑体"/>
          <w:szCs w:val="32"/>
        </w:rPr>
      </w:pPr>
      <w:bookmarkStart w:id="87" w:name="_Toc6781"/>
      <w:bookmarkStart w:id="88" w:name="_Toc575"/>
      <w:bookmarkStart w:id="89" w:name="_Toc21490"/>
      <w:bookmarkStart w:id="90" w:name="_Toc4491"/>
      <w:bookmarkStart w:id="91" w:name="_Toc2290"/>
      <w:bookmarkStart w:id="92" w:name="_Toc17181"/>
      <w:bookmarkStart w:id="93" w:name="_Toc40046066"/>
      <w:r>
        <w:rPr>
          <w:rFonts w:hint="eastAsia" w:cs="黑体"/>
          <w:szCs w:val="32"/>
        </w:rPr>
        <w:t>七、其他需要说明的问题</w:t>
      </w:r>
      <w:bookmarkEnd w:id="87"/>
      <w:bookmarkEnd w:id="88"/>
      <w:bookmarkEnd w:id="89"/>
      <w:bookmarkEnd w:id="90"/>
      <w:bookmarkEnd w:id="91"/>
      <w:bookmarkEnd w:id="92"/>
      <w:bookmarkEnd w:id="93"/>
    </w:p>
    <w:p w14:paraId="30DCE892">
      <w:pPr>
        <w:widowControl/>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无。</w:t>
      </w:r>
    </w:p>
    <w:p w14:paraId="7992F169">
      <w:pPr>
        <w:pStyle w:val="12"/>
        <w:widowControl/>
        <w:spacing w:beforeAutospacing="0" w:afterAutospacing="0" w:line="360" w:lineRule="auto"/>
        <w:ind w:firstLine="600" w:firstLineChars="200"/>
        <w:jc w:val="both"/>
        <w:rPr>
          <w:rFonts w:ascii="仿宋_GB2312" w:hAnsi="仿宋_GB2312" w:eastAsia="仿宋_GB2312" w:cs="仿宋_GB2312"/>
          <w:sz w:val="30"/>
          <w:szCs w:val="30"/>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61E0">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717B8">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4717B8">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MTMyMDk2ODBjMWM5ZGQ0NGM0NzkyYjI1ZWI3MTIifQ=="/>
  </w:docVars>
  <w:rsids>
    <w:rsidRoot w:val="40220321"/>
    <w:rsid w:val="0052479D"/>
    <w:rsid w:val="00987B6D"/>
    <w:rsid w:val="009A5F80"/>
    <w:rsid w:val="00BE7A3E"/>
    <w:rsid w:val="00C02B5C"/>
    <w:rsid w:val="00D204B9"/>
    <w:rsid w:val="00E407ED"/>
    <w:rsid w:val="00F2316A"/>
    <w:rsid w:val="00FB1F4A"/>
    <w:rsid w:val="06BF1B73"/>
    <w:rsid w:val="0AE0655C"/>
    <w:rsid w:val="161F43DC"/>
    <w:rsid w:val="165D4F05"/>
    <w:rsid w:val="1B5A1C2B"/>
    <w:rsid w:val="1F651E5A"/>
    <w:rsid w:val="252D34AC"/>
    <w:rsid w:val="27960276"/>
    <w:rsid w:val="2B30309F"/>
    <w:rsid w:val="2C662353"/>
    <w:rsid w:val="2DEC3A0A"/>
    <w:rsid w:val="399B4F33"/>
    <w:rsid w:val="3EAA576B"/>
    <w:rsid w:val="40220321"/>
    <w:rsid w:val="4314374D"/>
    <w:rsid w:val="43FD2761"/>
    <w:rsid w:val="485B09F4"/>
    <w:rsid w:val="4AA93C99"/>
    <w:rsid w:val="53DC64F8"/>
    <w:rsid w:val="5B661732"/>
    <w:rsid w:val="5FB31347"/>
    <w:rsid w:val="65895087"/>
    <w:rsid w:val="66127F81"/>
    <w:rsid w:val="6E95681A"/>
    <w:rsid w:val="71880EF3"/>
    <w:rsid w:val="77F62CE3"/>
    <w:rsid w:val="7B4A207F"/>
    <w:rsid w:val="7C52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0"/>
    <w:autoRedefine/>
    <w:qFormat/>
    <w:uiPriority w:val="9"/>
    <w:pPr>
      <w:keepNext/>
      <w:keepLines/>
      <w:spacing w:before="200" w:after="200"/>
      <w:outlineLvl w:val="0"/>
    </w:pPr>
    <w:rPr>
      <w:rFonts w:ascii="黑体" w:hAnsi="黑体" w:eastAsia="黑体"/>
      <w:b/>
      <w:bCs/>
      <w:kern w:val="44"/>
      <w:sz w:val="32"/>
      <w:szCs w:val="44"/>
    </w:rPr>
  </w:style>
  <w:style w:type="paragraph" w:styleId="3">
    <w:name w:val="heading 2"/>
    <w:basedOn w:val="1"/>
    <w:next w:val="1"/>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autoRedefine/>
    <w:unhideWhenUsed/>
    <w:qFormat/>
    <w:uiPriority w:val="9"/>
    <w:pPr>
      <w:keepNext/>
      <w:keepLines/>
      <w:outlineLvl w:val="2"/>
    </w:pPr>
    <w:rPr>
      <w:b/>
      <w:bCs/>
      <w:szCs w:val="32"/>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2"/>
    <w:autoRedefine/>
    <w:semiHidden/>
    <w:unhideWhenUsed/>
    <w:qFormat/>
    <w:uiPriority w:val="99"/>
    <w:pPr>
      <w:jc w:val="left"/>
    </w:pPr>
  </w:style>
  <w:style w:type="paragraph" w:styleId="6">
    <w:name w:val="Body Text"/>
    <w:basedOn w:val="1"/>
    <w:next w:val="1"/>
    <w:autoRedefine/>
    <w:qFormat/>
    <w:uiPriority w:val="99"/>
    <w:rPr>
      <w:szCs w:val="21"/>
    </w:rPr>
  </w:style>
  <w:style w:type="paragraph" w:styleId="7">
    <w:name w:val="Body Text Indent"/>
    <w:basedOn w:val="1"/>
    <w:autoRedefine/>
    <w:qFormat/>
    <w:uiPriority w:val="0"/>
    <w:pPr>
      <w:ind w:left="200" w:leftChars="200"/>
    </w:pPr>
    <w:rPr>
      <w:szCs w:val="21"/>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pPr>
      <w:tabs>
        <w:tab w:val="right" w:leader="dot" w:pos="8296"/>
      </w:tabs>
      <w:spacing w:line="360" w:lineRule="auto"/>
    </w:pPr>
    <w:rPr>
      <w:rFonts w:hint="eastAsia" w:ascii="仿宋_GB2312" w:hAnsi="宋体" w:eastAsia="仿宋_GB2312" w:cs="Times New Roman"/>
      <w:b/>
      <w:bCs/>
      <w:sz w:val="28"/>
      <w:szCs w:val="22"/>
    </w:rPr>
  </w:style>
  <w:style w:type="paragraph" w:styleId="11">
    <w:name w:val="toc 2"/>
    <w:basedOn w:val="1"/>
    <w:next w:val="1"/>
    <w:autoRedefine/>
    <w:qFormat/>
    <w:uiPriority w:val="0"/>
    <w:pPr>
      <w:tabs>
        <w:tab w:val="right" w:leader="dot" w:pos="8296"/>
      </w:tabs>
      <w:spacing w:line="360" w:lineRule="auto"/>
      <w:ind w:left="560" w:leftChars="200"/>
    </w:pPr>
    <w:rPr>
      <w:rFonts w:hint="eastAsia" w:ascii="仿宋_GB2312" w:hAnsi="仿宋_GB2312" w:eastAsia="仿宋_GB2312" w:cs="Times New Roman"/>
      <w:sz w:val="28"/>
      <w:szCs w:val="22"/>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index 1"/>
    <w:basedOn w:val="1"/>
    <w:next w:val="1"/>
    <w:autoRedefine/>
    <w:qFormat/>
    <w:uiPriority w:val="0"/>
  </w:style>
  <w:style w:type="paragraph" w:styleId="14">
    <w:name w:val="annotation subject"/>
    <w:basedOn w:val="5"/>
    <w:next w:val="5"/>
    <w:link w:val="33"/>
    <w:autoRedefine/>
    <w:qFormat/>
    <w:uiPriority w:val="0"/>
    <w:rPr>
      <w:b/>
      <w:bCs/>
    </w:rPr>
  </w:style>
  <w:style w:type="paragraph" w:styleId="15">
    <w:name w:val="Body Text First Indent 2"/>
    <w:basedOn w:val="7"/>
    <w:autoRedefine/>
    <w:unhideWhenUsed/>
    <w:qFormat/>
    <w:uiPriority w:val="0"/>
    <w:pPr>
      <w:spacing w:after="120"/>
      <w:ind w:left="420" w:firstLine="420"/>
    </w:pPr>
    <w:rPr>
      <w:szCs w:val="22"/>
    </w:rPr>
  </w:style>
  <w:style w:type="character" w:styleId="18">
    <w:name w:val="Hyperlink"/>
    <w:basedOn w:val="17"/>
    <w:autoRedefine/>
    <w:qFormat/>
    <w:uiPriority w:val="0"/>
    <w:rPr>
      <w:color w:val="0000FF"/>
      <w:u w:val="single"/>
    </w:rPr>
  </w:style>
  <w:style w:type="character" w:styleId="19">
    <w:name w:val="annotation reference"/>
    <w:basedOn w:val="17"/>
    <w:autoRedefine/>
    <w:qFormat/>
    <w:uiPriority w:val="0"/>
    <w:rPr>
      <w:sz w:val="21"/>
      <w:szCs w:val="21"/>
    </w:rPr>
  </w:style>
  <w:style w:type="paragraph" w:customStyle="1" w:styleId="20">
    <w:name w:val="样式1"/>
    <w:basedOn w:val="1"/>
    <w:autoRedefine/>
    <w:qFormat/>
    <w:uiPriority w:val="0"/>
    <w:pPr>
      <w:adjustRightInd w:val="0"/>
      <w:snapToGrid w:val="0"/>
      <w:spacing w:before="100" w:beforeLines="100" w:after="100" w:afterLines="100" w:line="360" w:lineRule="auto"/>
      <w:jc w:val="center"/>
    </w:pPr>
    <w:rPr>
      <w:rFonts w:hint="eastAsia" w:ascii="宋体" w:hAnsi="宋体" w:eastAsia="宋体" w:cs="宋体"/>
      <w:b/>
      <w:bCs/>
      <w:color w:val="000000"/>
      <w:sz w:val="28"/>
      <w:szCs w:val="28"/>
    </w:rPr>
  </w:style>
  <w:style w:type="paragraph" w:customStyle="1" w:styleId="21">
    <w:name w:val="样式2"/>
    <w:basedOn w:val="1"/>
    <w:autoRedefine/>
    <w:qFormat/>
    <w:uiPriority w:val="0"/>
    <w:pPr>
      <w:adjustRightInd w:val="0"/>
      <w:snapToGrid w:val="0"/>
      <w:spacing w:before="100" w:beforeLines="100" w:after="100" w:afterLines="100" w:line="360" w:lineRule="auto"/>
      <w:ind w:firstLine="480" w:firstLineChars="200"/>
      <w:jc w:val="center"/>
    </w:pPr>
    <w:rPr>
      <w:rFonts w:hint="eastAsia" w:ascii="宋体" w:hAnsi="宋体" w:eastAsia="宋体" w:cs="宋体"/>
      <w:b/>
      <w:bCs/>
      <w:color w:val="000000"/>
      <w:sz w:val="28"/>
      <w:szCs w:val="28"/>
    </w:rPr>
  </w:style>
  <w:style w:type="paragraph" w:customStyle="1" w:styleId="22">
    <w:name w:val="样式3"/>
    <w:basedOn w:val="1"/>
    <w:autoRedefine/>
    <w:qFormat/>
    <w:uiPriority w:val="0"/>
    <w:pPr>
      <w:adjustRightInd w:val="0"/>
      <w:snapToGrid w:val="0"/>
      <w:spacing w:line="560" w:lineRule="exact"/>
      <w:ind w:firstLine="643"/>
    </w:pPr>
    <w:rPr>
      <w:rFonts w:hint="eastAsia" w:ascii="仿宋_GB2312" w:hAnsi="仿宋_GB2312" w:eastAsia="仿宋_GB2312" w:cs="仿宋_GB2312"/>
      <w:sz w:val="32"/>
      <w:szCs w:val="32"/>
    </w:rPr>
  </w:style>
  <w:style w:type="paragraph" w:customStyle="1" w:styleId="23">
    <w:name w:val="四级"/>
    <w:basedOn w:val="1"/>
    <w:autoRedefine/>
    <w:qFormat/>
    <w:uiPriority w:val="0"/>
    <w:pPr>
      <w:spacing w:line="560" w:lineRule="exact"/>
      <w:ind w:firstLine="643" w:firstLineChars="200"/>
      <w:outlineLvl w:val="3"/>
    </w:pPr>
    <w:rPr>
      <w:rFonts w:hint="eastAsia" w:ascii="仿宋_GB2312" w:hAnsi="仿宋_GB2312" w:eastAsia="仿宋_GB2312" w:cs="仿宋_GB2312"/>
      <w:b/>
      <w:bCs/>
      <w:color w:val="000000"/>
      <w:sz w:val="28"/>
      <w:szCs w:val="28"/>
    </w:rPr>
  </w:style>
  <w:style w:type="paragraph" w:customStyle="1" w:styleId="24">
    <w:name w:val="正文1"/>
    <w:basedOn w:val="1"/>
    <w:autoRedefine/>
    <w:qFormat/>
    <w:uiPriority w:val="0"/>
    <w:pPr>
      <w:spacing w:line="600" w:lineRule="exact"/>
      <w:ind w:firstLine="640" w:firstLineChars="200"/>
    </w:pPr>
    <w:rPr>
      <w:rFonts w:hint="eastAsia" w:ascii="仿宋_GB2312" w:hAnsi="仿宋_GB2312" w:eastAsia="仿宋_GB2312" w:cs="仿宋_GB2312"/>
      <w:kern w:val="0"/>
      <w:sz w:val="32"/>
      <w:szCs w:val="32"/>
    </w:rPr>
  </w:style>
  <w:style w:type="paragraph" w:customStyle="1" w:styleId="25">
    <w:name w:val="二级标题"/>
    <w:basedOn w:val="1"/>
    <w:autoRedefine/>
    <w:qFormat/>
    <w:uiPriority w:val="0"/>
    <w:pPr>
      <w:spacing w:line="600" w:lineRule="exact"/>
      <w:ind w:firstLine="643" w:firstLineChars="200"/>
      <w:outlineLvl w:val="1"/>
    </w:pPr>
    <w:rPr>
      <w:rFonts w:hint="eastAsia" w:ascii="黑体" w:hAnsi="黑体" w:eastAsia="黑体" w:cs="黑体"/>
      <w:bCs/>
      <w:kern w:val="0"/>
      <w:sz w:val="32"/>
      <w:szCs w:val="32"/>
    </w:rPr>
  </w:style>
  <w:style w:type="paragraph" w:customStyle="1" w:styleId="26">
    <w:name w:val="样式4"/>
    <w:basedOn w:val="1"/>
    <w:autoRedefine/>
    <w:qFormat/>
    <w:uiPriority w:val="0"/>
    <w:pPr>
      <w:spacing w:line="600" w:lineRule="exact"/>
      <w:ind w:firstLine="482" w:firstLineChars="200"/>
    </w:pPr>
    <w:rPr>
      <w:rFonts w:hint="eastAsia" w:ascii="仿宋_GB2312" w:hAnsi="仿宋_GB2312" w:eastAsia="仿宋_GB2312" w:cs="仿宋_GB2312"/>
      <w:b/>
      <w:bCs/>
      <w:sz w:val="28"/>
      <w:szCs w:val="28"/>
    </w:rPr>
  </w:style>
  <w:style w:type="paragraph" w:customStyle="1" w:styleId="27">
    <w:name w:val="Body Text First Indent 21"/>
    <w:basedOn w:val="1"/>
    <w:autoRedefine/>
    <w:qFormat/>
    <w:uiPriority w:val="0"/>
    <w:pPr>
      <w:ind w:left="420" w:leftChars="200" w:firstLine="420" w:firstLineChars="200"/>
    </w:pPr>
  </w:style>
  <w:style w:type="paragraph" w:customStyle="1" w:styleId="28">
    <w:name w:val="正文文本首行缩进 21"/>
    <w:basedOn w:val="1"/>
    <w:autoRedefine/>
    <w:qFormat/>
    <w:uiPriority w:val="0"/>
    <w:pPr>
      <w:ind w:left="420" w:leftChars="200" w:firstLine="420" w:firstLineChars="200"/>
    </w:pPr>
  </w:style>
  <w:style w:type="paragraph" w:customStyle="1" w:styleId="29">
    <w:name w:val="WPSOffice手动目录 1"/>
    <w:autoRedefine/>
    <w:qFormat/>
    <w:uiPriority w:val="0"/>
    <w:rPr>
      <w:rFonts w:ascii="Times New Roman" w:hAnsi="Times New Roman" w:eastAsia="宋体" w:cs="Times New Roman"/>
      <w:lang w:val="en-US" w:eastAsia="zh-CN" w:bidi="ar-SA"/>
    </w:rPr>
  </w:style>
  <w:style w:type="character" w:customStyle="1" w:styleId="30">
    <w:name w:val="标题 1 字符"/>
    <w:basedOn w:val="17"/>
    <w:link w:val="2"/>
    <w:autoRedefine/>
    <w:qFormat/>
    <w:uiPriority w:val="0"/>
    <w:rPr>
      <w:rFonts w:hint="eastAsia" w:ascii="仿宋_GB2312" w:hAnsi="仿宋_GB2312" w:eastAsia="仿宋_GB2312" w:cs="Times New Roman"/>
      <w:b/>
      <w:bCs/>
      <w:kern w:val="44"/>
      <w:sz w:val="44"/>
      <w:szCs w:val="44"/>
    </w:rPr>
  </w:style>
  <w:style w:type="paragraph" w:customStyle="1" w:styleId="31">
    <w:name w:val="TOC 标题1"/>
    <w:basedOn w:val="2"/>
    <w:next w:val="1"/>
    <w:autoRedefine/>
    <w:qFormat/>
    <w:uiPriority w:val="0"/>
    <w:pPr>
      <w:widowControl/>
      <w:spacing w:before="240" w:after="0" w:line="256" w:lineRule="auto"/>
      <w:jc w:val="left"/>
    </w:pPr>
    <w:rPr>
      <w:rFonts w:ascii="等线 Light" w:hAnsi="等线 Light" w:eastAsia="等线 Light" w:cs="Times New Roman"/>
      <w:color w:val="2F5496"/>
      <w:kern w:val="0"/>
      <w:szCs w:val="32"/>
    </w:rPr>
  </w:style>
  <w:style w:type="character" w:customStyle="1" w:styleId="32">
    <w:name w:val="批注文字 字符"/>
    <w:basedOn w:val="17"/>
    <w:link w:val="5"/>
    <w:autoRedefine/>
    <w:semiHidden/>
    <w:qFormat/>
    <w:uiPriority w:val="99"/>
    <w:rPr>
      <w:rFonts w:asciiTheme="minorHAnsi" w:hAnsiTheme="minorHAnsi" w:eastAsiaTheme="minorEastAsia" w:cstheme="minorBidi"/>
      <w:kern w:val="2"/>
      <w:sz w:val="21"/>
      <w:szCs w:val="24"/>
    </w:rPr>
  </w:style>
  <w:style w:type="character" w:customStyle="1" w:styleId="33">
    <w:name w:val="批注主题 字符"/>
    <w:basedOn w:val="32"/>
    <w:link w:val="14"/>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13233</Words>
  <Characters>15309</Characters>
  <Lines>118</Lines>
  <Paragraphs>33</Paragraphs>
  <TotalTime>12</TotalTime>
  <ScaleCrop>false</ScaleCrop>
  <LinksUpToDate>false</LinksUpToDate>
  <CharactersWithSpaces>15376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2024-01-19T06:51:00Z</dcterms:created>
  <dc:creator>WPS_1647617931</dc:creator>
  <cp:lastModifiedBy>WPS_1647617931</cp:lastModifiedBy>
  <dcterms:modified xsi:type="dcterms:W3CDTF">2024-08-14T07:18:48Z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A09D0A91C98F4E5290B61D4DC1962345_13</vt:lpwstr>
  </property>
</Properties>
</file>