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hint="eastAsia" w:ascii="宋体" w:hAnsi="宋体" w:eastAsia="宋体"/>
          <w:b/>
          <w:bCs/>
          <w:sz w:val="44"/>
          <w:szCs w:val="44"/>
          <w:lang w:eastAsia="zh-CN"/>
        </w:rPr>
        <w:t>年度秦州区人民法院</w:t>
      </w: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spacing w:line="240" w:lineRule="auto"/>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秦州区人民法院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pPr>
        <w:ind w:firstLine="560"/>
        <w:jc w:val="left"/>
      </w:pPr>
    </w:p>
    <w:p>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4"/>
            <w:tabs>
              <w:tab w:val="right" w:leader="dot" w:pos="8306"/>
            </w:tabs>
            <w:spacing w:line="360" w:lineRule="auto"/>
            <w:ind w:firstLine="560" w:firstLineChars="0"/>
            <w:jc w:val="center"/>
            <w:rPr>
              <w:rFonts w:asciiTheme="majorHAnsi" w:hAnsiTheme="majorHAnsi" w:eastAsiaTheme="majorEastAsia" w:cstheme="majorBidi"/>
              <w:b w:val="0"/>
              <w:bCs w:val="0"/>
              <w:color w:val="2F5597" w:themeColor="accent1" w:themeShade="BF"/>
              <w:kern w:val="0"/>
              <w:sz w:val="32"/>
              <w:szCs w:val="3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pPr>
            <w:pStyle w:val="17"/>
            <w:tabs>
              <w:tab w:val="right" w:leader="dot" w:pos="8306"/>
              <w:tab w:val="clear" w:pos="8296"/>
            </w:tabs>
          </w:pPr>
          <w:r>
            <w:fldChar w:fldCharType="begin"/>
          </w:r>
          <w:r>
            <w:instrText xml:space="preserve"> HYPERLINK \l _Toc31091 </w:instrText>
          </w:r>
          <w:r>
            <w:fldChar w:fldCharType="separate"/>
          </w:r>
          <w:r>
            <w:rPr>
              <w:rFonts w:hint="eastAsia"/>
              <w:lang w:val="en-US" w:eastAsia="zh-CN"/>
            </w:rPr>
            <w:t>一、</w:t>
          </w:r>
          <w:r>
            <w:rPr>
              <w:rFonts w:hint="eastAsia"/>
            </w:rPr>
            <w:t>基本情况</w:t>
          </w:r>
          <w:r>
            <w:tab/>
          </w:r>
          <w:r>
            <w:fldChar w:fldCharType="begin"/>
          </w:r>
          <w:r>
            <w:instrText xml:space="preserve"> PAGEREF _Toc31091 \h </w:instrText>
          </w:r>
          <w:r>
            <w:fldChar w:fldCharType="separate"/>
          </w:r>
          <w:r>
            <w:t>2</w:t>
          </w:r>
          <w:r>
            <w:fldChar w:fldCharType="end"/>
          </w:r>
          <w:r>
            <w:fldChar w:fldCharType="end"/>
          </w:r>
        </w:p>
        <w:p>
          <w:pPr>
            <w:pStyle w:val="18"/>
            <w:tabs>
              <w:tab w:val="right" w:leader="dot" w:pos="8306"/>
              <w:tab w:val="clear" w:pos="8296"/>
            </w:tabs>
          </w:pPr>
          <w:r>
            <w:fldChar w:fldCharType="begin"/>
          </w:r>
          <w:r>
            <w:instrText xml:space="preserve"> HYPERLINK \l _Toc16579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tab/>
          </w:r>
          <w:r>
            <w:fldChar w:fldCharType="begin"/>
          </w:r>
          <w:r>
            <w:instrText xml:space="preserve"> PAGEREF _Toc16579 \h </w:instrText>
          </w:r>
          <w:r>
            <w:fldChar w:fldCharType="separate"/>
          </w:r>
          <w:r>
            <w:t>2</w:t>
          </w:r>
          <w:r>
            <w:fldChar w:fldCharType="end"/>
          </w:r>
          <w:r>
            <w:fldChar w:fldCharType="end"/>
          </w:r>
        </w:p>
        <w:p>
          <w:pPr>
            <w:pStyle w:val="18"/>
            <w:tabs>
              <w:tab w:val="right" w:leader="dot" w:pos="8306"/>
              <w:tab w:val="clear" w:pos="8296"/>
            </w:tabs>
          </w:pPr>
          <w:r>
            <w:fldChar w:fldCharType="begin"/>
          </w:r>
          <w:r>
            <w:instrText xml:space="preserve"> HYPERLINK \l _Toc26348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_Toc26348 \h </w:instrText>
          </w:r>
          <w:r>
            <w:fldChar w:fldCharType="separate"/>
          </w:r>
          <w:r>
            <w:t>3</w:t>
          </w:r>
          <w:r>
            <w:fldChar w:fldCharType="end"/>
          </w:r>
          <w:r>
            <w:fldChar w:fldCharType="end"/>
          </w:r>
        </w:p>
        <w:p>
          <w:pPr>
            <w:pStyle w:val="17"/>
            <w:tabs>
              <w:tab w:val="right" w:leader="dot" w:pos="8306"/>
              <w:tab w:val="clear" w:pos="8296"/>
            </w:tabs>
          </w:pPr>
          <w:r>
            <w:fldChar w:fldCharType="begin"/>
          </w:r>
          <w:r>
            <w:instrText xml:space="preserve"> HYPERLINK \l _Toc9296 </w:instrText>
          </w:r>
          <w:r>
            <w:fldChar w:fldCharType="separate"/>
          </w:r>
          <w:r>
            <w:rPr>
              <w:rFonts w:hint="eastAsia"/>
              <w:lang w:val="en-US" w:eastAsia="zh-CN"/>
            </w:rPr>
            <w:t>二、绩效自评工作组织开展情况</w:t>
          </w:r>
          <w:r>
            <w:tab/>
          </w:r>
          <w:r>
            <w:fldChar w:fldCharType="begin"/>
          </w:r>
          <w:r>
            <w:instrText xml:space="preserve"> PAGEREF _Toc9296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_Toc12282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_Toc12282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_Toc1834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_Toc1834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_Toc510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_Toc510 \h </w:instrText>
          </w:r>
          <w:r>
            <w:fldChar w:fldCharType="separate"/>
          </w:r>
          <w:r>
            <w:t>4</w:t>
          </w:r>
          <w:r>
            <w:fldChar w:fldCharType="end"/>
          </w:r>
          <w:r>
            <w:fldChar w:fldCharType="end"/>
          </w:r>
        </w:p>
        <w:p>
          <w:pPr>
            <w:pStyle w:val="17"/>
            <w:tabs>
              <w:tab w:val="right" w:leader="dot" w:pos="8306"/>
              <w:tab w:val="clear" w:pos="8296"/>
            </w:tabs>
          </w:pPr>
          <w:r>
            <w:fldChar w:fldCharType="begin"/>
          </w:r>
          <w:r>
            <w:instrText xml:space="preserve"> HYPERLINK \l _Toc905 </w:instrText>
          </w:r>
          <w:r>
            <w:fldChar w:fldCharType="separate"/>
          </w:r>
          <w:r>
            <w:rPr>
              <w:rFonts w:hint="eastAsia"/>
            </w:rPr>
            <w:t>三、部门整体支出绩效自评情况分析</w:t>
          </w:r>
          <w:r>
            <w:tab/>
          </w:r>
          <w:r>
            <w:fldChar w:fldCharType="begin"/>
          </w:r>
          <w:r>
            <w:instrText xml:space="preserve"> PAGEREF _Toc905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_Toc3906 </w:instrText>
          </w:r>
          <w:r>
            <w:fldChar w:fldCharType="separate"/>
          </w:r>
          <w:r>
            <w:rPr>
              <w:rFonts w:hint="eastAsia"/>
            </w:rPr>
            <w:t>（一）部门决算情况</w:t>
          </w:r>
          <w:r>
            <w:tab/>
          </w:r>
          <w:r>
            <w:fldChar w:fldCharType="begin"/>
          </w:r>
          <w:r>
            <w:instrText xml:space="preserve"> PAGEREF _Toc3906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_Toc18358 </w:instrText>
          </w:r>
          <w:r>
            <w:fldChar w:fldCharType="separate"/>
          </w:r>
          <w:r>
            <w:rPr>
              <w:rFonts w:hint="eastAsia"/>
            </w:rPr>
            <w:t>（二）总体绩效目标完成情况分析</w:t>
          </w:r>
          <w:r>
            <w:tab/>
          </w:r>
          <w:r>
            <w:fldChar w:fldCharType="begin"/>
          </w:r>
          <w:r>
            <w:instrText xml:space="preserve"> PAGEREF _Toc18358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_Toc9584 </w:instrText>
          </w:r>
          <w:r>
            <w:fldChar w:fldCharType="separate"/>
          </w:r>
          <w:r>
            <w:rPr>
              <w:rFonts w:hint="eastAsia"/>
            </w:rPr>
            <w:t>（三）各项指标完成情况分析</w:t>
          </w:r>
          <w:r>
            <w:tab/>
          </w:r>
          <w:r>
            <w:fldChar w:fldCharType="begin"/>
          </w:r>
          <w:r>
            <w:instrText xml:space="preserve"> PAGEREF _Toc9584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_Toc26927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_Toc26927 \h </w:instrText>
          </w:r>
          <w:r>
            <w:fldChar w:fldCharType="separate"/>
          </w:r>
          <w:r>
            <w:t>13</w:t>
          </w:r>
          <w:r>
            <w:fldChar w:fldCharType="end"/>
          </w:r>
          <w:r>
            <w:fldChar w:fldCharType="end"/>
          </w:r>
        </w:p>
        <w:p>
          <w:pPr>
            <w:pStyle w:val="17"/>
            <w:tabs>
              <w:tab w:val="right" w:leader="dot" w:pos="8306"/>
              <w:tab w:val="clear" w:pos="8296"/>
            </w:tabs>
          </w:pPr>
          <w:r>
            <w:fldChar w:fldCharType="begin"/>
          </w:r>
          <w:r>
            <w:instrText xml:space="preserve"> HYPERLINK \l _Toc28832 </w:instrText>
          </w:r>
          <w:r>
            <w:fldChar w:fldCharType="separate"/>
          </w:r>
          <w:r>
            <w:rPr>
              <w:rFonts w:hint="eastAsia"/>
              <w:lang w:val="en-US" w:eastAsia="zh-CN"/>
            </w:rPr>
            <w:t>四、部门预算项目支出绩效自评情况分析</w:t>
          </w:r>
          <w:r>
            <w:tab/>
          </w:r>
          <w:r>
            <w:fldChar w:fldCharType="begin"/>
          </w:r>
          <w:r>
            <w:instrText xml:space="preserve"> PAGEREF _Toc28832 \h </w:instrText>
          </w:r>
          <w:r>
            <w:fldChar w:fldCharType="separate"/>
          </w:r>
          <w:r>
            <w:t>13</w:t>
          </w:r>
          <w:r>
            <w:fldChar w:fldCharType="end"/>
          </w:r>
          <w:r>
            <w:fldChar w:fldCharType="end"/>
          </w:r>
        </w:p>
        <w:p>
          <w:pPr>
            <w:pStyle w:val="18"/>
            <w:tabs>
              <w:tab w:val="right" w:leader="dot" w:pos="8306"/>
              <w:tab w:val="clear" w:pos="8296"/>
            </w:tabs>
          </w:pPr>
          <w:r>
            <w:fldChar w:fldCharType="begin"/>
          </w:r>
          <w:r>
            <w:instrText xml:space="preserve"> HYPERLINK \l _Toc26100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_Toc26100 \h </w:instrText>
          </w:r>
          <w:r>
            <w:fldChar w:fldCharType="separate"/>
          </w:r>
          <w:r>
            <w:t>13</w:t>
          </w:r>
          <w:r>
            <w:fldChar w:fldCharType="end"/>
          </w:r>
          <w:r>
            <w:fldChar w:fldCharType="end"/>
          </w:r>
        </w:p>
        <w:p>
          <w:pPr>
            <w:pStyle w:val="18"/>
            <w:tabs>
              <w:tab w:val="right" w:leader="dot" w:pos="8306"/>
              <w:tab w:val="clear" w:pos="8296"/>
            </w:tabs>
          </w:pPr>
          <w:r>
            <w:fldChar w:fldCharType="begin"/>
          </w:r>
          <w:r>
            <w:instrText xml:space="preserve"> HYPERLINK \l _Toc6126 </w:instrText>
          </w:r>
          <w: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r>
            <w:tab/>
          </w:r>
          <w:r>
            <w:fldChar w:fldCharType="begin"/>
          </w:r>
          <w:r>
            <w:instrText xml:space="preserve"> PAGEREF _Toc6126 \h </w:instrText>
          </w:r>
          <w:r>
            <w:fldChar w:fldCharType="separate"/>
          </w:r>
          <w:r>
            <w:t>19</w:t>
          </w:r>
          <w:r>
            <w:fldChar w:fldCharType="end"/>
          </w:r>
          <w:r>
            <w:fldChar w:fldCharType="end"/>
          </w:r>
        </w:p>
        <w:p>
          <w:pPr>
            <w:pStyle w:val="17"/>
            <w:tabs>
              <w:tab w:val="right" w:leader="dot" w:pos="8306"/>
              <w:tab w:val="clear" w:pos="8296"/>
            </w:tabs>
          </w:pPr>
          <w:r>
            <w:fldChar w:fldCharType="begin"/>
          </w:r>
          <w:r>
            <w:instrText xml:space="preserve"> HYPERLINK \l _Toc4982 </w:instrText>
          </w:r>
          <w:r>
            <w:fldChar w:fldCharType="separate"/>
          </w:r>
          <w:r>
            <w:rPr>
              <w:rFonts w:hint="eastAsia"/>
              <w:lang w:val="en-US" w:eastAsia="zh-CN"/>
            </w:rPr>
            <w:t>六、绩效自评结果拟应用和公开情况</w:t>
          </w:r>
          <w:r>
            <w:tab/>
          </w:r>
          <w:r>
            <w:fldChar w:fldCharType="begin"/>
          </w:r>
          <w:r>
            <w:instrText xml:space="preserve"> PAGEREF _Toc4982 \h </w:instrText>
          </w:r>
          <w:r>
            <w:fldChar w:fldCharType="separate"/>
          </w:r>
          <w:r>
            <w:t>2</w:t>
          </w:r>
          <w:r>
            <w:rPr>
              <w:rFonts w:hint="eastAsia"/>
              <w:lang w:val="en-US" w:eastAsia="zh-CN"/>
            </w:rPr>
            <w:t>3</w:t>
          </w:r>
          <w:r>
            <w:fldChar w:fldCharType="end"/>
          </w:r>
          <w:r>
            <w:fldChar w:fldCharType="end"/>
          </w:r>
        </w:p>
        <w:p>
          <w:pPr>
            <w:pStyle w:val="17"/>
            <w:tabs>
              <w:tab w:val="right" w:leader="dot" w:pos="8306"/>
              <w:tab w:val="clear" w:pos="8296"/>
            </w:tabs>
          </w:pPr>
          <w:r>
            <w:fldChar w:fldCharType="begin"/>
          </w:r>
          <w:r>
            <w:instrText xml:space="preserve"> HYPERLINK \l _Toc7954 </w:instrText>
          </w:r>
          <w:r>
            <w:fldChar w:fldCharType="separate"/>
          </w:r>
          <w:r>
            <w:rPr>
              <w:rFonts w:hint="eastAsia"/>
              <w:lang w:val="en-US" w:eastAsia="zh-CN"/>
            </w:rPr>
            <w:t>七、其他需要说明的问题</w:t>
          </w:r>
          <w:r>
            <w:tab/>
          </w:r>
          <w:r>
            <w:fldChar w:fldCharType="begin"/>
          </w:r>
          <w:r>
            <w:instrText xml:space="preserve"> PAGEREF _Toc7954 \h </w:instrText>
          </w:r>
          <w:r>
            <w:fldChar w:fldCharType="separate"/>
          </w:r>
          <w:r>
            <w:t>2</w:t>
          </w:r>
          <w:r>
            <w:rPr>
              <w:rFonts w:hint="eastAsia"/>
              <w:lang w:val="en-US" w:eastAsia="zh-CN"/>
            </w:rPr>
            <w:t>3</w:t>
          </w:r>
          <w:r>
            <w:fldChar w:fldCharType="end"/>
          </w:r>
          <w:r>
            <w:fldChar w:fldCharType="end"/>
          </w:r>
        </w:p>
        <w:p>
          <w:pPr>
            <w:pStyle w:val="17"/>
            <w:tabs>
              <w:tab w:val="right" w:leader="dot" w:pos="8306"/>
              <w:tab w:val="clear" w:pos="8296"/>
            </w:tabs>
            <w:spacing w:line="360" w:lineRule="auto"/>
            <w:ind w:firstLine="560" w:firstLineChars="0"/>
            <w:jc w:val="center"/>
          </w:pPr>
          <w:r>
            <w:fldChar w:fldCharType="end"/>
          </w:r>
        </w:p>
      </w:sdtContent>
    </w:sdt>
    <w:p>
      <w:pPr>
        <w:widowControl/>
        <w:spacing w:line="240" w:lineRule="auto"/>
        <w:ind w:firstLine="0" w:firstLineChars="0"/>
        <w:jc w:val="center"/>
        <w:rPr>
          <w:rFonts w:hint="eastAsia" w:ascii="宋体" w:hAnsi="宋体" w:eastAsia="宋体" w:cs="Arial"/>
          <w:b/>
          <w:bCs/>
          <w:sz w:val="44"/>
          <w:szCs w:val="44"/>
          <w:lang w:eastAsia="zh-CN"/>
        </w:rPr>
      </w:pPr>
      <w:bookmarkStart w:id="0" w:name="_Toc13158"/>
      <w:bookmarkStart w:id="1" w:name="_Toc4040"/>
      <w:bookmarkStart w:id="2" w:name="_Toc28671"/>
      <w:bookmarkStart w:id="3" w:name="_Toc22477"/>
      <w:bookmarkStart w:id="4" w:name="_Toc18188"/>
    </w:p>
    <w:p>
      <w:pPr>
        <w:widowControl/>
        <w:spacing w:line="240" w:lineRule="auto"/>
        <w:ind w:firstLine="0" w:firstLineChars="0"/>
        <w:jc w:val="center"/>
        <w:rPr>
          <w:rFonts w:hint="eastAsia" w:ascii="宋体" w:hAnsi="宋体" w:eastAsia="宋体" w:cs="Arial"/>
          <w:b/>
          <w:bCs/>
          <w:sz w:val="44"/>
          <w:szCs w:val="44"/>
          <w:lang w:eastAsia="zh-CN"/>
        </w:rPr>
      </w:pPr>
    </w:p>
    <w:p>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秦州区人民法院2023年度</w:t>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31091"/>
      <w:r>
        <w:rPr>
          <w:rFonts w:hint="eastAsia"/>
          <w:lang w:val="en-US" w:eastAsia="zh-CN"/>
        </w:rPr>
        <w:t>一、</w:t>
      </w:r>
      <w:r>
        <w:rPr>
          <w:rFonts w:hint="eastAsia"/>
        </w:rPr>
        <w:t>基本情况</w:t>
      </w:r>
      <w:bookmarkEnd w:id="2"/>
      <w:bookmarkEnd w:id="3"/>
      <w:bookmarkEnd w:id="4"/>
      <w:bookmarkEnd w:id="5"/>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819"/>
      <w:bookmarkStart w:id="7" w:name="_Toc16579"/>
      <w:bookmarkStart w:id="8" w:name="_Toc24636"/>
      <w:bookmarkStart w:id="9" w:name="_Toc18868"/>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0" w:name="_Toc7151"/>
      <w:bookmarkStart w:id="11" w:name="_Toc25335"/>
      <w:bookmarkStart w:id="12" w:name="_Toc20782"/>
      <w:r>
        <w:rPr>
          <w:rFonts w:hint="eastAsia"/>
          <w:lang w:val="en-US" w:eastAsia="zh-CN"/>
        </w:rPr>
        <w:t>秦州区</w:t>
      </w:r>
      <w:r>
        <w:rPr>
          <w:rFonts w:hint="eastAsia"/>
        </w:rPr>
        <w:t>人民法院是国家审判机关，依法独立行使审判权，对</w:t>
      </w:r>
      <w:r>
        <w:rPr>
          <w:rFonts w:hint="eastAsia"/>
          <w:lang w:val="en-US" w:eastAsia="zh-CN"/>
        </w:rPr>
        <w:t>市</w:t>
      </w:r>
      <w:r>
        <w:rPr>
          <w:rFonts w:hint="eastAsia"/>
        </w:rPr>
        <w:t>级地方人民代表大会及其常务委员会负责并报告工作</w:t>
      </w:r>
      <w:r>
        <w:rPr>
          <w:rFonts w:hint="eastAsia"/>
          <w:lang w:eastAsia="zh-CN"/>
        </w:rPr>
        <w:t>。</w:t>
      </w:r>
      <w:r>
        <w:rPr>
          <w:rFonts w:hint="eastAsia"/>
        </w:rPr>
        <w:t>其主要职责是：</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1、审理按法律规定有管辖权的第一审刑事公诉和自诉案件；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2、审理按法律规定有管辖权的第一审民商事案件；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3、审理按法律规定有管辖权的第一审行政诉讼案件，审查由行政机关提出的非诉行政执行申请；</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4、审理由上级人民法院指定本院管辖的案件；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5、审理由上一级人民法院指令再审、发回重审和由本院提起再审的案件；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6、受理当事人因不服本院已发生法律效力的判决书、裁定书、调解书所提起的申诉，并予以审查处理；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7、依法行使司法执行权，执行当事人提出申请的、由本院作出一审已发生法律效力的各类案件；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8、调查研究审判工作中的法律政策及疑难问题，总结审判经验；针对案件审理中发现的问题提出司法建议；</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9、负责对法官和审判辅助人员的管理、教育、培训工作；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10、在审判工作中宣传法律，教育公民自觉遵守宪法和法律，参与社会治安综合治理；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11、指导人民调解委员会的工作；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12、处理法律规定应由基层人民法院处理的其他工作。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3" w:name="_Toc26348"/>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3"/>
    </w:p>
    <w:p>
      <w:pPr>
        <w:pStyle w:val="4"/>
        <w:bidi w:val="0"/>
        <w:rPr>
          <w:rFonts w:hint="eastAsia"/>
          <w:lang w:val="en-US" w:eastAsia="zh-CN"/>
        </w:rPr>
      </w:pPr>
      <w:bookmarkStart w:id="14" w:name="_Toc28217"/>
      <w:bookmarkStart w:id="15" w:name="_Toc18193"/>
      <w:bookmarkStart w:id="16" w:name="_Toc4574"/>
      <w:bookmarkStart w:id="17" w:name="_Toc13794"/>
      <w:r>
        <w:rPr>
          <w:rFonts w:hint="eastAsia"/>
          <w:lang w:val="en-US" w:eastAsia="zh-CN"/>
        </w:rPr>
        <w:t>1.内设机构</w:t>
      </w:r>
      <w:bookmarkEnd w:id="14"/>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天水市秦州区人民法院现有1</w:t>
      </w:r>
      <w:r>
        <w:rPr>
          <w:rFonts w:hint="eastAsia"/>
          <w:lang w:val="en-US" w:eastAsia="zh-CN"/>
        </w:rPr>
        <w:t>1</w:t>
      </w:r>
      <w:r>
        <w:rPr>
          <w:rFonts w:hint="eastAsia"/>
        </w:rPr>
        <w:t>个内设机构：分别为办公室、政治部、纪检监察室、法警大队、立案庭、审监庭、刑庭、民一庭、民二庭、行政庭、执行庭（局）。</w:t>
      </w:r>
    </w:p>
    <w:p>
      <w:pPr>
        <w:pStyle w:val="4"/>
        <w:bidi w:val="0"/>
        <w:rPr>
          <w:rFonts w:hint="eastAsia"/>
        </w:rPr>
      </w:pPr>
      <w:r>
        <w:rPr>
          <w:rFonts w:hint="eastAsia"/>
        </w:rPr>
        <w:t>2.派出法庭</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派出法庭6个，分别为：天水郡人民法庭、七里墩人民法庭、皂郊人民法庭、平南人民法庭、小天水人民法庭、藉口人民法庭。</w:t>
      </w:r>
    </w:p>
    <w:p>
      <w:pPr>
        <w:pStyle w:val="4"/>
        <w:bidi w:val="0"/>
      </w:pPr>
      <w:r>
        <w:t>3.人员情况</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天水市秦州区人民法院编制人数</w:t>
      </w:r>
      <w:r>
        <w:rPr>
          <w:rFonts w:hint="eastAsia"/>
          <w:lang w:val="en-US" w:eastAsia="zh-CN"/>
        </w:rPr>
        <w:t>121</w:t>
      </w:r>
      <w:r>
        <w:rPr>
          <w:rFonts w:hint="eastAsia"/>
        </w:rPr>
        <w:t>人，其中，政法编制公务员113人，工勤编制8人。截至202</w:t>
      </w:r>
      <w:r>
        <w:rPr>
          <w:rFonts w:hint="eastAsia"/>
          <w:lang w:val="en-US" w:eastAsia="zh-CN"/>
        </w:rPr>
        <w:t>3</w:t>
      </w:r>
      <w:r>
        <w:rPr>
          <w:rFonts w:hint="eastAsia"/>
        </w:rPr>
        <w:t>年12月，我院实有行政在职人员118人，其中政法编制公务员11</w:t>
      </w:r>
      <w:r>
        <w:rPr>
          <w:rFonts w:hint="eastAsia"/>
          <w:lang w:val="en-US" w:eastAsia="zh-CN"/>
        </w:rPr>
        <w:t>3</w:t>
      </w:r>
      <w:r>
        <w:rPr>
          <w:rFonts w:hint="eastAsia"/>
        </w:rPr>
        <w:t>人，工勤人员8人。此外，我院实有省聘书记员49人，退休54人，遗属</w:t>
      </w:r>
      <w:r>
        <w:rPr>
          <w:rFonts w:hint="eastAsia"/>
          <w:lang w:val="en-US" w:eastAsia="zh-CN"/>
        </w:rPr>
        <w:t>4</w:t>
      </w:r>
      <w:r>
        <w:rPr>
          <w:rFonts w:hint="eastAsia"/>
        </w:rPr>
        <w:t>人。</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3" w:firstLineChars="200"/>
        <w:jc w:val="both"/>
        <w:textAlignment w:val="auto"/>
        <w:rPr>
          <w:rFonts w:hint="eastAsia"/>
          <w:lang w:val="en-US" w:eastAsia="zh-CN"/>
        </w:rPr>
      </w:pPr>
      <w:bookmarkStart w:id="18" w:name="_Toc9296"/>
      <w:r>
        <w:rPr>
          <w:rFonts w:hint="eastAsia"/>
          <w:lang w:val="en-US" w:eastAsia="zh-CN"/>
        </w:rPr>
        <w:t>二、绩效自评工作组织开展情况</w:t>
      </w:r>
      <w:bookmarkEnd w:id="15"/>
      <w:bookmarkEnd w:id="16"/>
      <w:bookmarkEnd w:id="17"/>
      <w:bookmarkEnd w:id="18"/>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9" w:name="_Toc12282"/>
      <w:bookmarkStart w:id="20" w:name="_Toc11147"/>
      <w:bookmarkStart w:id="21" w:name="_Toc31965"/>
      <w:bookmarkStart w:id="22" w:name="_Toc4177"/>
      <w:r>
        <w:rPr>
          <w:rFonts w:hint="eastAsia"/>
          <w:lang w:eastAsia="zh-CN"/>
        </w:rPr>
        <w:t>（</w:t>
      </w:r>
      <w:r>
        <w:rPr>
          <w:rFonts w:hint="eastAsia"/>
          <w:lang w:val="en-US" w:eastAsia="zh-CN"/>
        </w:rPr>
        <w:t>一</w:t>
      </w:r>
      <w:r>
        <w:rPr>
          <w:rFonts w:hint="eastAsia"/>
          <w:lang w:eastAsia="zh-CN"/>
        </w:rPr>
        <w:t>）自评工作组织管理情况</w:t>
      </w:r>
      <w:bookmarkEnd w:id="19"/>
    </w:p>
    <w:p>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、中共甘肃省委甘肃省人民政府《关于全面实施预算绩效管理的实施意见》（甘发〔2018〕32号）、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rPr>
          <w:rFonts w:hint="eastAsia"/>
        </w:rPr>
        <w:t>等文件的要求，联合各相关业务部门共同完成此次自评工作。自评工作遵循科学公正、统筹兼顾、激励约束和公开透明的原则，以我院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3" w:name="_Toc29448"/>
      <w:bookmarkStart w:id="24" w:name="_Toc26980"/>
      <w:bookmarkStart w:id="25" w:name="_Toc13356"/>
      <w:bookmarkStart w:id="26" w:name="_Toc1834"/>
      <w:bookmarkStart w:id="27" w:name="_Toc28216"/>
      <w:r>
        <w:rPr>
          <w:rFonts w:hint="eastAsia"/>
          <w:lang w:eastAsia="zh-CN"/>
        </w:rPr>
        <w:t>（</w:t>
      </w:r>
      <w:r>
        <w:rPr>
          <w:rFonts w:hint="eastAsia"/>
          <w:lang w:val="en-US" w:eastAsia="zh-CN"/>
        </w:rPr>
        <w:t>二</w:t>
      </w:r>
      <w:r>
        <w:rPr>
          <w:rFonts w:hint="eastAsia"/>
          <w:lang w:eastAsia="zh-CN"/>
        </w:rPr>
        <w:t>）自评对象和范围</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w:t>
      </w:r>
      <w:bookmarkStart w:id="76" w:name="_GoBack"/>
      <w:bookmarkEnd w:id="76"/>
      <w:r>
        <w:rPr>
          <w:rFonts w:hint="eastAsia"/>
        </w:rPr>
        <w:t>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ighlight w:val="none"/>
          <w:lang w:val="en-US" w:eastAsia="zh-CN"/>
        </w:rPr>
        <w:t>法庭运维费项目自评</w:t>
      </w:r>
      <w:r>
        <w:rPr>
          <w:rFonts w:hint="eastAsia" w:hAnsi="宋体"/>
          <w:szCs w:val="28"/>
          <w:highlight w:val="none"/>
        </w:rPr>
        <w:t>和部门整体支出自评。</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8" w:name="_Toc510"/>
      <w:bookmarkStart w:id="29" w:name="_Toc25203"/>
      <w:bookmarkStart w:id="30" w:name="_Toc18694"/>
      <w:bookmarkStart w:id="31" w:name="_Toc22785"/>
      <w:bookmarkStart w:id="32" w:name="_Toc25429"/>
      <w:r>
        <w:rPr>
          <w:rFonts w:hint="eastAsia"/>
          <w:lang w:eastAsia="zh-CN"/>
        </w:rPr>
        <w:t>（</w:t>
      </w:r>
      <w:r>
        <w:rPr>
          <w:rFonts w:hint="eastAsia"/>
          <w:lang w:val="en-US" w:eastAsia="zh-CN"/>
        </w:rPr>
        <w:t>三</w:t>
      </w:r>
      <w:r>
        <w:rPr>
          <w:rFonts w:hint="eastAsia"/>
          <w:lang w:eastAsia="zh-CN"/>
        </w:rPr>
        <w:t>）自评工作程序</w:t>
      </w:r>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20"/>
    <w:bookmarkEnd w:id="21"/>
    <w:bookmarkEnd w:id="22"/>
    <w:p>
      <w:pPr>
        <w:pStyle w:val="2"/>
        <w:keepNext/>
        <w:keepLines/>
        <w:pageBreakBefore w:val="0"/>
        <w:widowControl w:val="0"/>
        <w:kinsoku/>
        <w:wordWrap/>
        <w:overflowPunct/>
        <w:topLinePunct w:val="0"/>
        <w:autoSpaceDE/>
        <w:autoSpaceDN/>
        <w:bidi w:val="0"/>
        <w:adjustRightInd/>
        <w:snapToGrid/>
        <w:spacing w:before="0" w:after="0"/>
        <w:textAlignment w:val="auto"/>
      </w:pPr>
      <w:bookmarkStart w:id="33" w:name="_Toc31556"/>
      <w:bookmarkStart w:id="34" w:name="_Toc17042"/>
      <w:bookmarkStart w:id="35" w:name="_Toc905"/>
      <w:bookmarkStart w:id="36" w:name="_Toc26000"/>
      <w:r>
        <w:rPr>
          <w:rFonts w:hint="eastAsia"/>
        </w:rPr>
        <w:t>三、部门整体支出绩效自评情况分析</w:t>
      </w:r>
      <w:bookmarkEnd w:id="33"/>
      <w:bookmarkEnd w:id="34"/>
      <w:bookmarkEnd w:id="35"/>
      <w:bookmarkEnd w:id="36"/>
      <w:r>
        <w:tab/>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7" w:name="_Toc32623"/>
      <w:bookmarkStart w:id="38" w:name="_Toc8171"/>
      <w:bookmarkStart w:id="39" w:name="_Toc3906"/>
      <w:bookmarkStart w:id="40" w:name="_Toc3483"/>
      <w:r>
        <w:rPr>
          <w:rFonts w:hint="eastAsia"/>
        </w:rPr>
        <w:t>（一）部门决算情况</w:t>
      </w:r>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2023年度秦州区人民法院年初预算3678.81万元</w:t>
      </w:r>
      <w:r>
        <w:rPr>
          <w:rFonts w:hint="eastAsia"/>
          <w:lang w:eastAsia="zh-CN"/>
        </w:rPr>
        <w:t>，</w:t>
      </w:r>
      <w:r>
        <w:rPr>
          <w:rFonts w:hint="eastAsia"/>
        </w:rPr>
        <w:t>全年预算</w:t>
      </w:r>
      <w:r>
        <w:rPr>
          <w:rFonts w:hint="eastAsia"/>
          <w:lang w:eastAsia="zh-CN"/>
        </w:rPr>
        <w:t>数</w:t>
      </w:r>
      <w:r>
        <w:rPr>
          <w:rFonts w:hint="eastAsia"/>
          <w:lang w:val="en-US" w:eastAsia="zh-CN"/>
        </w:rPr>
        <w:t>5222.66万元，实际支出数5207.27万元，</w:t>
      </w:r>
      <w:r>
        <w:rPr>
          <w:rFonts w:hint="eastAsia"/>
        </w:rPr>
        <w:t>部门整体支出预算执行率为</w:t>
      </w:r>
      <w:r>
        <w:rPr>
          <w:rFonts w:hint="eastAsia"/>
          <w:lang w:val="en-US" w:eastAsia="zh-CN"/>
        </w:rPr>
        <w:t>99.71%。</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1" w:name="_Toc22782"/>
      <w:bookmarkStart w:id="42" w:name="_Toc10769"/>
      <w:bookmarkStart w:id="43" w:name="_Toc18358"/>
      <w:bookmarkStart w:id="44" w:name="_Toc21423"/>
      <w:r>
        <w:rPr>
          <w:rFonts w:hint="eastAsia"/>
        </w:rPr>
        <w:t>（二）总体绩效目标完成情况分析</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经综合评价与分析，秦州区人民法院2023年度部门整体支出绩效评价最终得分为97.12分，评价结果为“优”。最终评分结果如下表所示：</w:t>
      </w:r>
    </w:p>
    <w:p>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9.97</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19.99</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99.95%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60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57.16</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95.27%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97.12</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97.12%</w:t>
            </w:r>
          </w:p>
        </w:tc>
      </w:tr>
    </w:tbl>
    <w:p>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）加强队伍素质能力建设，本年度计划开展相关业务培训活动，进一步提高干警业务能力，确保我院工作人员技能水平的提升，提高案件当事人满意度。</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）我院本年度受理案件工作、审理执行案件工作、审判民商事案件工作、审判刑事案件案件、审判行政案件工作均基本完成，有效保障了审判服务。</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）我院加强队伍素质能力建设，开展计划业务培训活动，进一步提高干警业务能力，使我院工作人员技能水平的提升，提高案件当事人满意度。</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eastAsia="仿宋_GB2312"/>
          <w:lang w:eastAsia="zh-CN"/>
        </w:rPr>
      </w:pPr>
      <w:r>
        <w:rPr>
          <w:rFonts w:hint="eastAsia"/>
          <w:lang w:eastAsia="zh-CN"/>
        </w:rPr>
        <w:t>（</w:t>
      </w:r>
      <w:r>
        <w:rPr>
          <w:rFonts w:hint="eastAsia"/>
          <w:lang w:val="en-US" w:eastAsia="zh-CN"/>
        </w:rPr>
        <w:t>3</w:t>
      </w:r>
      <w:r>
        <w:rPr>
          <w:rFonts w:hint="eastAsia"/>
          <w:lang w:eastAsia="zh-CN"/>
        </w:rPr>
        <w:t>）完成装备购置工作，采购执法执勤用车</w:t>
      </w:r>
      <w:r>
        <w:rPr>
          <w:rFonts w:hint="eastAsia"/>
          <w:lang w:val="en-US" w:eastAsia="zh-CN"/>
        </w:rPr>
        <w:t>2辆</w:t>
      </w:r>
      <w:r>
        <w:rPr>
          <w:rFonts w:hint="eastAsia"/>
          <w:lang w:eastAsia="zh-CN"/>
        </w:rPr>
        <w:t>。</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5" w:name="_Toc7799"/>
      <w:bookmarkStart w:id="46" w:name="_Toc18553"/>
      <w:bookmarkStart w:id="47" w:name="_Toc9584"/>
      <w:bookmarkStart w:id="48" w:name="_Toc17819"/>
      <w:r>
        <w:rPr>
          <w:rFonts w:hint="eastAsia"/>
        </w:rPr>
        <w:t>（三）各项指标完成情况分析</w:t>
      </w:r>
      <w:bookmarkEnd w:id="45"/>
      <w:bookmarkEnd w:id="46"/>
      <w:bookmarkEnd w:id="47"/>
      <w:bookmarkEnd w:id="48"/>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hAnsi="宋体"/>
          <w:szCs w:val="28"/>
          <w:lang w:eastAsia="zh-CN"/>
        </w:rPr>
        <w:t>根据《秦州区人民法院</w:t>
      </w:r>
      <w:r>
        <w:rPr>
          <w:rFonts w:hint="eastAsia" w:hAnsi="宋体"/>
          <w:szCs w:val="28"/>
          <w:lang w:val="en-US" w:eastAsia="zh-CN"/>
        </w:rPr>
        <w:t>2023年度决算报表</w:t>
      </w:r>
      <w:r>
        <w:rPr>
          <w:rFonts w:hint="eastAsia" w:hAnsi="宋体"/>
          <w:szCs w:val="28"/>
          <w:lang w:eastAsia="zh-CN"/>
        </w:rPr>
        <w:t>》及相关资料，</w:t>
      </w:r>
      <w:r>
        <w:rPr>
          <w:rFonts w:hint="eastAsia" w:hAnsi="宋体"/>
          <w:szCs w:val="28"/>
        </w:rPr>
        <w:t>我院</w:t>
      </w:r>
      <w:r>
        <w:rPr>
          <w:rFonts w:hint="eastAsia" w:hAnsi="宋体"/>
          <w:szCs w:val="28"/>
          <w:lang w:eastAsia="zh-CN"/>
        </w:rPr>
        <w:t>2023年</w:t>
      </w:r>
      <w:r>
        <w:rPr>
          <w:rFonts w:hint="eastAsia"/>
          <w:lang w:val="en-US" w:eastAsia="zh-CN"/>
        </w:rPr>
        <w:t>年初预算3678.81万元</w:t>
      </w:r>
      <w:r>
        <w:rPr>
          <w:rFonts w:hint="eastAsia"/>
          <w:lang w:eastAsia="zh-CN"/>
        </w:rPr>
        <w:t>，</w:t>
      </w:r>
      <w:r>
        <w:rPr>
          <w:rFonts w:hint="eastAsia"/>
        </w:rPr>
        <w:t>全年预算</w:t>
      </w:r>
      <w:r>
        <w:rPr>
          <w:rFonts w:hint="eastAsia"/>
          <w:lang w:eastAsia="zh-CN"/>
        </w:rPr>
        <w:t>数</w:t>
      </w:r>
      <w:r>
        <w:rPr>
          <w:rFonts w:hint="eastAsia"/>
          <w:lang w:val="en-US" w:eastAsia="zh-CN"/>
        </w:rPr>
        <w:t>5222.66万元，实际支出数5207.27万元，</w:t>
      </w:r>
      <w:r>
        <w:rPr>
          <w:rFonts w:hint="eastAsia"/>
        </w:rPr>
        <w:t>部门整体支出预算执行率为</w:t>
      </w:r>
      <w:r>
        <w:rPr>
          <w:rFonts w:hint="eastAsia"/>
          <w:lang w:val="en-US" w:eastAsia="zh-CN"/>
        </w:rPr>
        <w:t>99.71%。</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9.97</w:t>
      </w:r>
      <w:r>
        <w:rPr>
          <w:rFonts w:hint="eastAsia"/>
          <w:color w:val="000000" w:themeColor="text1"/>
          <w:szCs w:val="28"/>
          <w14:textFill>
            <w14:solidFill>
              <w14:schemeClr w14:val="tx1"/>
            </w14:solidFill>
          </w14:textFill>
        </w:rPr>
        <w:t>分，得分率为</w:t>
      </w:r>
      <w:r>
        <w:rPr>
          <w:rFonts w:hint="eastAsia"/>
          <w:lang w:val="en-US" w:eastAsia="zh-CN"/>
        </w:rPr>
        <w:t>99.70%</w:t>
      </w:r>
      <w:r>
        <w:rPr>
          <w:rFonts w:hint="eastAsia"/>
          <w:color w:val="000000" w:themeColor="text1"/>
          <w:szCs w:val="28"/>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19.99</w:t>
      </w:r>
      <w:r>
        <w:rPr>
          <w:rFonts w:hint="eastAsia"/>
          <w:highlight w:val="none"/>
        </w:rPr>
        <w:t>分，得分率</w:t>
      </w:r>
      <w:r>
        <w:rPr>
          <w:rFonts w:hint="eastAsia"/>
          <w:highlight w:val="none"/>
          <w:lang w:val="en-US" w:eastAsia="zh-CN"/>
        </w:rPr>
        <w:t>99.95</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资金投入</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99.52%</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2"/>
                <w:szCs w:val="22"/>
                <w:u w:val="none"/>
                <w:lang w:val="en-US" w:eastAsia="zh-CN" w:bidi="ar"/>
              </w:rPr>
              <w:t>1.99</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99.50%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95.24%</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-29.62</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采购管理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资产管理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93.08%</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重点工作管理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5960"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19.99</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99.95%</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数3212.16万元，</w:t>
      </w:r>
      <w:r>
        <w:rPr>
          <w:rFonts w:hint="eastAsia" w:hAnsi="宋体"/>
          <w:szCs w:val="28"/>
          <w:highlight w:val="none"/>
        </w:rPr>
        <w:t>实际支出数</w:t>
      </w:r>
      <w:r>
        <w:rPr>
          <w:rFonts w:hint="eastAsia" w:hAnsi="宋体"/>
          <w:szCs w:val="28"/>
          <w:highlight w:val="none"/>
          <w:lang w:val="en-US" w:eastAsia="zh-CN"/>
        </w:rPr>
        <w:t>3196.77</w:t>
      </w:r>
      <w:r>
        <w:rPr>
          <w:rFonts w:hint="eastAsia" w:hAnsi="宋体"/>
          <w:szCs w:val="28"/>
          <w:highlight w:val="none"/>
        </w:rPr>
        <w:t>万元，基本支出预算执行率为</w:t>
      </w:r>
      <w:r>
        <w:rPr>
          <w:rFonts w:hint="eastAsia" w:hAnsi="宋体"/>
          <w:szCs w:val="28"/>
          <w:highlight w:val="none"/>
          <w:lang w:val="en-US" w:eastAsia="zh-CN"/>
        </w:rPr>
        <w:t>99.52</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1.99</w:t>
      </w:r>
      <w:r>
        <w:rPr>
          <w:rFonts w:hint="eastAsia" w:hAnsi="宋体"/>
          <w:szCs w:val="28"/>
          <w:highlight w:val="none"/>
        </w:rPr>
        <w:t>分，得分率为</w:t>
      </w:r>
      <w:r>
        <w:rPr>
          <w:rFonts w:hint="eastAsia" w:hAnsi="宋体"/>
          <w:szCs w:val="28"/>
          <w:highlight w:val="none"/>
          <w:lang w:val="en-US" w:eastAsia="zh-CN"/>
        </w:rPr>
        <w:t>99.50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项目支出预算执行率为</w:t>
      </w:r>
      <w:r>
        <w:rPr>
          <w:rFonts w:hint="eastAsia" w:hAnsi="宋体"/>
          <w:szCs w:val="28"/>
          <w:highlight w:val="none"/>
          <w:lang w:val="en-US" w:eastAsia="zh-CN"/>
        </w:rPr>
        <w:t>100.00%</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2分，得</w:t>
      </w:r>
      <w:r>
        <w:rPr>
          <w:rFonts w:hint="eastAsia" w:hAnsi="宋体"/>
          <w:szCs w:val="28"/>
          <w:highlight w:val="none"/>
        </w:rPr>
        <w:t>分率为</w:t>
      </w:r>
      <w:r>
        <w:rPr>
          <w:rFonts w:hint="eastAsia" w:hAnsi="宋体"/>
          <w:szCs w:val="28"/>
          <w:highlight w:val="none"/>
          <w:lang w:val="en-US" w:eastAsia="zh-CN"/>
        </w:rPr>
        <w:t>100.00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全年预算数114.96万元，实际支出数109.49万元，</w:t>
      </w:r>
      <w:r>
        <w:rPr>
          <w:rFonts w:hint="eastAsia" w:hAnsi="宋体"/>
          <w:szCs w:val="28"/>
          <w:highlight w:val="none"/>
        </w:rPr>
        <w:t>“三公经费”控制率为</w:t>
      </w:r>
      <w:r>
        <w:rPr>
          <w:rFonts w:hint="eastAsia" w:hAnsi="宋体"/>
          <w:szCs w:val="28"/>
          <w:highlight w:val="none"/>
          <w:lang w:val="en-US" w:eastAsia="zh-CN"/>
        </w:rPr>
        <w:t>95.24%，达到年度目标值</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val="en-US" w:eastAsia="zh-CN"/>
        </w:rPr>
        <w:t>100.00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2</w:t>
      </w:r>
      <w:r>
        <w:rPr>
          <w:rFonts w:hint="eastAsia" w:hAnsi="宋体"/>
          <w:szCs w:val="28"/>
        </w:rPr>
        <w:t>年</w:t>
      </w:r>
      <w:r>
        <w:rPr>
          <w:rFonts w:hint="eastAsia" w:hAnsi="宋体"/>
          <w:szCs w:val="28"/>
          <w:lang w:val="en-US" w:eastAsia="zh-CN"/>
        </w:rPr>
        <w:t>结转结余51.50万元</w:t>
      </w:r>
      <w:r>
        <w:rPr>
          <w:rFonts w:hint="eastAsia" w:hAnsi="宋体"/>
          <w:szCs w:val="28"/>
          <w:lang w:eastAsia="zh-CN"/>
        </w:rPr>
        <w:t>，</w:t>
      </w:r>
      <w:r>
        <w:rPr>
          <w:rFonts w:hint="eastAsia" w:hAnsi="宋体"/>
          <w:szCs w:val="28"/>
          <w:lang w:val="en-US" w:eastAsia="zh-CN"/>
        </w:rPr>
        <w:t>2023年结转结余15.39万元，</w:t>
      </w:r>
      <w:r>
        <w:rPr>
          <w:rFonts w:hint="eastAsia" w:hAnsi="宋体"/>
          <w:szCs w:val="28"/>
        </w:rPr>
        <w:t>结转结余资金变动率为</w:t>
      </w:r>
      <w:r>
        <w:rPr>
          <w:rFonts w:hint="eastAsia" w:hAnsi="宋体"/>
          <w:szCs w:val="28"/>
          <w:lang w:val="en-US" w:eastAsia="zh-CN"/>
        </w:rPr>
        <w:t>-29.62%，年度目标值小于等于0%</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，在职人员</w:t>
      </w:r>
      <w:r>
        <w:rPr>
          <w:rFonts w:hint="eastAsia" w:hAnsi="宋体"/>
          <w:szCs w:val="28"/>
          <w:lang w:val="en-US" w:eastAsia="zh-CN"/>
        </w:rPr>
        <w:t>控制率93.08%，达到目标值。</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49" w:name="_Toc40046032"/>
      <w:r>
        <w:rPr>
          <w:rFonts w:hint="eastAsia"/>
          <w:lang w:val="en-US" w:eastAsia="zh-CN"/>
        </w:rPr>
        <w:t>3.</w:t>
      </w:r>
      <w:r>
        <w:rPr>
          <w:rFonts w:hint="eastAsia"/>
        </w:rPr>
        <w:t>履职效果</w:t>
      </w:r>
      <w:bookmarkEnd w:id="49"/>
      <w:r>
        <w:rPr>
          <w:rFonts w:hint="eastAsia"/>
          <w:lang w:val="en-US" w:eastAsia="zh-CN"/>
        </w:rPr>
        <w:t>目标完成情况分析</w:t>
      </w:r>
    </w:p>
    <w:p>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4</w:t>
      </w:r>
      <w:r>
        <w:rPr>
          <w:rFonts w:hint="eastAsia"/>
          <w:highlight w:val="none"/>
        </w:rPr>
        <w:t>个二级指标，下设</w:t>
      </w:r>
      <w:r>
        <w:rPr>
          <w:rFonts w:hint="eastAsia"/>
          <w:highlight w:val="none"/>
          <w:lang w:val="en-US" w:eastAsia="zh-CN"/>
        </w:rPr>
        <w:t>17</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57.16</w:t>
      </w:r>
      <w:r>
        <w:rPr>
          <w:rFonts w:hint="eastAsia"/>
          <w:highlight w:val="none"/>
        </w:rPr>
        <w:t>分，</w:t>
      </w:r>
      <w:r>
        <w:rPr>
          <w:highlight w:val="none"/>
        </w:rPr>
        <w:t>得分率</w:t>
      </w:r>
      <w:r>
        <w:rPr>
          <w:rFonts w:hint="eastAsia"/>
          <w:highlight w:val="none"/>
          <w:lang w:val="en-US" w:eastAsia="zh-CN"/>
        </w:rPr>
        <w:t>95.27</w:t>
      </w:r>
      <w:r>
        <w:rPr>
          <w:highlight w:val="none"/>
        </w:rPr>
        <w:t>%</w:t>
      </w:r>
      <w:r>
        <w:rPr>
          <w:rFonts w:hint="eastAsia"/>
          <w:highlight w:val="none"/>
        </w:rPr>
        <w:t>。</w:t>
      </w:r>
      <w:r>
        <w:rPr>
          <w:rFonts w:hint="eastAsia"/>
          <w:b/>
          <w:bCs/>
          <w:lang w:eastAsia="zh-CN"/>
        </w:rPr>
        <w:tab/>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部门履职目标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数量指标：民商事案件结案率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99.48%</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数量指标：刑事案件结案率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95.29%</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数量指标：执行案件结案率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&gt;=70%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96.88%</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3.05</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97.76%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数量指标：登记立案率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85%</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质量指标：再审审查率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&lt;=5%</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0.24%</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质量指标：执行案件重本合格率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质量指标：当庭宣判率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92%</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时效指标：法定审限内结案率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95.94%</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时效指标：受理案件及时性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成本指标：成本控制情况</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在预算范围内</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部门效果目标</w:t>
            </w:r>
          </w:p>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经济效益指标：执行标的到位率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33.64%</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1.38</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44.23%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社会效益指标：民商事案件调解成功率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&gt;=50%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33.42%</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2.09</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66.99%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社会效益指标：化解社会矛盾，维护社会稳定</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维护</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当事人满意度</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92%</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社会影响</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单位获奖情况</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违法违纪情况</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3.12</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4" w:hRule="atLeast"/>
          <w:tblHeader/>
        </w:trPr>
        <w:tc>
          <w:tcPr>
            <w:tcW w:w="5960"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57.16</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95.27%</w:t>
            </w:r>
          </w:p>
        </w:tc>
      </w:tr>
    </w:tbl>
    <w:p>
      <w:pPr>
        <w:pStyle w:val="23"/>
        <w:keepNext w:val="0"/>
        <w:keepLines w:val="0"/>
        <w:pageBreakBefore w:val="0"/>
        <w:widowControl w:val="0"/>
        <w:numPr>
          <w:ilvl w:val="0"/>
          <w:numId w:val="1"/>
        </w:numPr>
        <w:kinsoku/>
        <w:wordWrap/>
        <w:overflowPunct/>
        <w:topLinePunct w:val="0"/>
        <w:autoSpaceDE/>
        <w:autoSpaceDN/>
        <w:bidi w:val="0"/>
        <w:adjustRightInd/>
        <w:snapToGrid/>
        <w:spacing w:after="0"/>
        <w:ind w:left="0" w:leftChars="0" w:firstLine="562" w:firstLineChars="200"/>
        <w:jc w:val="both"/>
        <w:textAlignment w:val="auto"/>
        <w:rPr>
          <w:rFonts w:hint="eastAsia"/>
          <w:b/>
          <w:bCs/>
          <w:highlight w:val="none"/>
          <w:lang w:val="en-US" w:eastAsia="zh-CN"/>
        </w:rPr>
      </w:pPr>
      <w:r>
        <w:rPr>
          <w:rFonts w:hint="eastAsia"/>
          <w:b/>
          <w:bCs/>
          <w:highlight w:val="none"/>
          <w:lang w:val="en-US" w:eastAsia="zh-CN"/>
        </w:rPr>
        <w:t>部门履职目标</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ind w:firstLine="560" w:firstLineChars="200"/>
        <w:jc w:val="both"/>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下设数量指标：民商事案件结案率、行政案件结案率、刑事案件结案率、登记立案率；质量指标：再审审查率、执行案件终本合格率、当庭宣判率；时效指标：法定审限内结案率、受理案件及时性；成本指标：成本控制情况等三级指标。均达到年度目标值，该指标值共31.28分，自评得分31.28分，得分率100.00%。</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ind w:firstLine="560" w:firstLineChars="200"/>
        <w:jc w:val="both"/>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执行案件结案率年度目标值大于等于70%，实际完成值96.88%，该指标值3.12分，自评得分3.05分，得分率97.76%。</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ind w:firstLine="560" w:firstLineChars="200"/>
        <w:jc w:val="both"/>
        <w:textAlignment w:val="auto"/>
        <w:rPr>
          <w:rFonts w:hint="default" w:ascii="仿宋" w:hAnsi="仿宋" w:eastAsia="仿宋" w:cs="仿宋"/>
          <w:b w:val="0"/>
          <w:bCs w:val="0"/>
          <w:highlight w:val="none"/>
          <w:lang w:val="en-US" w:eastAsia="zh-CN"/>
        </w:rPr>
      </w:pPr>
    </w:p>
    <w:p>
      <w:pPr>
        <w:pStyle w:val="23"/>
        <w:keepNext w:val="0"/>
        <w:keepLines w:val="0"/>
        <w:pageBreakBefore w:val="0"/>
        <w:widowControl w:val="0"/>
        <w:numPr>
          <w:ilvl w:val="0"/>
          <w:numId w:val="1"/>
        </w:numPr>
        <w:kinsoku/>
        <w:wordWrap/>
        <w:overflowPunct/>
        <w:topLinePunct w:val="0"/>
        <w:autoSpaceDE/>
        <w:autoSpaceDN/>
        <w:bidi w:val="0"/>
        <w:adjustRightInd/>
        <w:snapToGrid/>
        <w:spacing w:after="0"/>
        <w:ind w:left="0" w:leftChars="0" w:firstLine="562" w:firstLineChars="200"/>
        <w:jc w:val="both"/>
        <w:textAlignment w:val="auto"/>
        <w:rPr>
          <w:rFonts w:hint="eastAsia"/>
          <w:b/>
          <w:bCs/>
          <w:highlight w:val="none"/>
          <w:lang w:val="en-US" w:eastAsia="zh-CN"/>
        </w:rPr>
      </w:pPr>
      <w:r>
        <w:rPr>
          <w:rFonts w:hint="eastAsia"/>
          <w:b/>
          <w:bCs/>
          <w:highlight w:val="none"/>
          <w:lang w:val="en-US" w:eastAsia="zh-CN"/>
        </w:rPr>
        <w:t>部门效果目标</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宋体" w:eastAsia="仿宋_GB2312" w:cstheme="minorBidi"/>
          <w:b/>
          <w:bCs/>
          <w:kern w:val="2"/>
          <w:sz w:val="28"/>
          <w:szCs w:val="28"/>
          <w:lang w:val="en-US" w:eastAsia="zh-CN" w:bidi="ar-SA"/>
        </w:rPr>
        <w:t>执行标的到位率：</w:t>
      </w:r>
      <w:r>
        <w:rPr>
          <w:rFonts w:hint="eastAsia" w:ascii="仿宋_GB2312" w:hAnsi="仿宋_GB2312" w:eastAsia="仿宋_GB2312" w:cs="仿宋_GB2312"/>
          <w:kern w:val="2"/>
          <w:sz w:val="28"/>
          <w:szCs w:val="28"/>
          <w:lang w:val="en-US" w:eastAsia="zh-CN" w:bidi="ar-SA"/>
        </w:rPr>
        <w:t>年度目标值</w:t>
      </w:r>
      <w:r>
        <w:rPr>
          <w:rFonts w:hint="eastAsia" w:cs="仿宋_GB2312"/>
          <w:kern w:val="2"/>
          <w:sz w:val="28"/>
          <w:szCs w:val="28"/>
          <w:lang w:val="en-US" w:eastAsia="zh-CN" w:bidi="ar-SA"/>
        </w:rPr>
        <w:t>大于等于10%，实际完成值33.64%，</w:t>
      </w:r>
      <w:r>
        <w:rPr>
          <w:rFonts w:hint="eastAsia"/>
        </w:rPr>
        <w:t>该指标分值</w:t>
      </w:r>
      <w:r>
        <w:rPr>
          <w:rFonts w:hint="eastAsia"/>
          <w:lang w:val="en-US" w:eastAsia="zh-CN"/>
        </w:rPr>
        <w:t>3.12</w:t>
      </w:r>
      <w:r>
        <w:rPr>
          <w:rFonts w:hint="eastAsia"/>
        </w:rPr>
        <w:t>分，自评得分</w:t>
      </w:r>
      <w:r>
        <w:rPr>
          <w:rFonts w:hint="eastAsia"/>
          <w:lang w:val="en-US" w:eastAsia="zh-CN"/>
        </w:rPr>
        <w:t>1.38</w:t>
      </w:r>
      <w:r>
        <w:rPr>
          <w:rFonts w:hint="eastAsia"/>
        </w:rPr>
        <w:t>分，得分率</w:t>
      </w:r>
      <w:r>
        <w:rPr>
          <w:rFonts w:hint="eastAsia"/>
          <w:lang w:val="en-US" w:eastAsia="zh-CN"/>
        </w:rPr>
        <w:t>44</w:t>
      </w:r>
      <w:r>
        <w:rPr>
          <w:rFonts w:hint="eastAsia"/>
          <w:lang w:eastAsia="zh-CN"/>
        </w:rPr>
        <w:t>.</w:t>
      </w:r>
      <w:r>
        <w:rPr>
          <w:rFonts w:hint="eastAsia"/>
          <w:lang w:val="en-US" w:eastAsia="zh-CN"/>
        </w:rPr>
        <w:t>23</w:t>
      </w:r>
      <w:r>
        <w:rPr>
          <w:rFonts w:hint="eastAsia"/>
          <w:lang w:eastAsia="zh-CN"/>
        </w:rPr>
        <w:t>%</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b w:val="0"/>
          <w:bCs w:val="0"/>
          <w:highlight w:val="none"/>
          <w:lang w:val="en-US" w:eastAsia="zh-CN"/>
        </w:rPr>
      </w:pPr>
      <w:r>
        <w:rPr>
          <w:rFonts w:hint="eastAsia" w:ascii="仿宋_GB2312" w:hAnsi="宋体" w:eastAsia="仿宋_GB2312" w:cstheme="minorBidi"/>
          <w:b/>
          <w:bCs/>
          <w:kern w:val="2"/>
          <w:sz w:val="28"/>
          <w:szCs w:val="28"/>
          <w:lang w:val="en-US" w:eastAsia="zh-CN" w:bidi="ar-SA"/>
        </w:rPr>
        <w:t>民商事案件调解成功率：</w:t>
      </w:r>
      <w:r>
        <w:rPr>
          <w:rFonts w:hint="eastAsia" w:ascii="仿宋_GB2312" w:hAnsi="仿宋_GB2312" w:eastAsia="仿宋_GB2312" w:cs="仿宋_GB2312"/>
          <w:kern w:val="2"/>
          <w:sz w:val="28"/>
          <w:szCs w:val="28"/>
          <w:lang w:val="en-US" w:eastAsia="zh-CN" w:bidi="ar-SA"/>
        </w:rPr>
        <w:t>年度目标值</w:t>
      </w:r>
      <w:r>
        <w:rPr>
          <w:rFonts w:hint="eastAsia" w:cs="仿宋_GB2312"/>
          <w:kern w:val="2"/>
          <w:sz w:val="28"/>
          <w:szCs w:val="28"/>
          <w:lang w:val="en-US" w:eastAsia="zh-CN" w:bidi="ar-SA"/>
        </w:rPr>
        <w:t>大于等于50%，实际完成值33.42%，</w:t>
      </w:r>
      <w:r>
        <w:rPr>
          <w:rFonts w:hint="eastAsia"/>
        </w:rPr>
        <w:t>该指标分值</w:t>
      </w:r>
      <w:r>
        <w:rPr>
          <w:rFonts w:hint="eastAsia"/>
          <w:lang w:val="en-US" w:eastAsia="zh-CN"/>
        </w:rPr>
        <w:t>3.12</w:t>
      </w:r>
      <w:r>
        <w:rPr>
          <w:rFonts w:hint="eastAsia"/>
        </w:rPr>
        <w:t>分，自评得分</w:t>
      </w:r>
      <w:r>
        <w:rPr>
          <w:rFonts w:hint="eastAsia"/>
          <w:lang w:val="en-US" w:eastAsia="zh-CN"/>
        </w:rPr>
        <w:t>2.09</w:t>
      </w:r>
      <w:r>
        <w:rPr>
          <w:rFonts w:hint="eastAsia"/>
        </w:rPr>
        <w:t>分，得分率</w:t>
      </w:r>
      <w:r>
        <w:rPr>
          <w:rFonts w:hint="eastAsia"/>
          <w:lang w:val="en-US" w:eastAsia="zh-CN"/>
        </w:rPr>
        <w:t>66</w:t>
      </w:r>
      <w:r>
        <w:rPr>
          <w:rFonts w:hint="eastAsia"/>
          <w:lang w:eastAsia="zh-CN"/>
        </w:rPr>
        <w:t>.</w:t>
      </w:r>
      <w:r>
        <w:rPr>
          <w:rFonts w:hint="eastAsia"/>
          <w:lang w:val="en-US" w:eastAsia="zh-CN"/>
        </w:rPr>
        <w:t>99</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ascii="仿宋_GB2312" w:hAnsi="宋体" w:eastAsia="仿宋_GB2312" w:cstheme="minorBidi"/>
          <w:b/>
          <w:bCs/>
          <w:kern w:val="2"/>
          <w:sz w:val="28"/>
          <w:szCs w:val="28"/>
          <w:lang w:val="en-US" w:eastAsia="zh-CN" w:bidi="ar-SA"/>
        </w:rPr>
        <w:t>化解社会矛盾，维护社会稳定：</w:t>
      </w:r>
      <w:r>
        <w:rPr>
          <w:rFonts w:hint="eastAsia" w:hAnsi="宋体"/>
          <w:b w:val="0"/>
          <w:bCs w:val="0"/>
          <w:szCs w:val="28"/>
          <w:lang w:val="en-US" w:eastAsia="zh-CN"/>
        </w:rPr>
        <w:t>院积极优化审判资源，狠抓执法办案第一要务，妥善化解纠纷，贯彻“调解优先、调判结合”的民事审判方针，加大涉弱势群体保护力度，切实维护社会稳定，达到年度指标值。该指标分值3.12分，自评得分为3.12分，得分率为100.00%。</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default"/>
          <w:b/>
          <w:bCs/>
          <w:highlight w:val="none"/>
          <w:lang w:val="en-US" w:eastAsia="zh-CN"/>
        </w:rPr>
      </w:pPr>
      <w:r>
        <w:rPr>
          <w:rFonts w:hint="eastAsia"/>
          <w:b/>
          <w:bCs/>
          <w:highlight w:val="none"/>
          <w:lang w:val="en-US" w:eastAsia="zh-CN"/>
        </w:rPr>
        <w:t>（3）服务对象满意度</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sz w:val="28"/>
          <w:szCs w:val="28"/>
          <w:lang w:val="en-US" w:eastAsia="zh-CN"/>
        </w:rPr>
        <w:t>下设当事人满意度指标一个三级指标，</w:t>
      </w:r>
      <w:r>
        <w:rPr>
          <w:rFonts w:hint="eastAsia"/>
          <w:lang w:eastAsia="zh-CN"/>
        </w:rPr>
        <w:t>我</w:t>
      </w:r>
      <w:r>
        <w:rPr>
          <w:rFonts w:hint="eastAsia"/>
        </w:rPr>
        <w:t>院依法审理各类案件，妥善化解矛盾纠纷和行政争议，维护了法院审判工作的有序开展，积极保障人民群众生命财产安全，</w:t>
      </w:r>
      <w:r>
        <w:rPr>
          <w:rFonts w:hint="eastAsia"/>
          <w:lang w:val="en-US" w:eastAsia="zh-CN"/>
        </w:rPr>
        <w:t>当事人满意度92%，达到目标值。</w:t>
      </w:r>
      <w:r>
        <w:rPr>
          <w:rFonts w:hint="eastAsia"/>
        </w:rPr>
        <w:t>该指标分值</w:t>
      </w:r>
      <w:r>
        <w:rPr>
          <w:rFonts w:hint="eastAsia"/>
          <w:lang w:val="en-US" w:eastAsia="zh-CN"/>
        </w:rPr>
        <w:t>10</w:t>
      </w:r>
      <w:r>
        <w:rPr>
          <w:rFonts w:hint="eastAsia"/>
        </w:rPr>
        <w:t>分，自评得分</w:t>
      </w:r>
      <w:r>
        <w:rPr>
          <w:rFonts w:hint="eastAsia"/>
          <w:lang w:val="en-US" w:eastAsia="zh-CN"/>
        </w:rPr>
        <w:t>10</w:t>
      </w:r>
      <w:r>
        <w:rPr>
          <w:rFonts w:hint="eastAsia"/>
        </w:rPr>
        <w:t>分，得分率</w:t>
      </w:r>
      <w:r>
        <w:rPr>
          <w:rFonts w:hint="eastAsia"/>
          <w:lang w:eastAsia="zh-CN"/>
        </w:rPr>
        <w:t>100.00%</w:t>
      </w:r>
      <w:r>
        <w:rPr>
          <w:rFonts w:hint="eastAsia"/>
        </w:rPr>
        <w:t>。</w:t>
      </w:r>
    </w:p>
    <w:p>
      <w:pPr>
        <w:spacing w:line="360" w:lineRule="auto"/>
        <w:ind w:left="0" w:leftChars="0" w:firstLine="562" w:firstLineChars="200"/>
        <w:rPr>
          <w:rFonts w:hint="default" w:ascii="仿宋_GB2312" w:hAnsi="宋体" w:eastAsia="仿宋_GB2312" w:cstheme="minorBidi"/>
          <w:b/>
          <w:bCs/>
          <w:kern w:val="2"/>
          <w:sz w:val="28"/>
          <w:szCs w:val="28"/>
          <w:lang w:val="en-US" w:eastAsia="zh-CN" w:bidi="ar-SA"/>
        </w:rPr>
      </w:pPr>
      <w:r>
        <w:rPr>
          <w:rFonts w:hint="eastAsia" w:hAnsi="宋体" w:cstheme="minorBidi"/>
          <w:b/>
          <w:bCs/>
          <w:kern w:val="2"/>
          <w:sz w:val="28"/>
          <w:szCs w:val="28"/>
          <w:lang w:val="en-US" w:eastAsia="zh-CN" w:bidi="ar-SA"/>
        </w:rPr>
        <w:t>（4）社会影响</w:t>
      </w:r>
    </w:p>
    <w:p>
      <w:pPr>
        <w:spacing w:line="360" w:lineRule="auto"/>
        <w:ind w:left="0" w:leftChars="0" w:firstLine="562" w:firstLineChars="200"/>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单位获奖情况：</w:t>
      </w:r>
      <w:r>
        <w:rPr>
          <w:rFonts w:hint="eastAsia" w:ascii="仿宋_GB2312" w:hAnsi="仿宋_GB2312" w:eastAsia="仿宋_GB2312"/>
          <w:sz w:val="28"/>
          <w:shd w:val="clear" w:color="auto" w:fill="FFFFFF"/>
        </w:rPr>
        <w:t>202</w:t>
      </w:r>
      <w:r>
        <w:rPr>
          <w:rFonts w:hint="eastAsia"/>
          <w:sz w:val="28"/>
          <w:shd w:val="clear" w:color="auto" w:fill="FFFFFF"/>
          <w:lang w:val="en-US" w:eastAsia="zh-CN"/>
        </w:rPr>
        <w:t>3</w:t>
      </w:r>
      <w:r>
        <w:rPr>
          <w:rFonts w:hint="eastAsia" w:ascii="仿宋_GB2312" w:hAnsi="仿宋_GB2312" w:eastAsia="仿宋_GB2312"/>
          <w:sz w:val="28"/>
          <w:shd w:val="clear" w:color="auto" w:fill="FFFFFF"/>
        </w:rPr>
        <w:t>年度，单位获奖</w:t>
      </w:r>
      <w:r>
        <w:rPr>
          <w:rFonts w:hint="eastAsia"/>
          <w:sz w:val="28"/>
          <w:shd w:val="clear" w:color="auto" w:fill="FFFFFF"/>
          <w:lang w:val="en-US" w:eastAsia="zh-CN"/>
        </w:rPr>
        <w:t>1项</w:t>
      </w:r>
      <w:r>
        <w:rPr>
          <w:rFonts w:hint="eastAsia" w:ascii="仿宋_GB2312" w:hAnsi="仿宋_GB2312" w:eastAsia="仿宋_GB2312"/>
          <w:sz w:val="28"/>
          <w:shd w:val="clear" w:color="auto" w:fill="FFFFFF"/>
        </w:rPr>
        <w:t>，</w:t>
      </w:r>
      <w:r>
        <w:rPr>
          <w:rFonts w:hint="eastAsia"/>
          <w:sz w:val="28"/>
          <w:shd w:val="clear" w:color="auto" w:fill="FFFFFF"/>
          <w:lang w:eastAsia="zh-CN"/>
        </w:rPr>
        <w:t>达到年度目标值，</w:t>
      </w:r>
      <w:r>
        <w:rPr>
          <w:rFonts w:hint="eastAsia" w:ascii="仿宋_GB2312" w:hAnsi="仿宋_GB2312" w:eastAsia="仿宋_GB2312" w:cs="仿宋_GB2312"/>
          <w:szCs w:val="28"/>
        </w:rPr>
        <w:t>该指标分值</w:t>
      </w:r>
      <w:r>
        <w:rPr>
          <w:rFonts w:hint="eastAsia" w:cs="仿宋_GB2312"/>
          <w:szCs w:val="28"/>
          <w:lang w:val="en-US" w:eastAsia="zh-CN"/>
        </w:rPr>
        <w:t>3.12</w:t>
      </w:r>
      <w:r>
        <w:rPr>
          <w:rFonts w:hint="eastAsia" w:ascii="仿宋_GB2312" w:hAnsi="仿宋_GB2312" w:eastAsia="仿宋_GB2312" w:cs="仿宋_GB2312"/>
          <w:szCs w:val="28"/>
        </w:rPr>
        <w:t>分，自评得分</w:t>
      </w:r>
      <w:r>
        <w:rPr>
          <w:rFonts w:hint="eastAsia" w:cs="仿宋_GB2312"/>
          <w:szCs w:val="28"/>
          <w:lang w:val="en-US" w:eastAsia="zh-CN"/>
        </w:rPr>
        <w:t>3.12</w:t>
      </w:r>
      <w:r>
        <w:rPr>
          <w:rFonts w:hint="eastAsia" w:ascii="仿宋_GB2312" w:hAnsi="仿宋_GB2312" w:eastAsia="仿宋_GB2312" w:cs="仿宋_GB2312"/>
          <w:szCs w:val="28"/>
        </w:rPr>
        <w:t>分，得分率为</w:t>
      </w:r>
      <w:r>
        <w:rPr>
          <w:rFonts w:hint="eastAsia" w:cs="仿宋_GB2312"/>
          <w:szCs w:val="28"/>
          <w:lang w:val="en-US" w:eastAsia="zh-CN"/>
        </w:rPr>
        <w:t>100.00</w:t>
      </w:r>
      <w:r>
        <w:rPr>
          <w:rFonts w:hint="eastAsia" w:ascii="仿宋_GB2312" w:hAnsi="仿宋_GB2312" w:eastAsia="仿宋_GB2312" w:cs="仿宋_GB2312"/>
          <w:szCs w:val="28"/>
        </w:rPr>
        <w:t>%</w:t>
      </w:r>
      <w:r>
        <w:rPr>
          <w:rFonts w:hint="eastAsia" w:ascii="仿宋_GB2312" w:hAnsi="宋体" w:eastAsia="仿宋_GB2312" w:cstheme="minorBidi"/>
          <w:b w:val="0"/>
          <w:bCs w:val="0"/>
          <w:kern w:val="2"/>
          <w:sz w:val="28"/>
          <w:szCs w:val="28"/>
          <w:lang w:val="en-US" w:eastAsia="zh-CN" w:bidi="ar-S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b/>
          <w:bCs/>
          <w:highlight w:val="none"/>
          <w:lang w:val="en-US" w:eastAsia="zh-CN"/>
        </w:rPr>
      </w:pPr>
      <w:r>
        <w:rPr>
          <w:rFonts w:hint="eastAsia" w:ascii="仿宋_GB2312" w:hAnsi="宋体" w:eastAsia="仿宋_GB2312" w:cstheme="minorBidi"/>
          <w:b/>
          <w:bCs/>
          <w:kern w:val="2"/>
          <w:sz w:val="28"/>
          <w:szCs w:val="28"/>
          <w:lang w:val="en-US" w:eastAsia="zh-CN" w:bidi="ar-SA"/>
        </w:rPr>
        <w:t>违法违纪情况：</w:t>
      </w:r>
      <w:r>
        <w:rPr>
          <w:rFonts w:hint="eastAsia" w:cs="仿宋_GB2312"/>
          <w:szCs w:val="28"/>
          <w:lang w:eastAsia="zh-CN"/>
        </w:rPr>
        <w:t>2023年</w:t>
      </w:r>
      <w:r>
        <w:rPr>
          <w:rFonts w:hint="eastAsia" w:ascii="仿宋_GB2312" w:hAnsi="仿宋_GB2312" w:eastAsia="仿宋_GB2312" w:cs="仿宋_GB2312"/>
          <w:szCs w:val="28"/>
        </w:rPr>
        <w:t>我院未出现</w:t>
      </w:r>
      <w:r>
        <w:rPr>
          <w:rFonts w:hint="eastAsia" w:ascii="仿宋_GB2312" w:hAnsi="仿宋_GB2312" w:eastAsia="仿宋_GB2312" w:cs="仿宋_GB2312"/>
          <w:szCs w:val="28"/>
          <w:lang w:val="en-US" w:eastAsia="zh-CN"/>
        </w:rPr>
        <w:t>违纪违法</w:t>
      </w:r>
      <w:r>
        <w:rPr>
          <w:rFonts w:hint="eastAsia" w:ascii="仿宋_GB2312" w:hAnsi="仿宋_GB2312" w:eastAsia="仿宋_GB2312" w:cs="仿宋_GB2312"/>
          <w:szCs w:val="28"/>
        </w:rPr>
        <w:t>的情况。该指标分值</w:t>
      </w:r>
      <w:r>
        <w:rPr>
          <w:rFonts w:hint="eastAsia" w:cs="仿宋_GB2312"/>
          <w:szCs w:val="28"/>
          <w:lang w:val="en-US" w:eastAsia="zh-CN"/>
        </w:rPr>
        <w:t>3.12</w:t>
      </w:r>
      <w:r>
        <w:rPr>
          <w:rFonts w:hint="eastAsia" w:ascii="仿宋_GB2312" w:hAnsi="仿宋_GB2312" w:eastAsia="仿宋_GB2312" w:cs="仿宋_GB2312"/>
          <w:szCs w:val="28"/>
        </w:rPr>
        <w:t>分，</w:t>
      </w:r>
      <w:r>
        <w:rPr>
          <w:rFonts w:hint="eastAsia" w:cs="仿宋_GB2312"/>
          <w:szCs w:val="28"/>
          <w:lang w:val="en-US" w:eastAsia="zh-CN"/>
        </w:rPr>
        <w:t>自评</w:t>
      </w:r>
      <w:r>
        <w:rPr>
          <w:rFonts w:hint="eastAsia" w:ascii="仿宋_GB2312" w:hAnsi="仿宋_GB2312" w:eastAsia="仿宋_GB2312" w:cs="仿宋_GB2312"/>
          <w:szCs w:val="28"/>
        </w:rPr>
        <w:t>得分</w:t>
      </w:r>
      <w:r>
        <w:rPr>
          <w:rFonts w:hint="eastAsia" w:cs="仿宋_GB2312"/>
          <w:szCs w:val="28"/>
          <w:lang w:val="en-US" w:eastAsia="zh-CN"/>
        </w:rPr>
        <w:t>3.12</w:t>
      </w:r>
      <w:r>
        <w:rPr>
          <w:rFonts w:hint="eastAsia" w:ascii="仿宋_GB2312" w:hAnsi="仿宋_GB2312" w:eastAsia="仿宋_GB2312" w:cs="仿宋_GB2312"/>
          <w:szCs w:val="28"/>
        </w:rPr>
        <w:t>分，得分率</w:t>
      </w:r>
      <w:r>
        <w:rPr>
          <w:rFonts w:hint="eastAsia" w:cs="仿宋_GB2312"/>
          <w:szCs w:val="28"/>
          <w:lang w:eastAsia="zh-CN"/>
        </w:rPr>
        <w:t>100.00%</w:t>
      </w:r>
      <w:r>
        <w:rPr>
          <w:rFonts w:hint="eastAsia" w:ascii="仿宋_GB2312" w:hAnsi="仿宋_GB2312" w:eastAsia="仿宋_GB2312" w:cs="仿宋_GB2312"/>
          <w:szCs w:val="28"/>
        </w:rPr>
        <w:t>。</w:t>
      </w:r>
    </w:p>
    <w:p>
      <w:pPr>
        <w:pStyle w:val="4"/>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3</w:t>
      </w:r>
      <w:r>
        <w:rPr>
          <w:rFonts w:hint="eastAsia"/>
          <w:highlight w:val="none"/>
        </w:rPr>
        <w:t>个三级指标。</w:t>
      </w:r>
      <w:r>
        <w:rPr>
          <w:rFonts w:hint="eastAsia"/>
        </w:rPr>
        <w:t>能力建设</w:t>
      </w:r>
      <w:r>
        <w:rPr>
          <w:rFonts w:hint="eastAsia"/>
          <w:highlight w:val="none"/>
        </w:rPr>
        <w:t>指标</w:t>
      </w:r>
      <w:r>
        <w:rPr>
          <w:rFonts w:hint="eastAsia"/>
        </w:rPr>
        <w:t>分值</w:t>
      </w:r>
      <w:r>
        <w:rPr>
          <w:rFonts w:hint="eastAsia"/>
          <w:lang w:val="en-US" w:eastAsia="zh-CN"/>
        </w:rPr>
        <w:t>10</w:t>
      </w:r>
      <w:r>
        <w:t>分，自评得分</w:t>
      </w:r>
      <w:r>
        <w:rPr>
          <w:rFonts w:hint="eastAsia"/>
          <w:lang w:val="en-US" w:eastAsia="zh-CN"/>
        </w:rPr>
        <w:t>10</w:t>
      </w:r>
      <w:r>
        <w:t>分，得分率100%。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restart"/>
            <w:vAlign w:val="center"/>
          </w:tcPr>
          <w:p>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长效管理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中期规划建设完备程度</w:t>
            </w:r>
          </w:p>
        </w:tc>
        <w:tc>
          <w:tcPr>
            <w:tcW w:w="97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00" w:type="dxa"/>
            <w:vAlign w:val="center"/>
          </w:tcPr>
          <w:p>
            <w:pPr>
              <w:keepNext w:val="0"/>
              <w:keepLines w:val="0"/>
              <w:widowControl/>
              <w:suppressLineNumbers w:val="0"/>
              <w:ind w:firstLine="440" w:firstLineChars="20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46" w:type="dxa"/>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党建工作开展规律性</w:t>
            </w:r>
          </w:p>
        </w:tc>
        <w:tc>
          <w:tcPr>
            <w:tcW w:w="97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规律</w:t>
            </w:r>
          </w:p>
        </w:tc>
        <w:tc>
          <w:tcPr>
            <w:tcW w:w="1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00" w:type="dxa"/>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信息化管理覆盖率</w:t>
            </w:r>
          </w:p>
        </w:tc>
        <w:tc>
          <w:tcPr>
            <w:tcW w:w="97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1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00" w:type="dxa"/>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人力资源建设</w:t>
            </w:r>
          </w:p>
        </w:tc>
        <w:tc>
          <w:tcPr>
            <w:tcW w:w="2062" w:type="dxa"/>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人员培训机制完备性</w:t>
            </w:r>
          </w:p>
        </w:tc>
        <w:tc>
          <w:tcPr>
            <w:tcW w:w="97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00" w:type="dxa"/>
            <w:vAlign w:val="center"/>
          </w:tcPr>
          <w:p>
            <w:pPr>
              <w:keepNext w:val="0"/>
              <w:keepLines w:val="0"/>
              <w:widowControl/>
              <w:suppressLineNumbers w:val="0"/>
              <w:ind w:firstLine="440" w:firstLineChars="20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46" w:type="dxa"/>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档案管理完备性</w:t>
            </w:r>
          </w:p>
        </w:tc>
        <w:tc>
          <w:tcPr>
            <w:tcW w:w="97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00" w:type="dxa"/>
            <w:vAlign w:val="center"/>
          </w:tcPr>
          <w:p>
            <w:pPr>
              <w:keepNext w:val="0"/>
              <w:keepLines w:val="0"/>
              <w:widowControl/>
              <w:suppressLineNumbers w:val="0"/>
              <w:ind w:firstLine="440" w:firstLineChars="20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035"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bookmarkStart w:id="50" w:name="_Toc16731"/>
      <w:bookmarkStart w:id="51" w:name="_Toc40046035"/>
      <w:bookmarkStart w:id="52" w:name="_Toc12558"/>
      <w:bookmarkStart w:id="53" w:name="_Toc16525"/>
      <w:bookmarkStart w:id="54" w:name="_Toc3174"/>
      <w:r>
        <w:rPr>
          <w:rFonts w:hint="eastAsia" w:ascii="仿宋_GB2312" w:hAnsi="宋体" w:eastAsia="仿宋_GB2312" w:cstheme="minorBidi"/>
          <w:b/>
          <w:bCs/>
          <w:kern w:val="2"/>
          <w:sz w:val="28"/>
          <w:szCs w:val="28"/>
          <w:lang w:val="en-US" w:eastAsia="zh-CN" w:bidi="ar-SA"/>
        </w:rPr>
        <w:t>中期规划建设完备程度：</w:t>
      </w:r>
      <w:r>
        <w:rPr>
          <w:rFonts w:hint="eastAsia" w:ascii="仿宋_GB2312" w:hAnsi="宋体" w:eastAsia="仿宋_GB2312" w:cstheme="minorBidi"/>
          <w:b w:val="0"/>
          <w:bCs w:val="0"/>
          <w:kern w:val="2"/>
          <w:sz w:val="28"/>
          <w:szCs w:val="28"/>
          <w:lang w:val="en-US" w:eastAsia="zh-CN" w:bidi="ar-SA"/>
        </w:rPr>
        <w:t>我院中期规划完整清晰、内容全面可行，能够为</w:t>
      </w:r>
      <w:r>
        <w:rPr>
          <w:rFonts w:hint="eastAsia" w:hAnsi="宋体" w:cstheme="minorBidi"/>
          <w:b w:val="0"/>
          <w:bCs w:val="0"/>
          <w:kern w:val="2"/>
          <w:sz w:val="28"/>
          <w:szCs w:val="28"/>
          <w:highlight w:val="none"/>
          <w:lang w:val="en-US" w:eastAsia="zh-CN" w:bidi="ar-SA"/>
        </w:rPr>
        <w:t>今后</w:t>
      </w:r>
      <w:r>
        <w:rPr>
          <w:rFonts w:hint="eastAsia" w:ascii="仿宋_GB2312" w:hAnsi="宋体" w:eastAsia="仿宋_GB2312" w:cstheme="minorBidi"/>
          <w:b w:val="0"/>
          <w:bCs w:val="0"/>
          <w:kern w:val="2"/>
          <w:sz w:val="28"/>
          <w:szCs w:val="28"/>
          <w:highlight w:val="none"/>
          <w:lang w:val="en-US" w:eastAsia="zh-CN" w:bidi="ar-SA"/>
        </w:rPr>
        <w:t>的工作明确目标、方向和内容，达到年度指标值。该指标分值</w:t>
      </w:r>
      <w:r>
        <w:rPr>
          <w:rFonts w:hint="eastAsia" w:hAnsi="宋体" w:cstheme="minorBidi"/>
          <w:b w:val="0"/>
          <w:bCs w:val="0"/>
          <w:kern w:val="2"/>
          <w:sz w:val="28"/>
          <w:szCs w:val="28"/>
          <w:highlight w:val="none"/>
          <w:lang w:val="en-US" w:eastAsia="zh-CN" w:bidi="ar-SA"/>
        </w:rPr>
        <w:t>2</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2</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ascii="仿宋_GB2312" w:hAnsi="宋体" w:eastAsia="仿宋_GB2312" w:cstheme="minorBidi"/>
          <w:b/>
          <w:bCs/>
          <w:color w:val="auto"/>
          <w:kern w:val="2"/>
          <w:sz w:val="28"/>
          <w:szCs w:val="28"/>
          <w:lang w:val="en-US" w:eastAsia="zh-CN" w:bidi="ar-SA"/>
        </w:rPr>
        <w:t>党建工作开展规律性：</w:t>
      </w:r>
      <w:r>
        <w:rPr>
          <w:rFonts w:hint="eastAsia" w:hAnsi="宋体"/>
          <w:szCs w:val="28"/>
          <w:lang w:val="en-US" w:eastAsia="zh-CN"/>
        </w:rPr>
        <w:t>我</w:t>
      </w:r>
      <w:r>
        <w:rPr>
          <w:rFonts w:hint="eastAsia"/>
          <w:lang w:val="en-US" w:eastAsia="zh-CN"/>
        </w:rPr>
        <w:t>院重视党建工作，积极开展，有计划有组织，工作落实情况强，</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2</w:t>
      </w:r>
      <w:r>
        <w:rPr>
          <w:rFonts w:hint="eastAsia" w:hAnsi="宋体"/>
          <w:szCs w:val="28"/>
        </w:rPr>
        <w:t>分，自评得分</w:t>
      </w:r>
      <w:r>
        <w:rPr>
          <w:rFonts w:hint="eastAsia" w:hAnsi="宋体" w:cstheme="minorBidi"/>
          <w:b w:val="0"/>
          <w:bCs w:val="0"/>
          <w:kern w:val="2"/>
          <w:sz w:val="28"/>
          <w:szCs w:val="28"/>
          <w:highlight w:val="none"/>
          <w:lang w:val="en-US" w:eastAsia="zh-CN" w:bidi="ar-SA"/>
        </w:rPr>
        <w:t>2</w:t>
      </w:r>
      <w:r>
        <w:rPr>
          <w:rFonts w:hint="eastAsia" w:hAnsi="宋体"/>
          <w:szCs w:val="28"/>
        </w:rPr>
        <w:t>分，得分率</w:t>
      </w:r>
      <w:r>
        <w:rPr>
          <w:rFonts w:hint="eastAsia" w:hAnsi="宋体"/>
          <w:szCs w:val="28"/>
          <w:lang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ascii="仿宋_GB2312" w:hAnsi="仿宋_GB2312" w:eastAsia="仿宋_GB2312" w:cstheme="minorBidi"/>
          <w:b/>
          <w:bCs/>
          <w:color w:val="auto"/>
          <w:kern w:val="2"/>
          <w:sz w:val="28"/>
          <w:szCs w:val="22"/>
          <w:lang w:val="en-US" w:eastAsia="zh-CN" w:bidi="ar-SA"/>
        </w:rPr>
        <w:t>信息化管理覆盖率</w:t>
      </w:r>
      <w:r>
        <w:rPr>
          <w:rFonts w:hint="eastAsia" w:cstheme="minorBidi"/>
          <w:b/>
          <w:bCs/>
          <w:color w:val="auto"/>
          <w:kern w:val="2"/>
          <w:sz w:val="28"/>
          <w:szCs w:val="22"/>
          <w:lang w:val="en-US" w:eastAsia="zh-CN" w:bidi="ar-SA"/>
        </w:rPr>
        <w:t>：</w:t>
      </w:r>
      <w:r>
        <w:rPr>
          <w:rFonts w:hint="eastAsia"/>
          <w:lang w:val="en-US" w:eastAsia="zh-CN"/>
        </w:rPr>
        <w:t>我院信息化管理覆盖率强，</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2</w:t>
      </w:r>
      <w:r>
        <w:rPr>
          <w:rFonts w:hint="eastAsia" w:hAnsi="宋体"/>
          <w:szCs w:val="28"/>
        </w:rPr>
        <w:t>分，自评得分</w:t>
      </w:r>
      <w:r>
        <w:rPr>
          <w:rFonts w:hint="eastAsia" w:hAnsi="宋体" w:cstheme="minorBidi"/>
          <w:b w:val="0"/>
          <w:bCs w:val="0"/>
          <w:kern w:val="2"/>
          <w:sz w:val="28"/>
          <w:szCs w:val="28"/>
          <w:highlight w:val="none"/>
          <w:lang w:val="en-US" w:eastAsia="zh-CN" w:bidi="ar-SA"/>
        </w:rPr>
        <w:t>2</w:t>
      </w:r>
      <w:r>
        <w:rPr>
          <w:rFonts w:hint="eastAsia" w:hAnsi="宋体"/>
          <w:szCs w:val="28"/>
        </w:rPr>
        <w:t>分，得分率</w:t>
      </w:r>
      <w:r>
        <w:rPr>
          <w:rFonts w:hint="eastAsia" w:hAnsi="宋体"/>
          <w:szCs w:val="28"/>
          <w:lang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eastAsia" w:hAnsi="宋体"/>
          <w:b/>
          <w:bCs/>
          <w:szCs w:val="28"/>
          <w:lang w:val="en-US" w:eastAsia="zh-CN"/>
        </w:rPr>
        <w:t>人员培训机制完备性：</w:t>
      </w:r>
      <w:r>
        <w:rPr>
          <w:rFonts w:hint="eastAsia" w:hAnsi="宋体"/>
          <w:szCs w:val="28"/>
          <w:lang w:val="en-US" w:eastAsia="zh-CN"/>
        </w:rPr>
        <w:t>我院人员培训机制完备，</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2</w:t>
      </w:r>
      <w:r>
        <w:rPr>
          <w:rFonts w:hint="eastAsia" w:hAnsi="宋体"/>
          <w:szCs w:val="28"/>
        </w:rPr>
        <w:t>分，自评得分</w:t>
      </w:r>
      <w:r>
        <w:rPr>
          <w:rFonts w:hint="eastAsia" w:hAnsi="宋体" w:cstheme="minorBidi"/>
          <w:b w:val="0"/>
          <w:bCs w:val="0"/>
          <w:kern w:val="2"/>
          <w:sz w:val="28"/>
          <w:szCs w:val="28"/>
          <w:highlight w:val="none"/>
          <w:lang w:val="en-US" w:eastAsia="zh-CN" w:bidi="ar-SA"/>
        </w:rPr>
        <w:t>2</w:t>
      </w:r>
      <w:r>
        <w:rPr>
          <w:rFonts w:hint="eastAsia" w:hAnsi="宋体"/>
          <w:szCs w:val="28"/>
        </w:rPr>
        <w:t>分，得分率</w:t>
      </w:r>
      <w:r>
        <w:rPr>
          <w:rFonts w:hint="eastAsia" w:hAnsi="宋体"/>
          <w:szCs w:val="28"/>
          <w:lang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eastAsia" w:hAnsi="宋体"/>
          <w:b/>
          <w:bCs/>
          <w:szCs w:val="28"/>
          <w:lang w:val="en-US" w:eastAsia="zh-CN"/>
        </w:rPr>
        <w:t>档案管理完备性：</w:t>
      </w:r>
      <w:r>
        <w:rPr>
          <w:rFonts w:hint="eastAsia" w:hAnsi="宋体"/>
          <w:szCs w:val="28"/>
          <w:lang w:val="en-US" w:eastAsia="zh-CN"/>
        </w:rPr>
        <w:t>我院档案管理机制完备，</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2</w:t>
      </w:r>
      <w:r>
        <w:rPr>
          <w:rFonts w:hint="eastAsia" w:hAnsi="宋体"/>
          <w:szCs w:val="28"/>
        </w:rPr>
        <w:t>分，自评得分</w:t>
      </w:r>
      <w:r>
        <w:rPr>
          <w:rFonts w:hint="eastAsia" w:hAnsi="宋体" w:cstheme="minorBidi"/>
          <w:b w:val="0"/>
          <w:bCs w:val="0"/>
          <w:kern w:val="2"/>
          <w:sz w:val="28"/>
          <w:szCs w:val="28"/>
          <w:highlight w:val="none"/>
          <w:lang w:val="en-US" w:eastAsia="zh-CN" w:bidi="ar-SA"/>
        </w:rPr>
        <w:t>2</w:t>
      </w:r>
      <w:r>
        <w:rPr>
          <w:rFonts w:hint="eastAsia" w:hAnsi="宋体"/>
          <w:szCs w:val="28"/>
        </w:rPr>
        <w:t>分，得分率</w:t>
      </w:r>
      <w:r>
        <w:rPr>
          <w:rFonts w:hint="eastAsia" w:hAnsi="宋体"/>
          <w:szCs w:val="28"/>
          <w:lang w:eastAsia="zh-CN"/>
        </w:rPr>
        <w:t>100.00%</w:t>
      </w:r>
      <w:r>
        <w:rPr>
          <w:rFonts w:hint="eastAsia" w:hAnsi="宋体"/>
          <w:szCs w:val="28"/>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55" w:name="_Toc26927"/>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50"/>
      <w:bookmarkEnd w:id="51"/>
      <w:bookmarkEnd w:id="52"/>
      <w:bookmarkEnd w:id="53"/>
      <w:bookmarkEnd w:id="54"/>
      <w:bookmarkEnd w:id="55"/>
    </w:p>
    <w:p>
      <w:pPr>
        <w:bidi w:val="0"/>
        <w:rPr>
          <w:rFonts w:hint="eastAsia"/>
          <w:highlight w:val="yellow"/>
          <w:lang w:val="en-US" w:eastAsia="zh-CN"/>
        </w:rPr>
      </w:pPr>
      <w:r>
        <w:rPr>
          <w:rFonts w:hint="eastAsia" w:ascii="仿宋_GB2312" w:hAnsi="宋体" w:eastAsia="仿宋_GB2312" w:cstheme="minorBidi"/>
          <w:b w:val="0"/>
          <w:bCs w:val="0"/>
          <w:kern w:val="2"/>
          <w:sz w:val="28"/>
          <w:szCs w:val="28"/>
          <w:lang w:val="en-US" w:eastAsia="zh-CN" w:bidi="ar-SA"/>
        </w:rPr>
        <w:t>我院在上报2023年度</w:t>
      </w:r>
      <w:r>
        <w:rPr>
          <w:rFonts w:hint="eastAsia" w:hAnsi="宋体" w:cstheme="minorBidi"/>
          <w:b w:val="0"/>
          <w:bCs w:val="0"/>
          <w:kern w:val="2"/>
          <w:sz w:val="28"/>
          <w:szCs w:val="28"/>
          <w:lang w:val="en-US" w:eastAsia="zh-CN" w:bidi="ar-SA"/>
        </w:rPr>
        <w:t>整体</w:t>
      </w:r>
      <w:r>
        <w:rPr>
          <w:rFonts w:hint="eastAsia" w:ascii="仿宋_GB2312" w:hAnsi="宋体" w:eastAsia="仿宋_GB2312" w:cstheme="minorBidi"/>
          <w:b w:val="0"/>
          <w:bCs w:val="0"/>
          <w:kern w:val="2"/>
          <w:sz w:val="28"/>
          <w:szCs w:val="28"/>
          <w:lang w:val="en-US" w:eastAsia="zh-CN" w:bidi="ar-SA"/>
        </w:rPr>
        <w:t>绩效目标时，</w:t>
      </w:r>
      <w:r>
        <w:rPr>
          <w:rFonts w:hint="eastAsia" w:hAnsi="宋体" w:cstheme="minorBidi"/>
          <w:b w:val="0"/>
          <w:bCs w:val="0"/>
          <w:kern w:val="2"/>
          <w:sz w:val="28"/>
          <w:szCs w:val="28"/>
          <w:lang w:val="en-US" w:eastAsia="zh-CN" w:bidi="ar-SA"/>
        </w:rPr>
        <w:t>个别</w:t>
      </w:r>
      <w:r>
        <w:rPr>
          <w:rFonts w:hint="eastAsia" w:ascii="仿宋_GB2312" w:hAnsi="宋体" w:eastAsia="仿宋_GB2312" w:cstheme="minorBidi"/>
          <w:b w:val="0"/>
          <w:bCs w:val="0"/>
          <w:kern w:val="2"/>
          <w:sz w:val="28"/>
          <w:szCs w:val="28"/>
          <w:lang w:val="en-US" w:eastAsia="zh-CN" w:bidi="ar-SA"/>
        </w:rPr>
        <w:t>指标设置不合理</w:t>
      </w:r>
      <w:r>
        <w:rPr>
          <w:rFonts w:hint="eastAsia" w:hAnsi="宋体" w:cstheme="minorBidi"/>
          <w:b w:val="0"/>
          <w:bCs w:val="0"/>
          <w:kern w:val="2"/>
          <w:sz w:val="28"/>
          <w:szCs w:val="28"/>
          <w:lang w:val="en-US" w:eastAsia="zh-CN" w:bidi="ar-SA"/>
        </w:rPr>
        <w:t>，执行标的到位率、执行案件结案率指标设置偏低、民商事案件调解成功率指标设置偏高</w:t>
      </w:r>
      <w:r>
        <w:rPr>
          <w:rFonts w:hint="eastAsia" w:ascii="仿宋_GB2312" w:hAnsi="宋体" w:eastAsia="仿宋_GB2312" w:cstheme="minorBidi"/>
          <w:b w:val="0"/>
          <w:bCs w:val="0"/>
          <w:kern w:val="2"/>
          <w:sz w:val="28"/>
          <w:szCs w:val="28"/>
          <w:lang w:val="en-US" w:eastAsia="zh-CN" w:bidi="ar-SA"/>
        </w:rPr>
        <w:t>。我院将进一步细化年初绩效目标设置，合理设置指标分值</w:t>
      </w:r>
      <w:r>
        <w:rPr>
          <w:rFonts w:hint="eastAsia"/>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rFonts w:hint="default"/>
          <w:lang w:val="en-US" w:eastAsia="zh-CN"/>
        </w:rPr>
      </w:pPr>
      <w:bookmarkStart w:id="56" w:name="_Toc28832"/>
      <w:r>
        <w:rPr>
          <w:rFonts w:hint="eastAsia"/>
          <w:lang w:val="en-US" w:eastAsia="zh-CN"/>
        </w:rPr>
        <w:t>四、部门预算项目支出绩效自评情况分析</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cs="仿宋_GB2312"/>
          <w:b w:val="0"/>
          <w:bCs w:val="0"/>
          <w:sz w:val="28"/>
          <w:szCs w:val="28"/>
          <w:lang w:val="en-US" w:eastAsia="zh-CN"/>
        </w:rPr>
        <w:t>2023年</w:t>
      </w:r>
      <w:r>
        <w:rPr>
          <w:rFonts w:hint="eastAsia" w:ascii="仿宋_GB2312" w:hAnsi="仿宋_GB2312" w:eastAsia="仿宋_GB2312" w:cs="仿宋_GB2312"/>
          <w:b w:val="0"/>
          <w:bCs w:val="0"/>
          <w:sz w:val="28"/>
          <w:szCs w:val="28"/>
          <w:lang w:val="en-US" w:eastAsia="zh-CN"/>
        </w:rPr>
        <w:t>，我院预算支出项目为</w:t>
      </w:r>
      <w:r>
        <w:rPr>
          <w:rFonts w:hint="eastAsia"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CN"/>
        </w:rPr>
        <w:t>个，通过自评，项目结果为“</w:t>
      </w:r>
      <w:r>
        <w:rPr>
          <w:rFonts w:hint="eastAsia" w:cs="仿宋_GB2312"/>
          <w:b w:val="0"/>
          <w:bCs w:val="0"/>
          <w:sz w:val="28"/>
          <w:szCs w:val="28"/>
          <w:lang w:val="en-US" w:eastAsia="zh-CN"/>
        </w:rPr>
        <w:t>优</w:t>
      </w:r>
      <w:r>
        <w:rPr>
          <w:rFonts w:hint="eastAsia" w:ascii="仿宋_GB2312" w:hAnsi="仿宋_GB2312" w:eastAsia="仿宋_GB2312" w:cs="仿宋_GB2312"/>
          <w:b w:val="0"/>
          <w:bCs w:val="0"/>
          <w:sz w:val="28"/>
          <w:szCs w:val="28"/>
          <w:lang w:val="en-US" w:eastAsia="zh-CN"/>
        </w:rPr>
        <w:t>”。</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7" w:name="_Toc26100"/>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7"/>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58" w:name="_Toc3777"/>
      <w:bookmarkStart w:id="59" w:name="_Toc18806"/>
      <w:bookmarkStart w:id="60" w:name="_Toc40046064"/>
      <w:bookmarkStart w:id="61" w:name="_Toc22570"/>
      <w:bookmarkStart w:id="62" w:name="_Toc1889"/>
      <w:bookmarkStart w:id="63" w:name="_Toc40046065"/>
      <w:bookmarkStart w:id="64" w:name="_Toc7144"/>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100.00</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8</w:t>
      </w:r>
      <w:r>
        <w:rPr>
          <w:rFonts w:hint="eastAsia"/>
        </w:rPr>
        <w:t>个二级指标和</w:t>
      </w:r>
      <w:r>
        <w:rPr>
          <w:rFonts w:hint="eastAsia"/>
          <w:lang w:val="en-US" w:eastAsia="zh-CN"/>
        </w:rPr>
        <w:t>19</w:t>
      </w:r>
      <w:r>
        <w:rPr>
          <w:rFonts w:hint="eastAsia"/>
        </w:rPr>
        <w:t>个三级指标。一级指标得分情况详见下表：</w:t>
      </w:r>
    </w:p>
    <w:p>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成本</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100.00%</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190</w:t>
      </w:r>
      <w:r>
        <w:rPr>
          <w:rFonts w:hint="eastAsia"/>
          <w:szCs w:val="28"/>
        </w:rPr>
        <w:t>万元，全年预算数为</w:t>
      </w:r>
      <w:r>
        <w:rPr>
          <w:rFonts w:hint="eastAsia"/>
          <w:szCs w:val="28"/>
          <w:lang w:val="en-US" w:eastAsia="zh-CN"/>
        </w:rPr>
        <w:t>235</w:t>
      </w:r>
      <w:r>
        <w:rPr>
          <w:rFonts w:hint="eastAsia"/>
          <w:szCs w:val="28"/>
        </w:rPr>
        <w:t>万元，全年执行数为</w:t>
      </w:r>
      <w:r>
        <w:rPr>
          <w:rFonts w:hint="eastAsia"/>
          <w:szCs w:val="28"/>
          <w:lang w:val="en-US" w:eastAsia="zh-CN"/>
        </w:rPr>
        <w:t>235</w:t>
      </w:r>
      <w:r>
        <w:rPr>
          <w:rFonts w:hint="eastAsia"/>
          <w:szCs w:val="28"/>
        </w:rPr>
        <w:t>万元，预算执行率</w:t>
      </w:r>
      <w:r>
        <w:rPr>
          <w:rFonts w:hint="eastAsia"/>
          <w:szCs w:val="28"/>
          <w:lang w:val="en-US" w:eastAsia="zh-CN"/>
        </w:rPr>
        <w:t>100.00</w:t>
      </w:r>
      <w:r>
        <w:rPr>
          <w:szCs w:val="28"/>
        </w:rPr>
        <w:t>%</w:t>
      </w:r>
      <w:r>
        <w:rPr>
          <w:rFonts w:hint="eastAsia"/>
          <w:szCs w:val="28"/>
        </w:rPr>
        <w:t>，满分10分，得分</w:t>
      </w:r>
      <w:r>
        <w:rPr>
          <w:rFonts w:hint="eastAsia"/>
          <w:szCs w:val="28"/>
          <w:lang w:val="en-US" w:eastAsia="zh-CN"/>
        </w:rPr>
        <w:t>10</w:t>
      </w:r>
      <w:r>
        <w:rPr>
          <w:rFonts w:hint="eastAsia"/>
          <w:szCs w:val="28"/>
        </w:rPr>
        <w:t>分</w:t>
      </w:r>
      <w:r>
        <w:rPr>
          <w:rFonts w:hint="eastAsia"/>
          <w:szCs w:val="28"/>
          <w:lang w:eastAsia="zh-CN"/>
        </w:rPr>
        <w:t>，</w:t>
      </w:r>
      <w:r>
        <w:rPr>
          <w:rFonts w:hint="eastAsia"/>
          <w:szCs w:val="28"/>
          <w:lang w:val="en-US" w:eastAsia="zh-CN"/>
        </w:rPr>
        <w:t>得分率100.00</w:t>
      </w:r>
      <w:r>
        <w:rPr>
          <w:szCs w:val="28"/>
        </w:rPr>
        <w:t>%</w:t>
      </w:r>
      <w:r>
        <w:rPr>
          <w:rFonts w:hint="eastAsia"/>
          <w:szCs w:val="28"/>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一是使我院审判工作的顺利开展，保证当年案件审判在规定时间内优质高效完成，使法定审限内结案率达到95.94%，当事人满意度达到92%；二是我院根据业务费预算做好采购工作，确保年底预算执行率为100%。</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指标下设经济成本指标</w:t>
      </w:r>
      <w:r>
        <w:rPr>
          <w:rFonts w:hint="eastAsia" w:cs="仿宋_GB2312"/>
          <w:szCs w:val="28"/>
          <w:lang w:val="en-US" w:eastAsia="zh-CN"/>
        </w:rPr>
        <w:t>1</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tbl>
      <w:tblPr>
        <w:tblStyle w:val="24"/>
        <w:tblW w:w="917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17"/>
        <w:gridCol w:w="1437"/>
        <w:gridCol w:w="1675"/>
        <w:gridCol w:w="1600"/>
        <w:gridCol w:w="700"/>
        <w:gridCol w:w="1225"/>
        <w:gridCol w:w="102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517"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143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16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6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7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225"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24"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517" w:type="dxa"/>
            <w:vAlign w:val="center"/>
          </w:tcPr>
          <w:p>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1437" w:type="dxa"/>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167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定额标准内</w:t>
            </w:r>
          </w:p>
        </w:tc>
        <w:tc>
          <w:tcPr>
            <w:tcW w:w="1600" w:type="dxa"/>
            <w:vAlign w:val="center"/>
          </w:tcPr>
          <w:p>
            <w:pPr>
              <w:keepNext w:val="0"/>
              <w:keepLines w:val="0"/>
              <w:widowControl/>
              <w:suppressLineNumbers w:val="0"/>
              <w:ind w:firstLine="400" w:firstLineChars="20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00"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225" w:type="dxa"/>
            <w:vAlign w:val="center"/>
          </w:tcPr>
          <w:p>
            <w:pPr>
              <w:keepNext w:val="0"/>
              <w:keepLines w:val="0"/>
              <w:widowControl/>
              <w:suppressLineNumbers w:val="0"/>
              <w:ind w:firstLine="400" w:firstLineChars="20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24" w:type="dxa"/>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6229"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7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2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2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cstheme="minorBidi"/>
          <w:b/>
          <w:bCs/>
          <w:color w:val="000000" w:themeColor="text1"/>
          <w:kern w:val="2"/>
          <w:sz w:val="28"/>
          <w:szCs w:val="28"/>
          <w:lang w:val="en-US" w:eastAsia="zh-CN" w:bidi="ar-SA"/>
          <w14:textFill>
            <w14:solidFill>
              <w14:schemeClr w14:val="tx1"/>
            </w14:solidFill>
          </w14:textFill>
        </w:rPr>
        <w:t>成本控制情况：</w:t>
      </w:r>
      <w:r>
        <w:rPr>
          <w:rFonts w:hint="eastAsia" w:hAnsi="宋体"/>
          <w:b w:val="0"/>
          <w:bCs w:val="0"/>
          <w:color w:val="000000" w:themeColor="text1"/>
          <w:szCs w:val="28"/>
          <w:lang w:val="en-US" w:eastAsia="zh-CN"/>
          <w14:textFill>
            <w14:solidFill>
              <w14:schemeClr w14:val="tx1"/>
            </w14:solidFill>
          </w14:textFill>
        </w:rPr>
        <w:t>我院2023年全省法院业务费成本控制在预算范围内，达到年度指标值。该指标分值20分，自评得分为20分，得分率为100.00%。</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产出</w:t>
      </w:r>
      <w:r>
        <w:rPr>
          <w:rFonts w:hint="eastAsia" w:ascii="仿宋_GB2312" w:hAnsi="仿宋_GB2312" w:eastAsia="仿宋_GB2312" w:cs="仿宋_GB2312"/>
          <w:szCs w:val="28"/>
          <w:lang w:eastAsia="zh-CN"/>
        </w:rPr>
        <w:t>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结案率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98.62%</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维修维护项目数</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=5项</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5项</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物业管理面积</w:t>
            </w:r>
          </w:p>
        </w:tc>
        <w:tc>
          <w:tcPr>
            <w:tcW w:w="142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=17878.76㎡</w:t>
            </w:r>
          </w:p>
        </w:tc>
        <w:tc>
          <w:tcPr>
            <w:tcW w:w="148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17878.6㎡</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3.37</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3.37</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信息化运维服务完成率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维修维护项目验收合格率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物业管理合格率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信息化运维服务验收合格率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90.42%</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时效指标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办案经费支付及时率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95.94%</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维修修护及时性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信息化运维工作及时性</w:t>
            </w:r>
          </w:p>
        </w:tc>
        <w:tc>
          <w:tcPr>
            <w:tcW w:w="14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5960"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结案率：</w:t>
      </w:r>
      <w:r>
        <w:rPr>
          <w:rFonts w:hint="eastAsia" w:hAnsi="宋体"/>
          <w:b w:val="0"/>
          <w:bCs w:val="0"/>
          <w:szCs w:val="28"/>
          <w:lang w:val="en-US" w:eastAsia="zh-CN"/>
        </w:rPr>
        <w:t>我院2023年度结案率98.62%，达到年度指标值。该指标分值3.33分，自评得分为3.33分，得分率为100.00%。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bCs/>
          <w:szCs w:val="28"/>
          <w:lang w:val="en-US" w:eastAsia="zh-CN"/>
        </w:rPr>
      </w:pPr>
      <w:r>
        <w:rPr>
          <w:rFonts w:hint="eastAsia" w:hAnsi="宋体"/>
          <w:b/>
          <w:bCs/>
          <w:szCs w:val="28"/>
          <w:lang w:val="en-US" w:eastAsia="zh-CN"/>
        </w:rPr>
        <w:t>维修维护项目数：</w:t>
      </w:r>
      <w:r>
        <w:rPr>
          <w:rFonts w:hint="eastAsia" w:hAnsi="宋体"/>
          <w:b w:val="0"/>
          <w:bCs w:val="0"/>
          <w:szCs w:val="28"/>
          <w:lang w:val="en-US" w:eastAsia="zh-CN"/>
        </w:rPr>
        <w:t>我院2023年维修维护项目数5项，达到年度指标值。该指标分值3.33分，自评得分为3.33分，得分率为100.00%。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val="0"/>
          <w:bCs w:val="0"/>
          <w:szCs w:val="28"/>
          <w:lang w:val="en-US" w:eastAsia="zh-CN"/>
        </w:rPr>
      </w:pPr>
      <w:r>
        <w:rPr>
          <w:rFonts w:hint="eastAsia" w:hAnsi="宋体"/>
          <w:b/>
          <w:bCs/>
          <w:szCs w:val="28"/>
          <w:lang w:val="en-US" w:eastAsia="zh-CN"/>
        </w:rPr>
        <w:t>物业管理面积：</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物业管理面积17878.6㎡</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3.37</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3.37</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信息化运维服务完成率：</w:t>
      </w:r>
      <w:r>
        <w:rPr>
          <w:rFonts w:hint="eastAsia" w:hAnsi="宋体"/>
          <w:b w:val="0"/>
          <w:bCs w:val="0"/>
          <w:szCs w:val="28"/>
          <w:lang w:val="en-US" w:eastAsia="zh-CN"/>
        </w:rPr>
        <w:t>我院信息化运维服务工作执行到位，积极保障法院信息化运维服务工作，信息化运维服务工作完成率为100.00%，达到年度指标值。该指标分值3.33分，自评得分为3.33分，得分率100.00%。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color w:val="auto"/>
          <w:kern w:val="2"/>
          <w:sz w:val="28"/>
          <w:szCs w:val="28"/>
          <w:lang w:val="en-US" w:eastAsia="zh-CN" w:bidi="ar-SA"/>
        </w:rPr>
      </w:pPr>
      <w:r>
        <w:rPr>
          <w:rFonts w:hint="eastAsia" w:hAnsi="宋体"/>
          <w:b/>
          <w:bCs/>
          <w:szCs w:val="28"/>
          <w:lang w:val="en-US" w:eastAsia="zh-CN"/>
        </w:rPr>
        <w:t>维修维护项目验收合格率：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维修维护项目</w:t>
      </w:r>
      <w:r>
        <w:rPr>
          <w:rFonts w:hint="eastAsia" w:ascii="仿宋_GB2312" w:hAnsi="宋体" w:eastAsia="仿宋_GB2312" w:cstheme="minorBidi"/>
          <w:b w:val="0"/>
          <w:bCs w:val="0"/>
          <w:kern w:val="2"/>
          <w:sz w:val="28"/>
          <w:szCs w:val="28"/>
          <w:lang w:val="en-US" w:eastAsia="zh-CN" w:bidi="ar-SA"/>
        </w:rPr>
        <w:t>已全部通过验收，合格率为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hAnsi="宋体"/>
          <w:b/>
          <w:bCs/>
          <w:szCs w:val="28"/>
          <w:lang w:val="en-US" w:eastAsia="zh-CN"/>
        </w:rPr>
      </w:pPr>
      <w:r>
        <w:rPr>
          <w:rFonts w:hint="eastAsia" w:hAnsi="宋体"/>
          <w:b/>
          <w:bCs/>
          <w:szCs w:val="28"/>
          <w:lang w:val="en-US" w:eastAsia="zh-CN"/>
        </w:rPr>
        <w:t>物业管理合格率：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物业管理</w:t>
      </w:r>
      <w:r>
        <w:rPr>
          <w:rFonts w:hint="eastAsia" w:ascii="仿宋_GB2312" w:hAnsi="宋体" w:eastAsia="仿宋_GB2312" w:cstheme="minorBidi"/>
          <w:b w:val="0"/>
          <w:bCs w:val="0"/>
          <w:kern w:val="2"/>
          <w:sz w:val="28"/>
          <w:szCs w:val="28"/>
          <w:lang w:val="en-US" w:eastAsia="zh-CN" w:bidi="ar-SA"/>
        </w:rPr>
        <w:t>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rPr>
          <w:rFonts w:hint="eastAsia" w:hAnsi="宋体"/>
          <w:b w:val="0"/>
          <w:bCs w:val="0"/>
          <w:szCs w:val="28"/>
          <w:lang w:val="en-US" w:eastAsia="zh-CN"/>
        </w:rPr>
      </w:pPr>
      <w:r>
        <w:rPr>
          <w:rFonts w:hint="eastAsia" w:hAnsi="宋体"/>
          <w:b/>
          <w:bCs/>
          <w:szCs w:val="28"/>
          <w:lang w:val="en-US" w:eastAsia="zh-CN"/>
        </w:rPr>
        <w:t>信息化运维服务验收合格率：</w:t>
      </w:r>
      <w:r>
        <w:rPr>
          <w:rFonts w:hint="eastAsia" w:hAnsi="宋体"/>
          <w:b w:val="0"/>
          <w:bCs w:val="0"/>
          <w:szCs w:val="28"/>
          <w:lang w:val="en-US" w:eastAsia="zh-CN"/>
        </w:rPr>
        <w:t>我院本年度的信息化运维服务工作均达到办公质量要求，通过验收，验收合格率为100.00%，达到年度指标值。该指标分值</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分，得分率100.00%。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一审服判息诉率：</w:t>
      </w:r>
      <w:r>
        <w:rPr>
          <w:rFonts w:hint="eastAsia" w:hAnsi="宋体"/>
          <w:b w:val="0"/>
          <w:bCs w:val="0"/>
          <w:szCs w:val="28"/>
          <w:lang w:val="en-US" w:eastAsia="zh-CN"/>
        </w:rPr>
        <w:t>我院2023年一审服判息诉率90.42%。各项审判执行质效指标持续保持高位运行，达到年度指标值。该指标分值3.33分，自评得分为3.33分，得分率为100.00%。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ascii="仿宋_GB2312" w:hAnsi="仿宋_GB2312" w:eastAsia="仿宋_GB2312" w:cstheme="minorBidi"/>
          <w:b/>
          <w:bCs/>
          <w:kern w:val="2"/>
          <w:sz w:val="28"/>
          <w:szCs w:val="32"/>
          <w:lang w:val="en-US" w:eastAsia="zh-CN" w:bidi="ar-SA"/>
        </w:rPr>
        <w:t>办案经费支付及时率：</w:t>
      </w:r>
      <w:r>
        <w:rPr>
          <w:rFonts w:hint="eastAsia" w:ascii="仿宋_GB2312" w:hAnsi="仿宋_GB2312" w:eastAsia="仿宋_GB2312" w:cstheme="minorBidi"/>
          <w:b w:val="0"/>
          <w:bCs w:val="0"/>
          <w:kern w:val="2"/>
          <w:sz w:val="28"/>
          <w:szCs w:val="32"/>
          <w:lang w:val="en-US" w:eastAsia="zh-CN" w:bidi="ar-SA"/>
        </w:rPr>
        <w:t>我院受理案件</w:t>
      </w:r>
      <w:r>
        <w:rPr>
          <w:rFonts w:hint="eastAsia" w:cstheme="minorBidi"/>
          <w:b w:val="0"/>
          <w:bCs w:val="0"/>
          <w:kern w:val="2"/>
          <w:sz w:val="28"/>
          <w:szCs w:val="32"/>
          <w:lang w:val="en-US" w:eastAsia="zh-CN" w:bidi="ar-SA"/>
        </w:rPr>
        <w:t>时所需办案经费下达及时、支付及时，符合项目资金使用规则，</w:t>
      </w:r>
      <w:r>
        <w:rPr>
          <w:rFonts w:hint="eastAsia" w:hAnsi="宋体"/>
          <w:b w:val="0"/>
          <w:bCs w:val="0"/>
          <w:szCs w:val="28"/>
          <w:lang w:val="en-US" w:eastAsia="zh-CN"/>
        </w:rPr>
        <w:t>达到年度指标值。</w:t>
      </w:r>
      <w:r>
        <w:rPr>
          <w:rFonts w:hint="eastAsia" w:ascii="仿宋_GB2312" w:hAnsi="仿宋_GB2312" w:eastAsia="仿宋_GB2312" w:cstheme="minorBidi"/>
          <w:b w:val="0"/>
          <w:bCs w:val="0"/>
          <w:kern w:val="2"/>
          <w:sz w:val="28"/>
          <w:szCs w:val="32"/>
          <w:lang w:val="en-US" w:eastAsia="zh-CN" w:bidi="ar-SA"/>
        </w:rPr>
        <w:t>该指标分值</w:t>
      </w:r>
      <w:r>
        <w:rPr>
          <w:rFonts w:hint="eastAsia" w:hAnsi="宋体" w:cstheme="minorBidi"/>
          <w:b w:val="0"/>
          <w:bCs w:val="0"/>
          <w:color w:val="auto"/>
          <w:kern w:val="2"/>
          <w:sz w:val="28"/>
          <w:szCs w:val="28"/>
          <w:lang w:val="en-US" w:eastAsia="zh-CN" w:bidi="ar-SA"/>
        </w:rPr>
        <w:t>3.33</w:t>
      </w:r>
      <w:r>
        <w:rPr>
          <w:rFonts w:hint="eastAsia" w:ascii="仿宋_GB2312" w:hAnsi="仿宋_GB2312" w:eastAsia="仿宋_GB2312" w:cstheme="minorBidi"/>
          <w:b w:val="0"/>
          <w:bCs w:val="0"/>
          <w:kern w:val="2"/>
          <w:sz w:val="28"/>
          <w:szCs w:val="32"/>
          <w:lang w:val="en-US" w:eastAsia="zh-CN" w:bidi="ar-SA"/>
        </w:rPr>
        <w:t>分，自评得分为</w:t>
      </w:r>
      <w:r>
        <w:rPr>
          <w:rFonts w:hint="eastAsia" w:hAnsi="宋体" w:cstheme="minorBidi"/>
          <w:b w:val="0"/>
          <w:bCs w:val="0"/>
          <w:color w:val="auto"/>
          <w:kern w:val="2"/>
          <w:sz w:val="28"/>
          <w:szCs w:val="28"/>
          <w:lang w:val="en-US" w:eastAsia="zh-CN" w:bidi="ar-SA"/>
        </w:rPr>
        <w:t>3.33</w:t>
      </w:r>
      <w:r>
        <w:rPr>
          <w:rFonts w:hint="eastAsia" w:ascii="仿宋_GB2312" w:hAnsi="仿宋_GB2312" w:eastAsia="仿宋_GB2312" w:cstheme="minorBidi"/>
          <w:b w:val="0"/>
          <w:bCs w:val="0"/>
          <w:kern w:val="2"/>
          <w:sz w:val="28"/>
          <w:szCs w:val="32"/>
          <w:lang w:val="en-US" w:eastAsia="zh-CN" w:bidi="ar-SA"/>
        </w:rPr>
        <w:t>分，得分率为</w:t>
      </w:r>
      <w:r>
        <w:rPr>
          <w:rFonts w:hint="eastAsia" w:cstheme="minorBidi"/>
          <w:b w:val="0"/>
          <w:bCs w:val="0"/>
          <w:kern w:val="2"/>
          <w:sz w:val="28"/>
          <w:szCs w:val="32"/>
          <w:lang w:val="en-US" w:eastAsia="zh-CN" w:bidi="ar-SA"/>
        </w:rPr>
        <w:t>100.00%</w:t>
      </w:r>
      <w:r>
        <w:rPr>
          <w:rFonts w:hint="eastAsia" w:ascii="仿宋_GB2312" w:hAnsi="仿宋_GB2312" w:eastAsia="仿宋_GB2312" w:cstheme="minorBidi"/>
          <w:b w:val="0"/>
          <w:bCs w:val="0"/>
          <w:kern w:val="2"/>
          <w:sz w:val="28"/>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color w:val="000000" w:themeColor="text1"/>
          <w:szCs w:val="28"/>
          <w:lang w:val="en-US" w:eastAsia="zh-CN"/>
          <w14:textFill>
            <w14:solidFill>
              <w14:schemeClr w14:val="tx1"/>
            </w14:solidFill>
          </w14:textFill>
        </w:rPr>
      </w:pPr>
      <w:r>
        <w:rPr>
          <w:rFonts w:hint="eastAsia" w:hAnsi="宋体"/>
          <w:b/>
          <w:bCs/>
          <w:szCs w:val="28"/>
          <w:lang w:val="en-US" w:eastAsia="zh-CN"/>
        </w:rPr>
        <w:t>法定审限内结案率：</w:t>
      </w:r>
      <w:r>
        <w:rPr>
          <w:rFonts w:hint="eastAsia" w:hAnsi="宋体"/>
          <w:b w:val="0"/>
          <w:bCs w:val="0"/>
          <w:szCs w:val="28"/>
          <w:lang w:val="en-US" w:eastAsia="zh-CN"/>
        </w:rPr>
        <w:t>我院2023年度法定审限内结案率95.94%，达到年度指标值。该指标分值</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维修修护及时性：</w:t>
      </w:r>
      <w:r>
        <w:rPr>
          <w:rFonts w:hint="eastAsia" w:hAnsi="宋体"/>
          <w:b w:val="0"/>
          <w:bCs w:val="0"/>
          <w:color w:val="000000" w:themeColor="text1"/>
          <w:szCs w:val="28"/>
          <w:lang w:val="en-US" w:eastAsia="zh-CN"/>
          <w14:textFill>
            <w14:solidFill>
              <w14:schemeClr w14:val="tx1"/>
            </w14:solidFill>
          </w14:textFill>
        </w:rPr>
        <w:t>我院维修维护工作开展及时，均在响应时间内进行维护工作，达到年度指标值。该指标分值3.33分，自评得分为3.33分，得分率为100.00%。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信息化运维工作及时性：</w:t>
      </w:r>
      <w:r>
        <w:rPr>
          <w:rFonts w:hint="eastAsia" w:hAnsi="宋体"/>
          <w:b w:val="0"/>
          <w:bCs w:val="0"/>
          <w:color w:val="000000" w:themeColor="text1"/>
          <w:szCs w:val="28"/>
          <w:lang w:val="en-US" w:eastAsia="zh-CN"/>
          <w14:textFill>
            <w14:solidFill>
              <w14:schemeClr w14:val="tx1"/>
            </w14:solidFill>
          </w14:textFill>
        </w:rPr>
        <w:t>我院信息化运维工作开展及时，均在响应时间内进行维护工作，达到年度指标值。该指标分值3.33分，自评得分为3.33分，得分率为100.00%。</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效益指标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挽回经济损失效果</w:t>
            </w:r>
          </w:p>
        </w:tc>
        <w:tc>
          <w:tcPr>
            <w:tcW w:w="146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46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打击生态犯罪，维护生态秩序</w:t>
            </w:r>
          </w:p>
        </w:tc>
        <w:tc>
          <w:tcPr>
            <w:tcW w:w="146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026"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挽回经济损失效果：</w:t>
      </w:r>
      <w:r>
        <w:rPr>
          <w:rFonts w:hint="eastAsia" w:ascii="仿宋_GB2312" w:hAnsi="宋体" w:eastAsia="仿宋_GB2312" w:cstheme="minorBidi"/>
          <w:b w:val="0"/>
          <w:bCs w:val="0"/>
          <w:kern w:val="2"/>
          <w:sz w:val="28"/>
          <w:szCs w:val="28"/>
          <w:lang w:val="en-US" w:eastAsia="zh-CN" w:bidi="ar-SA"/>
        </w:rPr>
        <w:t>我院积极采用多角度，多元化解决纠纷机制，加大财产保全力度，最大限度的维护当事人的合法权益，挽回经济损失效果明显。该指标分值</w:t>
      </w:r>
      <w:r>
        <w:rPr>
          <w:rFonts w:hint="eastAsia" w:hAnsi="宋体" w:cstheme="minorBidi"/>
          <w:b w:val="0"/>
          <w:bCs w:val="0"/>
          <w:kern w:val="2"/>
          <w:sz w:val="28"/>
          <w:szCs w:val="28"/>
          <w:lang w:val="en-US" w:eastAsia="zh-CN" w:bidi="ar-SA"/>
        </w:rPr>
        <w:t>5</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积极优化审判资源，狠抓执法办案第一要务，妥善化解纠纷，贯彻“调解优先、调判结合”的民事审判方针，加大涉弱势群体保护力度，切实维护社会稳定，达到年度指标值。该指标分值5分，自评得分为5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我院积极开展法院审判工作，有效保障审判服务，达到年度指标值。该指标分值5分，自评得分为5分，得分率为100.00%。</w:t>
      </w:r>
    </w:p>
    <w:p>
      <w:pPr>
        <w:pStyle w:val="10"/>
        <w:rPr>
          <w:rFonts w:hint="eastAsia" w:hAnsi="宋体"/>
          <w:b/>
          <w:bCs/>
          <w:szCs w:val="28"/>
        </w:rPr>
      </w:pPr>
      <w:r>
        <w:rPr>
          <w:rFonts w:hint="eastAsia"/>
          <w:b/>
          <w:bCs/>
          <w:color w:val="000000" w:themeColor="text1"/>
          <w:sz w:val="28"/>
          <w:szCs w:val="28"/>
          <w:lang w:val="en-US" w:eastAsia="zh-CN"/>
          <w14:textFill>
            <w14:solidFill>
              <w14:schemeClr w14:val="tx1"/>
            </w14:solidFill>
          </w14:textFill>
        </w:rPr>
        <w:t>打击生态犯罪，维护生态秩序：</w:t>
      </w:r>
      <w:r>
        <w:rPr>
          <w:rFonts w:hint="eastAsia"/>
          <w:color w:val="000000" w:themeColor="text1"/>
          <w:sz w:val="28"/>
          <w:szCs w:val="28"/>
          <w:lang w:val="en-US" w:eastAsia="zh-CN"/>
          <w14:textFill>
            <w14:solidFill>
              <w14:schemeClr w14:val="tx1"/>
            </w14:solidFill>
          </w14:textFill>
        </w:rPr>
        <w:t>我院加强法制宣传防止犯罪力度、打击生态犯罪，维护生态秩序，让人民时时刻刻都感受到法制氛围的力量，尽可能帮助人民在了解法的情况下减少犯罪活动，遏制犯罪动机，维护生态秩序，达到年度指标值。该指标分值5分，自评得分为5分，得分率为100.00%。</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服务对象满意度</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w:t>
      </w:r>
      <w:r>
        <w:rPr>
          <w:rFonts w:hint="eastAsia" w:ascii="仿宋_GB2312" w:hAnsi="宋体" w:eastAsia="仿宋_GB2312" w:cstheme="minorBidi"/>
          <w:b w:val="0"/>
          <w:bCs w:val="0"/>
          <w:kern w:val="2"/>
          <w:sz w:val="28"/>
          <w:szCs w:val="28"/>
          <w:highlight w:val="none"/>
          <w:lang w:val="en-US" w:eastAsia="zh-CN" w:bidi="ar-SA"/>
        </w:rPr>
        <w:t>对象满意度主要考察</w:t>
      </w:r>
      <w:r>
        <w:rPr>
          <w:rFonts w:hint="eastAsia" w:hAnsi="宋体" w:cstheme="minorBidi"/>
          <w:b w:val="0"/>
          <w:bCs w:val="0"/>
          <w:kern w:val="2"/>
          <w:sz w:val="28"/>
          <w:szCs w:val="28"/>
          <w:highlight w:val="none"/>
          <w:lang w:val="en-US" w:eastAsia="zh-CN" w:bidi="ar-SA"/>
        </w:rPr>
        <w:t>当事人</w:t>
      </w:r>
      <w:r>
        <w:rPr>
          <w:rFonts w:hint="eastAsia" w:ascii="仿宋_GB2312" w:hAnsi="宋体" w:eastAsia="仿宋_GB2312" w:cstheme="minorBidi"/>
          <w:b w:val="0"/>
          <w:bCs w:val="0"/>
          <w:kern w:val="2"/>
          <w:sz w:val="28"/>
          <w:szCs w:val="28"/>
          <w:highlight w:val="none"/>
          <w:lang w:val="en-US" w:eastAsia="zh-CN" w:bidi="ar-SA"/>
        </w:rPr>
        <w:t>满意</w:t>
      </w:r>
      <w:r>
        <w:rPr>
          <w:rFonts w:hint="eastAsia" w:ascii="仿宋_GB2312" w:hAnsi="宋体" w:eastAsia="仿宋_GB2312" w:cstheme="minorBidi"/>
          <w:b w:val="0"/>
          <w:bCs w:val="0"/>
          <w:kern w:val="2"/>
          <w:sz w:val="28"/>
          <w:szCs w:val="28"/>
          <w:lang w:val="en-US" w:eastAsia="zh-CN" w:bidi="ar-SA"/>
        </w:rPr>
        <w:t>度</w:t>
      </w:r>
      <w:r>
        <w:rPr>
          <w:rFonts w:hint="eastAsia" w:hAnsi="宋体" w:cstheme="minorBidi"/>
          <w:b w:val="0"/>
          <w:bCs w:val="0"/>
          <w:kern w:val="2"/>
          <w:sz w:val="28"/>
          <w:szCs w:val="28"/>
          <w:lang w:val="en-US" w:eastAsia="zh-CN" w:bidi="ar-SA"/>
        </w:rPr>
        <w:t>、干警满意度。</w:t>
      </w:r>
      <w:r>
        <w:rPr>
          <w:rFonts w:hint="eastAsia" w:ascii="仿宋_GB2312" w:hAnsi="宋体" w:eastAsia="仿宋_GB2312" w:cstheme="minorBidi"/>
          <w:b w:val="0"/>
          <w:bCs w:val="0"/>
          <w:kern w:val="2"/>
          <w:sz w:val="28"/>
          <w:szCs w:val="28"/>
          <w:lang w:val="en-US" w:eastAsia="zh-CN" w:bidi="ar-SA"/>
        </w:rPr>
        <w:t>该指标分值合计10分，自评得分</w:t>
      </w:r>
      <w:r>
        <w:rPr>
          <w:rFonts w:hint="eastAsia" w:hAnsi="宋体" w:cstheme="minorBidi"/>
          <w:b w:val="0"/>
          <w:bCs w:val="0"/>
          <w:kern w:val="2"/>
          <w:sz w:val="28"/>
          <w:szCs w:val="28"/>
          <w:lang w:val="en-US" w:eastAsia="zh-CN" w:bidi="ar-SA"/>
        </w:rPr>
        <w:t>10</w:t>
      </w:r>
      <w:r>
        <w:rPr>
          <w:rFonts w:hint="eastAsia" w:ascii="仿宋_GB2312" w:hAnsi="宋体" w:eastAsia="仿宋_GB2312" w:cstheme="minorBidi"/>
          <w:b w:val="0"/>
          <w:bCs w:val="0"/>
          <w:kern w:val="2"/>
          <w:sz w:val="28"/>
          <w:szCs w:val="28"/>
          <w:lang w:val="en-US" w:eastAsia="zh-CN" w:bidi="ar-SA"/>
        </w:rPr>
        <w:t>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当事人满意程度</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干警满意程度</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026"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当事人满意度：</w:t>
      </w:r>
      <w:r>
        <w:rPr>
          <w:rFonts w:hint="eastAsia"/>
        </w:rPr>
        <w:t>我院依法审理各类案件，妥善化解矛盾纠纷和行政争议，维护了法院审判工作的有序开展，积极保障人民群众生命财产安全，</w:t>
      </w:r>
      <w:r>
        <w:rPr>
          <w:rFonts w:hint="eastAsia"/>
          <w:lang w:val="en-US" w:eastAsia="zh-CN"/>
        </w:rPr>
        <w:t>当事人满意度92%，达到目标值。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eastAsia="zh-CN"/>
        </w:rPr>
      </w:pPr>
      <w:r>
        <w:rPr>
          <w:rFonts w:hint="eastAsia" w:ascii="仿宋_GB2312" w:hAnsi="仿宋_GB2312" w:eastAsia="仿宋_GB2312" w:cs="仿宋_GB2312"/>
          <w:b/>
          <w:bCs/>
          <w:sz w:val="28"/>
          <w:szCs w:val="28"/>
        </w:rPr>
        <w:t>干警满意度：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sz w:val="28"/>
          <w:szCs w:val="28"/>
          <w:lang w:val="en-US" w:eastAsia="zh-CN"/>
        </w:rPr>
        <w:t>干警满意度</w:t>
      </w:r>
      <w:r>
        <w:rPr>
          <w:rFonts w:hint="eastAsia" w:ascii="仿宋_GB2312" w:hAnsi="仿宋_GB2312" w:eastAsia="仿宋_GB2312" w:cs="仿宋_GB2312"/>
          <w:color w:val="auto"/>
          <w:sz w:val="28"/>
          <w:szCs w:val="28"/>
          <w:lang w:val="en-US" w:eastAsia="zh-CN"/>
        </w:rPr>
        <w:t>达到</w:t>
      </w:r>
      <w:r>
        <w:rPr>
          <w:rFonts w:hint="eastAsia" w:cs="仿宋_GB2312"/>
          <w:color w:val="auto"/>
          <w:sz w:val="28"/>
          <w:szCs w:val="28"/>
          <w:lang w:val="en-US" w:eastAsia="zh-CN"/>
        </w:rPr>
        <w:t>96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年度目标值为大于等于</w:t>
      </w:r>
      <w:r>
        <w:rPr>
          <w:rFonts w:hint="eastAsia" w:cs="仿宋_GB2312"/>
          <w:sz w:val="28"/>
          <w:szCs w:val="28"/>
          <w:lang w:val="en-US" w:eastAsia="zh-CN"/>
        </w:rPr>
        <w:t>90%，</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rPr>
        <w:t>。</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lang w:val="en-US"/>
        </w:rPr>
      </w:pPr>
      <w:bookmarkStart w:id="65" w:name="_Toc6126"/>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bookmarkEnd w:id="65"/>
    </w:p>
    <w:p>
      <w:pPr>
        <w:pStyle w:val="1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本次绩效自评综合评定</w:t>
      </w:r>
      <w:r>
        <w:rPr>
          <w:rFonts w:hint="eastAsia"/>
          <w:color w:val="000000" w:themeColor="text1"/>
          <w:sz w:val="28"/>
          <w:szCs w:val="28"/>
          <w:lang w:eastAsia="zh-CN"/>
          <w14:textFill>
            <w14:solidFill>
              <w14:schemeClr w14:val="tx1"/>
            </w14:solidFill>
          </w14:textFill>
        </w:rPr>
        <w:t>2023年</w:t>
      </w:r>
      <w:r>
        <w:rPr>
          <w:rFonts w:hint="eastAsia"/>
          <w:color w:val="000000" w:themeColor="text1"/>
          <w:sz w:val="28"/>
          <w:szCs w:val="28"/>
          <w:lang w:val="en-US" w:eastAsia="zh-CN"/>
          <w14:textFill>
            <w14:solidFill>
              <w14:schemeClr w14:val="tx1"/>
            </w14:solidFill>
          </w14:textFill>
        </w:rPr>
        <w:t>法庭运维费</w:t>
      </w:r>
      <w:r>
        <w:rPr>
          <w:rFonts w:hint="eastAsia"/>
          <w:color w:val="000000" w:themeColor="text1"/>
          <w:sz w:val="28"/>
          <w:szCs w:val="28"/>
          <w14:textFill>
            <w14:solidFill>
              <w14:schemeClr w14:val="tx1"/>
            </w14:solidFill>
          </w14:textFill>
        </w:rPr>
        <w:t>项目支出绩效得分为</w:t>
      </w:r>
      <w:r>
        <w:rPr>
          <w:rFonts w:hint="eastAsia"/>
          <w:color w:val="000000" w:themeColor="text1"/>
          <w:sz w:val="28"/>
          <w:szCs w:val="28"/>
          <w:lang w:val="en-US" w:eastAsia="zh-CN"/>
          <w14:textFill>
            <w14:solidFill>
              <w14:schemeClr w14:val="tx1"/>
            </w14:solidFill>
          </w14:textFill>
        </w:rPr>
        <w:t>100.00</w:t>
      </w:r>
      <w:r>
        <w:rPr>
          <w:rFonts w:hint="eastAsia"/>
          <w:color w:val="000000" w:themeColor="text1"/>
          <w:sz w:val="28"/>
          <w:szCs w:val="28"/>
          <w14:textFill>
            <w14:solidFill>
              <w14:schemeClr w14:val="tx1"/>
            </w14:solidFill>
          </w14:textFill>
        </w:rPr>
        <w:t>分，绩效等级为“</w:t>
      </w:r>
      <w:r>
        <w:rPr>
          <w:rFonts w:hint="eastAsia"/>
          <w:color w:val="000000" w:themeColor="text1"/>
          <w:sz w:val="28"/>
          <w:szCs w:val="28"/>
          <w:lang w:val="en-US" w:eastAsia="zh-CN"/>
          <w14:textFill>
            <w14:solidFill>
              <w14:schemeClr w14:val="tx1"/>
            </w14:solidFill>
          </w14:textFill>
        </w:rPr>
        <w:t>优</w:t>
      </w:r>
      <w:r>
        <w:rPr>
          <w:rFonts w:hint="eastAsia"/>
          <w:color w:val="000000" w:themeColor="text1"/>
          <w:sz w:val="28"/>
          <w:szCs w:val="28"/>
          <w14:textFill>
            <w14:solidFill>
              <w14:schemeClr w14:val="tx1"/>
            </w14:solidFill>
          </w14:textFill>
        </w:rPr>
        <w:t>”。项目支出绩效评价包括</w:t>
      </w:r>
      <w:r>
        <w:rPr>
          <w:rFonts w:hint="eastAsia" w:cs="仿宋_GB2312"/>
          <w:color w:val="000000" w:themeColor="text1"/>
          <w:sz w:val="28"/>
          <w:szCs w:val="28"/>
          <w:lang w:val="en-US" w:eastAsia="zh-CN"/>
          <w14:textFill>
            <w14:solidFill>
              <w14:schemeClr w14:val="tx1"/>
            </w14:solidFill>
          </w14:textFill>
        </w:rPr>
        <w:t>成本</w:t>
      </w:r>
      <w:r>
        <w:rPr>
          <w:rFonts w:hint="eastAsia" w:cs="仿宋_GB2312"/>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产出、效益、满意度四个一级指标，下设</w:t>
      </w:r>
      <w:r>
        <w:rPr>
          <w:rFonts w:hint="eastAsia"/>
          <w:color w:val="000000" w:themeColor="text1"/>
          <w:sz w:val="28"/>
          <w:szCs w:val="28"/>
          <w:lang w:val="en-US" w:eastAsia="zh-CN"/>
          <w14:textFill>
            <w14:solidFill>
              <w14:schemeClr w14:val="tx1"/>
            </w14:solidFill>
          </w14:textFill>
        </w:rPr>
        <w:t>6</w:t>
      </w:r>
      <w:r>
        <w:rPr>
          <w:rFonts w:hint="eastAsia"/>
          <w:color w:val="000000" w:themeColor="text1"/>
          <w:sz w:val="28"/>
          <w:szCs w:val="28"/>
          <w14:textFill>
            <w14:solidFill>
              <w14:schemeClr w14:val="tx1"/>
            </w14:solidFill>
          </w14:textFill>
        </w:rPr>
        <w:t>个二级指标和</w:t>
      </w:r>
      <w:r>
        <w:rPr>
          <w:rFonts w:hint="eastAsia"/>
          <w:color w:val="000000" w:themeColor="text1"/>
          <w:sz w:val="28"/>
          <w:szCs w:val="28"/>
          <w:lang w:val="en-US" w:eastAsia="zh-CN"/>
          <w14:textFill>
            <w14:solidFill>
              <w14:schemeClr w14:val="tx1"/>
            </w14:solidFill>
          </w14:textFill>
        </w:rPr>
        <w:t>13</w:t>
      </w:r>
      <w:r>
        <w:rPr>
          <w:rFonts w:hint="eastAsia"/>
          <w:color w:val="000000" w:themeColor="text1"/>
          <w:sz w:val="28"/>
          <w:szCs w:val="28"/>
          <w14:textFill>
            <w14:solidFill>
              <w14:schemeClr w14:val="tx1"/>
            </w14:solidFill>
          </w14:textFill>
        </w:rPr>
        <w:t>个三级指标。一级指标得分情况详见下表：</w:t>
      </w:r>
    </w:p>
    <w:tbl>
      <w:tblPr>
        <w:tblStyle w:val="24"/>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20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20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20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预算执行率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成本指标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产出指标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lang w:val="en-US" w:eastAsia="zh-CN" w:bidi="ar"/>
              </w:rPr>
              <w:t>40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lang w:val="en-US" w:eastAsia="zh-CN" w:bidi="ar"/>
              </w:rPr>
              <w:t>40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val="en-US" w:eastAsia="zh-CN" w:bidi="ar"/>
              </w:rPr>
              <w:t>100.00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bidi="ar"/>
              </w:rPr>
              <w:t>效益指标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满意度指标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4"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bidi="ar"/>
              </w:rPr>
              <w:t>100</w:t>
            </w:r>
          </w:p>
        </w:tc>
        <w:tc>
          <w:tcPr>
            <w:tcW w:w="2064"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w:t>
            </w:r>
          </w:p>
        </w:tc>
        <w:tc>
          <w:tcPr>
            <w:tcW w:w="2066"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100.00</w:t>
            </w:r>
            <w:r>
              <w:rPr>
                <w:rFonts w:hint="eastAsia" w:ascii="宋体" w:hAnsi="宋体" w:eastAsia="宋体" w:cs="宋体"/>
                <w:color w:val="000000"/>
                <w:kern w:val="0"/>
                <w:sz w:val="22"/>
                <w:lang w:bidi="ar"/>
              </w:rPr>
              <w:t>%</w:t>
            </w:r>
          </w:p>
        </w:tc>
      </w:tr>
    </w:tbl>
    <w:p>
      <w:pPr>
        <w:pStyle w:val="4"/>
        <w:bidi w:val="0"/>
      </w:pPr>
      <w:r>
        <w:t>1、项目支出预算执行情况</w:t>
      </w:r>
    </w:p>
    <w:p>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我院法庭运维费项目年初预算数71万元、全年预算数72.5万元，全年执行数72.5万元，预算执行率100.00%，满分10分，得分10分。</w:t>
      </w:r>
    </w:p>
    <w:p>
      <w:pPr>
        <w:pStyle w:val="4"/>
        <w:bidi w:val="0"/>
      </w:pPr>
      <w:r>
        <w:t>2、总体绩效目标完成情况分析</w:t>
      </w:r>
    </w:p>
    <w:p>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ascii="仿宋" w:hAnsi="仿宋" w:eastAsia="仿宋" w:cs="仿宋"/>
          <w:spacing w:val="-5"/>
          <w:position w:val="26"/>
          <w:sz w:val="28"/>
          <w:szCs w:val="28"/>
        </w:rPr>
        <w:t>法</w:t>
      </w:r>
      <w:r>
        <w:rPr>
          <w:rFonts w:hint="eastAsia" w:ascii="仿宋" w:hAnsi="仿宋" w:eastAsia="仿宋" w:cs="仿宋"/>
          <w:spacing w:val="-5"/>
          <w:position w:val="26"/>
          <w:sz w:val="28"/>
          <w:szCs w:val="28"/>
          <w:lang w:val="en-US" w:eastAsia="zh-CN"/>
        </w:rPr>
        <w:t>庭运维费项目自评价得分100分，自评结果为“优”。通过法庭运维费项目的有效实施，1、使我院6个人民法庭的正常运转；2、各基层法院按照年初计划，完成设备采购工作；3、我院按照年初预算及日常维护所需，完成相关设备的维修维护工作，延长设备使用寿命，设备完好率达到100%。</w:t>
      </w:r>
    </w:p>
    <w:p>
      <w:pPr>
        <w:pStyle w:val="4"/>
        <w:numPr>
          <w:ilvl w:val="0"/>
          <w:numId w:val="3"/>
        </w:numPr>
        <w:bidi w:val="0"/>
      </w:pPr>
      <w:r>
        <w:t>各项指标完成情况分析</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（1）成本指标</w:t>
      </w:r>
    </w:p>
    <w:p>
      <w:pPr>
        <w:rPr>
          <w:rFonts w:hint="eastAsia" w:hAnsi="宋体"/>
          <w:b w:val="0"/>
          <w:bCs w:val="0"/>
          <w:szCs w:val="28"/>
          <w:lang w:val="en-US" w:eastAsia="zh-CN"/>
        </w:rPr>
      </w:pPr>
      <w:r>
        <w:rPr>
          <w:rFonts w:hint="eastAsia" w:hAnsi="宋体"/>
          <w:b w:val="0"/>
          <w:bCs w:val="0"/>
          <w:szCs w:val="28"/>
          <w:lang w:val="en-US" w:eastAsia="zh-CN"/>
        </w:rPr>
        <w:t>成本指标下设1个二级指标，1个三级指标，指标权重合计20分，自评得分20分，得分率为100.00%。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87"/>
        <w:gridCol w:w="1600"/>
        <w:gridCol w:w="1375"/>
        <w:gridCol w:w="681"/>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168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三级指标</w:t>
            </w:r>
          </w:p>
        </w:tc>
        <w:tc>
          <w:tcPr>
            <w:tcW w:w="16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年度指标值</w:t>
            </w:r>
          </w:p>
        </w:tc>
        <w:tc>
          <w:tcPr>
            <w:tcW w:w="13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实际完成值</w:t>
            </w:r>
          </w:p>
        </w:tc>
        <w:tc>
          <w:tcPr>
            <w:tcW w:w="68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168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年度预算控制率</w:t>
            </w:r>
          </w:p>
        </w:tc>
        <w:tc>
          <w:tcPr>
            <w:tcW w:w="16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37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68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188" w:type="dxa"/>
            <w:vAlign w:val="center"/>
          </w:tcPr>
          <w:p>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4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154"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合计</w:t>
            </w:r>
          </w:p>
        </w:tc>
        <w:tc>
          <w:tcPr>
            <w:tcW w:w="68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hAnsi="宋体"/>
          <w:b/>
          <w:bCs/>
          <w:szCs w:val="28"/>
          <w:lang w:val="en-US" w:eastAsia="zh-CN"/>
        </w:rPr>
        <w:t>年度预算控制率：</w:t>
      </w:r>
      <w:r>
        <w:rPr>
          <w:rFonts w:hint="eastAsia" w:hAnsi="宋体"/>
          <w:b w:val="0"/>
          <w:bCs w:val="0"/>
          <w:szCs w:val="28"/>
          <w:lang w:val="en-US" w:eastAsia="zh-CN"/>
        </w:rPr>
        <w:t>我院法庭运维费全年预算数和实际支出为72.5万</w:t>
      </w:r>
      <w:r>
        <w:rPr>
          <w:rFonts w:hint="eastAsia" w:ascii="仿宋" w:hAnsi="仿宋" w:eastAsia="仿宋" w:cs="仿宋"/>
          <w:b w:val="0"/>
          <w:bCs w:val="0"/>
          <w:szCs w:val="28"/>
          <w:lang w:val="en-US" w:eastAsia="zh-CN"/>
        </w:rPr>
        <w:t>元，成本控制在全年预算数以内，符合年度指标值的要求。该指标分值20分，自评得分为20分，得分率为100.00%。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（2）产出指标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产出指标主要包括数量、质量、时效3个二级指标。总分值40分，得分40分，得分率100.00%。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724"/>
        <w:gridCol w:w="1504"/>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72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50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72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保障供暖面积</w:t>
            </w:r>
          </w:p>
        </w:tc>
        <w:tc>
          <w:tcPr>
            <w:tcW w:w="150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&lt;=17878.76㎡</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17878.76㎡</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4.48</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4.48</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72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保障基层法庭个数</w:t>
            </w:r>
          </w:p>
        </w:tc>
        <w:tc>
          <w:tcPr>
            <w:tcW w:w="150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=6个</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6个</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72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维修维护工作完成率</w:t>
            </w:r>
          </w:p>
        </w:tc>
        <w:tc>
          <w:tcPr>
            <w:tcW w:w="150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72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法庭正常运转保障率</w:t>
            </w:r>
          </w:p>
        </w:tc>
        <w:tc>
          <w:tcPr>
            <w:tcW w:w="150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72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水电暖服务保障率</w:t>
            </w:r>
          </w:p>
        </w:tc>
        <w:tc>
          <w:tcPr>
            <w:tcW w:w="150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p>
        </w:tc>
        <w:tc>
          <w:tcPr>
            <w:tcW w:w="172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维修维护合格率</w:t>
            </w:r>
          </w:p>
        </w:tc>
        <w:tc>
          <w:tcPr>
            <w:tcW w:w="150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时效指标</w:t>
            </w:r>
          </w:p>
        </w:tc>
        <w:tc>
          <w:tcPr>
            <w:tcW w:w="172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法庭运维及时性</w:t>
            </w:r>
          </w:p>
        </w:tc>
        <w:tc>
          <w:tcPr>
            <w:tcW w:w="150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72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日常维护工作完成及时性</w:t>
            </w:r>
          </w:p>
        </w:tc>
        <w:tc>
          <w:tcPr>
            <w:tcW w:w="150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72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水电暖服务保障工作及时性</w:t>
            </w:r>
          </w:p>
        </w:tc>
        <w:tc>
          <w:tcPr>
            <w:tcW w:w="150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5960"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数量指标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下设保障</w:t>
      </w:r>
      <w:r>
        <w:rPr>
          <w:rFonts w:hint="eastAsia" w:ascii="仿宋" w:hAnsi="仿宋" w:eastAsia="仿宋" w:cs="仿宋"/>
          <w:sz w:val="28"/>
          <w:shd w:val="clear" w:color="auto" w:fill="FFFFFF"/>
          <w:lang w:val="en-US" w:eastAsia="zh-CN"/>
        </w:rPr>
        <w:t>供暖面积、</w:t>
      </w:r>
      <w:r>
        <w:rPr>
          <w:rFonts w:hint="eastAsia" w:ascii="仿宋" w:hAnsi="仿宋" w:eastAsia="仿宋" w:cs="仿宋"/>
          <w:sz w:val="28"/>
          <w:shd w:val="clear" w:color="auto" w:fill="FFFFFF"/>
        </w:rPr>
        <w:t>保障基层法庭个数</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维修维护工作完成率</w:t>
      </w:r>
      <w:r>
        <w:rPr>
          <w:rFonts w:hint="eastAsia" w:ascii="仿宋" w:hAnsi="仿宋" w:eastAsia="仿宋" w:cs="仿宋"/>
          <w:sz w:val="28"/>
          <w:shd w:val="clear" w:color="auto" w:fill="FFFFFF"/>
          <w:lang w:val="en-US" w:eastAsia="zh-CN"/>
        </w:rPr>
        <w:t>3</w:t>
      </w:r>
      <w:r>
        <w:rPr>
          <w:rFonts w:hint="eastAsia" w:ascii="仿宋" w:hAnsi="仿宋" w:eastAsia="仿宋" w:cs="仿宋"/>
          <w:sz w:val="28"/>
          <w:shd w:val="clear" w:color="auto" w:fill="FFFFFF"/>
        </w:rPr>
        <w:t>个三级指标</w:t>
      </w:r>
      <w:r>
        <w:rPr>
          <w:rFonts w:hint="eastAsia" w:ascii="仿宋" w:hAnsi="仿宋" w:eastAsia="仿宋" w:cs="仿宋"/>
          <w:sz w:val="28"/>
          <w:shd w:val="clear" w:color="auto" w:fill="FFFFFF"/>
          <w:lang w:eastAsia="zh-CN"/>
        </w:rPr>
        <w:t>，均达到年度目标值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13.36</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13.36</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质量指标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下设法庭正常运转保障率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水电暖服务保障率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维修维护合格率</w:t>
      </w:r>
      <w:r>
        <w:rPr>
          <w:rFonts w:hint="eastAsia" w:ascii="仿宋" w:hAnsi="仿宋" w:eastAsia="仿宋" w:cs="仿宋"/>
          <w:sz w:val="28"/>
          <w:shd w:val="clear" w:color="auto" w:fill="FFFFFF"/>
          <w:lang w:val="en-US" w:eastAsia="zh-CN"/>
        </w:rPr>
        <w:t>3</w:t>
      </w:r>
      <w:r>
        <w:rPr>
          <w:rFonts w:hint="eastAsia" w:ascii="仿宋" w:hAnsi="仿宋" w:eastAsia="仿宋" w:cs="仿宋"/>
          <w:sz w:val="28"/>
          <w:shd w:val="clear" w:color="auto" w:fill="FFFFFF"/>
        </w:rPr>
        <w:t>个三级指标</w:t>
      </w:r>
      <w:r>
        <w:rPr>
          <w:rFonts w:hint="eastAsia" w:ascii="仿宋" w:hAnsi="仿宋" w:eastAsia="仿宋" w:cs="仿宋"/>
          <w:sz w:val="28"/>
          <w:shd w:val="clear" w:color="auto" w:fill="FFFFFF"/>
          <w:lang w:eastAsia="zh-CN"/>
        </w:rPr>
        <w:t>，均达到年度目标值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分，得分率为100%。</w:t>
      </w:r>
    </w:p>
    <w:p>
      <w:pPr>
        <w:spacing w:line="360" w:lineRule="auto"/>
        <w:ind w:firstLine="562" w:firstLineChars="200"/>
        <w:rPr>
          <w:rFonts w:hint="eastAsia" w:ascii="仿宋" w:hAnsi="仿宋" w:eastAsia="仿宋" w:cs="仿宋"/>
          <w:b/>
          <w:bCs/>
          <w:sz w:val="28"/>
          <w:shd w:val="clear" w:color="auto" w:fill="FFFFFF"/>
        </w:rPr>
      </w:pPr>
      <w:r>
        <w:rPr>
          <w:rFonts w:hint="eastAsia" w:ascii="仿宋" w:hAnsi="仿宋" w:eastAsia="仿宋" w:cs="仿宋"/>
          <w:b/>
          <w:bCs/>
          <w:sz w:val="28"/>
          <w:shd w:val="clear" w:color="auto" w:fill="FFFFFF"/>
        </w:rPr>
        <w:t>时效指标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w:t>
      </w:r>
      <w:r>
        <w:rPr>
          <w:rFonts w:hint="eastAsia" w:ascii="仿宋" w:hAnsi="仿宋" w:eastAsia="仿宋" w:cs="仿宋"/>
          <w:sz w:val="28"/>
          <w:shd w:val="clear" w:color="auto" w:fill="FFFFFF"/>
          <w:lang w:val="en-US" w:eastAsia="zh-CN"/>
        </w:rPr>
        <w:t>法庭运维及时性</w:t>
      </w:r>
      <w:r>
        <w:rPr>
          <w:rFonts w:hint="eastAsia" w:ascii="仿宋" w:hAnsi="仿宋" w:eastAsia="仿宋" w:cs="仿宋"/>
          <w:sz w:val="28"/>
          <w:shd w:val="clear" w:color="auto" w:fill="FFFFFF"/>
        </w:rPr>
        <w:t>、</w:t>
      </w:r>
      <w:r>
        <w:rPr>
          <w:rFonts w:hint="eastAsia" w:ascii="仿宋" w:hAnsi="仿宋" w:eastAsia="仿宋" w:cs="仿宋"/>
          <w:sz w:val="28"/>
          <w:shd w:val="clear" w:color="auto" w:fill="FFFFFF"/>
          <w:lang w:val="en-US" w:eastAsia="zh-CN"/>
        </w:rPr>
        <w:t>日常维护工作完成及时性、水电暖服务保障工作及时性3</w:t>
      </w:r>
      <w:r>
        <w:rPr>
          <w:rFonts w:hint="eastAsia" w:ascii="仿宋" w:hAnsi="仿宋" w:eastAsia="仿宋" w:cs="仿宋"/>
          <w:sz w:val="28"/>
          <w:shd w:val="clear" w:color="auto" w:fill="FFFFFF"/>
        </w:rPr>
        <w:t>个三级指标，</w:t>
      </w:r>
      <w:r>
        <w:rPr>
          <w:rFonts w:hint="eastAsia" w:ascii="仿宋" w:hAnsi="仿宋" w:eastAsia="仿宋" w:cs="仿宋"/>
          <w:sz w:val="28"/>
          <w:shd w:val="clear" w:color="auto" w:fill="FFFFFF"/>
          <w:lang w:eastAsia="zh-CN"/>
        </w:rPr>
        <w:t>均达到年度目标值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分，得分率为100%。</w:t>
      </w:r>
    </w:p>
    <w:p>
      <w:pPr>
        <w:ind w:left="31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sz w:val="28"/>
          <w:szCs w:val="28"/>
          <w:lang w:val="en-US" w:eastAsia="zh-CN"/>
        </w:rPr>
        <w:t>3</w:t>
      </w:r>
      <w:r>
        <w:rPr>
          <w:rFonts w:ascii="仿宋" w:hAnsi="仿宋" w:eastAsia="仿宋"/>
          <w:b/>
          <w:bCs/>
          <w:sz w:val="28"/>
          <w:szCs w:val="28"/>
        </w:rPr>
        <w:t>）效益指标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w:t>
      </w:r>
      <w:r>
        <w:rPr>
          <w:rFonts w:hint="eastAsia"/>
          <w:sz w:val="28"/>
          <w:shd w:val="clear" w:color="auto" w:fill="FFFFFF"/>
          <w:lang w:val="en-US" w:eastAsia="zh-CN"/>
        </w:rPr>
        <w:t>经济、社会、生态</w:t>
      </w:r>
      <w:r>
        <w:rPr>
          <w:rFonts w:hint="eastAsia" w:ascii="仿宋_GB2312" w:hAnsi="仿宋_GB2312" w:eastAsia="仿宋_GB2312"/>
          <w:sz w:val="28"/>
          <w:shd w:val="clear" w:color="auto" w:fill="FFFFFF"/>
        </w:rPr>
        <w:t>效益</w:t>
      </w:r>
      <w:r>
        <w:rPr>
          <w:rFonts w:hint="eastAsia"/>
          <w:sz w:val="28"/>
          <w:shd w:val="clear" w:color="auto" w:fill="FFFFFF"/>
          <w:lang w:val="en-US" w:eastAsia="zh-CN"/>
        </w:rPr>
        <w:t>3</w:t>
      </w:r>
      <w:r>
        <w:rPr>
          <w:rFonts w:hint="eastAsia" w:ascii="仿宋_GB2312" w:hAnsi="仿宋_GB2312" w:eastAsia="仿宋_GB2312"/>
          <w:sz w:val="28"/>
          <w:shd w:val="clear" w:color="auto" w:fill="FFFFFF"/>
        </w:rPr>
        <w:t>个二级指标。总分值</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9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026"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spacing w:line="360" w:lineRule="auto"/>
        <w:ind w:firstLine="562" w:firstLineChars="200"/>
        <w:rPr>
          <w:rFonts w:hint="eastAsia" w:ascii="仿宋" w:hAnsi="仿宋" w:eastAsia="仿宋" w:cs="仿宋"/>
          <w:sz w:val="28"/>
          <w:shd w:val="clear" w:color="auto" w:fill="FFFFFF"/>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w:t>
      </w:r>
      <w:r>
        <w:rPr>
          <w:rFonts w:hint="eastAsia" w:hAnsi="宋体"/>
          <w:b w:val="0"/>
          <w:bCs w:val="0"/>
          <w:color w:val="000000" w:themeColor="text1"/>
          <w:szCs w:val="28"/>
          <w:lang w:val="en-US" w:eastAsia="zh-CN"/>
          <w14:textFill>
            <w14:solidFill>
              <w14:schemeClr w14:val="tx1"/>
            </w14:solidFill>
          </w14:textFill>
        </w:rPr>
        <w:t>20</w:t>
      </w:r>
      <w:r>
        <w:rPr>
          <w:rFonts w:hint="eastAsia" w:hAnsi="宋体"/>
          <w:b w:val="0"/>
          <w:bCs w:val="0"/>
          <w:szCs w:val="28"/>
          <w:lang w:val="en-US" w:eastAsia="zh-CN"/>
        </w:rPr>
        <w:t>分，自评得分为</w:t>
      </w:r>
      <w:r>
        <w:rPr>
          <w:rFonts w:hint="eastAsia" w:hAnsi="宋体"/>
          <w:b w:val="0"/>
          <w:bCs w:val="0"/>
          <w:color w:val="000000" w:themeColor="text1"/>
          <w:szCs w:val="28"/>
          <w:lang w:val="en-US" w:eastAsia="zh-CN"/>
          <w14:textFill>
            <w14:solidFill>
              <w14:schemeClr w14:val="tx1"/>
            </w14:solidFill>
          </w14:textFill>
        </w:rPr>
        <w:t>20</w:t>
      </w:r>
      <w:r>
        <w:rPr>
          <w:rFonts w:hint="eastAsia" w:hAnsi="宋体"/>
          <w:b w:val="0"/>
          <w:bCs w:val="0"/>
          <w:szCs w:val="28"/>
          <w:lang w:val="en-US" w:eastAsia="zh-CN"/>
        </w:rPr>
        <w:t>分，得分</w:t>
      </w:r>
      <w:r>
        <w:rPr>
          <w:rFonts w:hint="eastAsia" w:ascii="仿宋" w:hAnsi="仿宋" w:eastAsia="仿宋" w:cs="仿宋"/>
          <w:sz w:val="28"/>
          <w:shd w:val="clear" w:color="auto" w:fill="FFFFFF"/>
          <w:lang w:val="en-US" w:eastAsia="zh-CN"/>
        </w:rPr>
        <w:t>率为100.00%。</w:t>
      </w:r>
    </w:p>
    <w:p>
      <w:pPr>
        <w:ind w:left="319" w:leftChars="114" w:firstLine="281" w:firstLineChars="10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（4）服务对象满意度指标</w:t>
      </w:r>
    </w:p>
    <w:p>
      <w:pPr>
        <w:spacing w:line="360" w:lineRule="auto"/>
        <w:ind w:firstLine="560" w:firstLineChars="200"/>
        <w:rPr>
          <w:rFonts w:hint="eastAsia" w:ascii="仿宋_GB2312" w:hAnsi="宋体" w:eastAsia="仿宋_GB2312" w:cstheme="minorBidi"/>
          <w:b w:val="0"/>
          <w:bCs w:val="0"/>
          <w:kern w:val="2"/>
          <w:sz w:val="28"/>
          <w:szCs w:val="28"/>
          <w:lang w:val="en-US" w:eastAsia="zh-CN" w:bidi="ar-SA"/>
        </w:rPr>
      </w:pPr>
      <w:r>
        <w:rPr>
          <w:rFonts w:hint="eastAsia" w:ascii="仿宋" w:hAnsi="仿宋" w:eastAsia="仿宋" w:cs="仿宋"/>
          <w:sz w:val="28"/>
          <w:shd w:val="clear" w:color="auto" w:fill="FFFFFF"/>
          <w:lang w:val="en-US" w:eastAsia="zh-CN"/>
        </w:rPr>
        <w:t>服务对象满意度</w:t>
      </w:r>
      <w:r>
        <w:rPr>
          <w:rFonts w:hint="eastAsia" w:ascii="仿宋_GB2312" w:hAnsi="宋体" w:eastAsia="仿宋_GB2312" w:cstheme="minorBidi"/>
          <w:b w:val="0"/>
          <w:bCs w:val="0"/>
          <w:kern w:val="2"/>
          <w:sz w:val="28"/>
          <w:szCs w:val="28"/>
          <w:lang w:val="en-US" w:eastAsia="zh-CN" w:bidi="ar-SA"/>
        </w:rPr>
        <w:t>指标指标根据我院向社会提供公共产品和服务的主要对象，主要考察服务群众对审判工作满意度</w:t>
      </w:r>
      <w:r>
        <w:rPr>
          <w:rFonts w:hint="eastAsia" w:hAnsi="宋体" w:cstheme="minorBidi"/>
          <w:b w:val="0"/>
          <w:bCs w:val="0"/>
          <w:kern w:val="2"/>
          <w:sz w:val="28"/>
          <w:szCs w:val="28"/>
          <w:lang w:val="en-US" w:eastAsia="zh-CN" w:bidi="ar-SA"/>
        </w:rPr>
        <w:t>、派出法庭工作人员满意度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服务群众对审批工作满意度</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派出法庭工作人员满意度</w:t>
            </w:r>
          </w:p>
        </w:tc>
        <w:tc>
          <w:tcPr>
            <w:tcW w:w="146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1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026"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lang w:eastAsia="zh-CN"/>
        </w:rPr>
      </w:pPr>
      <w:r>
        <w:rPr>
          <w:rFonts w:hint="eastAsia" w:ascii="仿宋_GB2312" w:hAnsi="仿宋_GB2312" w:eastAsia="仿宋_GB2312" w:cs="仿宋_GB2312"/>
          <w:b/>
          <w:bCs/>
          <w:sz w:val="28"/>
          <w:szCs w:val="28"/>
          <w:lang w:val="en-US" w:eastAsia="zh-CN"/>
        </w:rPr>
        <w:t>服务群众对审判工作满意度</w:t>
      </w:r>
      <w:r>
        <w:rPr>
          <w:rFonts w:hint="eastAsia" w:ascii="仿宋_GB2312" w:hAnsi="仿宋_GB2312" w:eastAsia="仿宋_GB2312" w:cs="仿宋_GB2312"/>
          <w:b/>
          <w:bCs/>
          <w:sz w:val="28"/>
          <w:szCs w:val="28"/>
        </w:rPr>
        <w:t>：</w:t>
      </w:r>
      <w:r>
        <w:rPr>
          <w:rFonts w:hint="eastAsia"/>
          <w:lang w:eastAsia="zh-CN"/>
        </w:rPr>
        <w:t>基层法</w:t>
      </w:r>
      <w:r>
        <w:rPr>
          <w:rFonts w:hint="eastAsia"/>
        </w:rPr>
        <w:t>院依法审理各类案件，妥善化解矛盾纠纷和行政争议，维护了法院审判工作的有序开展，积极保障人民群众生命财产安全，</w:t>
      </w:r>
      <w:r>
        <w:rPr>
          <w:rFonts w:hint="eastAsia"/>
          <w:lang w:val="en-US" w:eastAsia="zh-CN"/>
        </w:rPr>
        <w:t>服务群众对审判工作满意度达到92%，本年度目标值为90%。</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派出法庭工作人员满意度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sz w:val="28"/>
          <w:szCs w:val="28"/>
          <w:lang w:val="en-US" w:eastAsia="zh-CN"/>
        </w:rPr>
        <w:t>派出法庭工作人员</w:t>
      </w:r>
      <w:r>
        <w:rPr>
          <w:rFonts w:hint="eastAsia" w:ascii="仿宋_GB2312" w:hAnsi="仿宋_GB2312" w:eastAsia="仿宋_GB2312" w:cs="仿宋_GB2312"/>
          <w:sz w:val="28"/>
          <w:szCs w:val="28"/>
          <w:lang w:val="en-US" w:eastAsia="zh-CN"/>
        </w:rPr>
        <w:t>满意度</w:t>
      </w:r>
      <w:r>
        <w:rPr>
          <w:rFonts w:hint="eastAsia" w:ascii="仿宋_GB2312" w:hAnsi="仿宋_GB2312" w:eastAsia="仿宋_GB2312" w:cs="仿宋_GB2312"/>
          <w:color w:val="auto"/>
          <w:sz w:val="28"/>
          <w:szCs w:val="28"/>
          <w:lang w:val="en-US" w:eastAsia="zh-CN"/>
        </w:rPr>
        <w:t>达到</w:t>
      </w:r>
      <w:r>
        <w:rPr>
          <w:rFonts w:hint="eastAsia" w:cs="仿宋_GB2312"/>
          <w:color w:val="auto"/>
          <w:sz w:val="28"/>
          <w:szCs w:val="28"/>
          <w:lang w:val="en-US" w:eastAsia="zh-CN"/>
        </w:rPr>
        <w:t>96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年度目标值为大于等于</w:t>
      </w:r>
      <w:r>
        <w:rPr>
          <w:rFonts w:hint="eastAsia" w:cs="仿宋_GB2312"/>
          <w:sz w:val="28"/>
          <w:szCs w:val="28"/>
          <w:lang w:val="en-US" w:eastAsia="zh-CN"/>
        </w:rPr>
        <w:t>90%，</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pPr>
        <w:pStyle w:val="4"/>
        <w:bidi w:val="0"/>
      </w:pPr>
      <w:r>
        <w:t>4、偏离绩效目标的原因及下一步改进措施</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ighlight w:val="none"/>
          <w:lang w:val="en-US" w:eastAsia="zh-CN"/>
        </w:rPr>
      </w:pPr>
      <w:r>
        <w:rPr>
          <w:rFonts w:hint="eastAsia"/>
          <w:highlight w:val="none"/>
          <w:lang w:val="en-US" w:eastAsia="zh-CN"/>
        </w:rPr>
        <w:t>无</w:t>
      </w:r>
    </w:p>
    <w:bookmarkEnd w:id="58"/>
    <w:bookmarkEnd w:id="59"/>
    <w:bookmarkEnd w:id="60"/>
    <w:bookmarkEnd w:id="61"/>
    <w:bookmarkEnd w:id="62"/>
    <w:p>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66" w:name="_Toc6252"/>
      <w:bookmarkStart w:id="67" w:name="_Toc32543"/>
      <w:bookmarkStart w:id="68" w:name="_Toc26665"/>
      <w:bookmarkStart w:id="69" w:name="_Toc4982"/>
      <w:r>
        <w:rPr>
          <w:rFonts w:hint="eastAsia"/>
          <w:lang w:val="en-US" w:eastAsia="zh-CN"/>
        </w:rPr>
        <w:t>五、绩效自评结果拟应用和公开情况</w:t>
      </w:r>
      <w:bookmarkEnd w:id="63"/>
      <w:bookmarkEnd w:id="64"/>
      <w:bookmarkEnd w:id="66"/>
      <w:bookmarkEnd w:id="67"/>
      <w:bookmarkEnd w:id="68"/>
      <w:bookmarkEnd w:id="69"/>
    </w:p>
    <w:p>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70" w:name="_Toc6781"/>
      <w:bookmarkStart w:id="71" w:name="_Toc40046066"/>
      <w:bookmarkStart w:id="72" w:name="_Toc17181"/>
      <w:bookmarkStart w:id="73" w:name="_Toc7954"/>
      <w:bookmarkStart w:id="74" w:name="_Toc21490"/>
      <w:bookmarkStart w:id="75" w:name="_Toc4491"/>
      <w:r>
        <w:rPr>
          <w:rFonts w:hint="eastAsia"/>
          <w:lang w:val="en-US" w:eastAsia="zh-CN"/>
        </w:rPr>
        <w:t>六、其他需要说明的问题</w:t>
      </w:r>
      <w:bookmarkEnd w:id="70"/>
      <w:bookmarkEnd w:id="71"/>
      <w:bookmarkEnd w:id="72"/>
      <w:bookmarkEnd w:id="73"/>
      <w:bookmarkEnd w:id="74"/>
      <w:bookmarkEnd w:id="75"/>
    </w:p>
    <w:p>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footerReference r:id="rId11"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88059213"/>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26C41"/>
    <w:multiLevelType w:val="singleLevel"/>
    <w:tmpl w:val="90726C41"/>
    <w:lvl w:ilvl="0" w:tentative="0">
      <w:start w:val="1"/>
      <w:numFmt w:val="decimal"/>
      <w:suff w:val="nothing"/>
      <w:lvlText w:val="（%1）"/>
      <w:lvlJc w:val="left"/>
    </w:lvl>
  </w:abstractNum>
  <w:abstractNum w:abstractNumId="1">
    <w:nsid w:val="BF1D3CA2"/>
    <w:multiLevelType w:val="singleLevel"/>
    <w:tmpl w:val="BF1D3CA2"/>
    <w:lvl w:ilvl="0" w:tentative="0">
      <w:start w:val="2"/>
      <w:numFmt w:val="decimal"/>
      <w:suff w:val="nothing"/>
      <w:lvlText w:val="（%1）"/>
      <w:lvlJc w:val="left"/>
    </w:lvl>
  </w:abstractNum>
  <w:abstractNum w:abstractNumId="2">
    <w:nsid w:val="E3209D48"/>
    <w:multiLevelType w:val="singleLevel"/>
    <w:tmpl w:val="E3209D48"/>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0NTk1N2I5NTdiYjQ3ZjZmYzliMzFiYjhkZWVmZGU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423F24"/>
    <w:rsid w:val="016210FD"/>
    <w:rsid w:val="0166457E"/>
    <w:rsid w:val="01865733"/>
    <w:rsid w:val="01A06E9D"/>
    <w:rsid w:val="023A109F"/>
    <w:rsid w:val="02441F1E"/>
    <w:rsid w:val="0294218E"/>
    <w:rsid w:val="02CA7215"/>
    <w:rsid w:val="02D93C69"/>
    <w:rsid w:val="02FE1FF9"/>
    <w:rsid w:val="0305754E"/>
    <w:rsid w:val="032D4760"/>
    <w:rsid w:val="032D7033"/>
    <w:rsid w:val="0333242E"/>
    <w:rsid w:val="03586C8C"/>
    <w:rsid w:val="03B80F4C"/>
    <w:rsid w:val="03B93EF4"/>
    <w:rsid w:val="03DE64EE"/>
    <w:rsid w:val="03EE1902"/>
    <w:rsid w:val="04417E07"/>
    <w:rsid w:val="045D1075"/>
    <w:rsid w:val="046D109D"/>
    <w:rsid w:val="04AE1CD1"/>
    <w:rsid w:val="04AE6573"/>
    <w:rsid w:val="04C826FC"/>
    <w:rsid w:val="04D710AE"/>
    <w:rsid w:val="05431AC5"/>
    <w:rsid w:val="054B2210"/>
    <w:rsid w:val="055B4129"/>
    <w:rsid w:val="056E2FD7"/>
    <w:rsid w:val="058F525E"/>
    <w:rsid w:val="05AA2098"/>
    <w:rsid w:val="05D64F65"/>
    <w:rsid w:val="05E41A4E"/>
    <w:rsid w:val="06347F2F"/>
    <w:rsid w:val="064F716B"/>
    <w:rsid w:val="068B5D38"/>
    <w:rsid w:val="06B8742D"/>
    <w:rsid w:val="06D575E9"/>
    <w:rsid w:val="06E8731C"/>
    <w:rsid w:val="06F265AD"/>
    <w:rsid w:val="06F90833"/>
    <w:rsid w:val="07100621"/>
    <w:rsid w:val="071E5658"/>
    <w:rsid w:val="07930250"/>
    <w:rsid w:val="07AF39D1"/>
    <w:rsid w:val="07DE28D4"/>
    <w:rsid w:val="080E4270"/>
    <w:rsid w:val="084A7B62"/>
    <w:rsid w:val="087F1930"/>
    <w:rsid w:val="088272FC"/>
    <w:rsid w:val="0895342C"/>
    <w:rsid w:val="08A7247E"/>
    <w:rsid w:val="08A728CF"/>
    <w:rsid w:val="08A84A40"/>
    <w:rsid w:val="08F834BD"/>
    <w:rsid w:val="09077DF6"/>
    <w:rsid w:val="091241C8"/>
    <w:rsid w:val="09376339"/>
    <w:rsid w:val="09952194"/>
    <w:rsid w:val="09B13A45"/>
    <w:rsid w:val="09B72FD5"/>
    <w:rsid w:val="09BE6112"/>
    <w:rsid w:val="0A0C1573"/>
    <w:rsid w:val="0A6C3DC0"/>
    <w:rsid w:val="0A7809B7"/>
    <w:rsid w:val="0AAC7535"/>
    <w:rsid w:val="0AE41BA8"/>
    <w:rsid w:val="0AFC15E8"/>
    <w:rsid w:val="0AFD6D5D"/>
    <w:rsid w:val="0B0D109F"/>
    <w:rsid w:val="0B3D575C"/>
    <w:rsid w:val="0B4E404E"/>
    <w:rsid w:val="0B786794"/>
    <w:rsid w:val="0B8D6294"/>
    <w:rsid w:val="0B904D38"/>
    <w:rsid w:val="0B987180"/>
    <w:rsid w:val="0BA35E5E"/>
    <w:rsid w:val="0BA70E60"/>
    <w:rsid w:val="0BE1433A"/>
    <w:rsid w:val="0C040E46"/>
    <w:rsid w:val="0C126BE9"/>
    <w:rsid w:val="0C522046"/>
    <w:rsid w:val="0C6032F9"/>
    <w:rsid w:val="0C6C6699"/>
    <w:rsid w:val="0C801DA5"/>
    <w:rsid w:val="0C8F023A"/>
    <w:rsid w:val="0DD248FB"/>
    <w:rsid w:val="0DD423A8"/>
    <w:rsid w:val="0DE74A3D"/>
    <w:rsid w:val="0DF0188C"/>
    <w:rsid w:val="0DF46805"/>
    <w:rsid w:val="0E071816"/>
    <w:rsid w:val="0E130328"/>
    <w:rsid w:val="0E14510B"/>
    <w:rsid w:val="0E5E4367"/>
    <w:rsid w:val="0E791344"/>
    <w:rsid w:val="0E975183"/>
    <w:rsid w:val="0E9E4764"/>
    <w:rsid w:val="0EB9159E"/>
    <w:rsid w:val="0ECB20BE"/>
    <w:rsid w:val="0ECC7523"/>
    <w:rsid w:val="0F087E2F"/>
    <w:rsid w:val="0F0E7B3C"/>
    <w:rsid w:val="0F5301E5"/>
    <w:rsid w:val="0F821592"/>
    <w:rsid w:val="0F96368D"/>
    <w:rsid w:val="0FAD1102"/>
    <w:rsid w:val="0FBE7ED7"/>
    <w:rsid w:val="0FC91CB4"/>
    <w:rsid w:val="0FE30140"/>
    <w:rsid w:val="104C2BCB"/>
    <w:rsid w:val="105E064F"/>
    <w:rsid w:val="106D6186"/>
    <w:rsid w:val="10795489"/>
    <w:rsid w:val="108C51BC"/>
    <w:rsid w:val="10953945"/>
    <w:rsid w:val="109A22B0"/>
    <w:rsid w:val="10ED0DA6"/>
    <w:rsid w:val="112278CE"/>
    <w:rsid w:val="115B7B4E"/>
    <w:rsid w:val="119368FA"/>
    <w:rsid w:val="11A11963"/>
    <w:rsid w:val="11C03DEA"/>
    <w:rsid w:val="11C20FE9"/>
    <w:rsid w:val="11CF41B2"/>
    <w:rsid w:val="11E85901"/>
    <w:rsid w:val="120E7E53"/>
    <w:rsid w:val="126D4DDF"/>
    <w:rsid w:val="129465AA"/>
    <w:rsid w:val="12F942BB"/>
    <w:rsid w:val="130C64DA"/>
    <w:rsid w:val="13792670"/>
    <w:rsid w:val="13C4619A"/>
    <w:rsid w:val="13DA4490"/>
    <w:rsid w:val="14055456"/>
    <w:rsid w:val="1410241B"/>
    <w:rsid w:val="146A4AEC"/>
    <w:rsid w:val="14A1264A"/>
    <w:rsid w:val="14A14FAE"/>
    <w:rsid w:val="14A237DC"/>
    <w:rsid w:val="14C17805"/>
    <w:rsid w:val="14FB2910"/>
    <w:rsid w:val="15455939"/>
    <w:rsid w:val="154D47EE"/>
    <w:rsid w:val="1578500A"/>
    <w:rsid w:val="15937A9B"/>
    <w:rsid w:val="15B716F5"/>
    <w:rsid w:val="15EE4223"/>
    <w:rsid w:val="160A3D95"/>
    <w:rsid w:val="16133C89"/>
    <w:rsid w:val="16662CC1"/>
    <w:rsid w:val="169A0A5A"/>
    <w:rsid w:val="16EA10E2"/>
    <w:rsid w:val="16F13FCB"/>
    <w:rsid w:val="171A2DA3"/>
    <w:rsid w:val="17364B64"/>
    <w:rsid w:val="17400B06"/>
    <w:rsid w:val="17914727"/>
    <w:rsid w:val="17A22D12"/>
    <w:rsid w:val="17A41D79"/>
    <w:rsid w:val="17D45E88"/>
    <w:rsid w:val="18657FD3"/>
    <w:rsid w:val="187529D9"/>
    <w:rsid w:val="187F540D"/>
    <w:rsid w:val="18CA4D24"/>
    <w:rsid w:val="19167A27"/>
    <w:rsid w:val="19444033"/>
    <w:rsid w:val="194F153B"/>
    <w:rsid w:val="1980048D"/>
    <w:rsid w:val="19855E4D"/>
    <w:rsid w:val="198804EA"/>
    <w:rsid w:val="199450E1"/>
    <w:rsid w:val="199708B4"/>
    <w:rsid w:val="19A35684"/>
    <w:rsid w:val="19A8223C"/>
    <w:rsid w:val="19C01A32"/>
    <w:rsid w:val="19C85E69"/>
    <w:rsid w:val="1A1A43C2"/>
    <w:rsid w:val="1A645D78"/>
    <w:rsid w:val="1A913C2A"/>
    <w:rsid w:val="1AB901AA"/>
    <w:rsid w:val="1ABA3711"/>
    <w:rsid w:val="1ACC2EC5"/>
    <w:rsid w:val="1B3604F2"/>
    <w:rsid w:val="1B367A94"/>
    <w:rsid w:val="1B391536"/>
    <w:rsid w:val="1B7D7F7E"/>
    <w:rsid w:val="1BE0460E"/>
    <w:rsid w:val="1C395ACC"/>
    <w:rsid w:val="1C770035"/>
    <w:rsid w:val="1C934265"/>
    <w:rsid w:val="1CA9356C"/>
    <w:rsid w:val="1CB60D97"/>
    <w:rsid w:val="1CC41839"/>
    <w:rsid w:val="1CCC06EE"/>
    <w:rsid w:val="1CD540C4"/>
    <w:rsid w:val="1CE82FAE"/>
    <w:rsid w:val="1CEC0D90"/>
    <w:rsid w:val="1D172F01"/>
    <w:rsid w:val="1D4B7A4A"/>
    <w:rsid w:val="1D6B5FA6"/>
    <w:rsid w:val="1DE5415D"/>
    <w:rsid w:val="1E0730ED"/>
    <w:rsid w:val="1E2C7696"/>
    <w:rsid w:val="1E4A23BC"/>
    <w:rsid w:val="1E5D0198"/>
    <w:rsid w:val="1EC73863"/>
    <w:rsid w:val="1EFC175F"/>
    <w:rsid w:val="1FDB5818"/>
    <w:rsid w:val="201C2D22"/>
    <w:rsid w:val="204131A1"/>
    <w:rsid w:val="20462111"/>
    <w:rsid w:val="205A1343"/>
    <w:rsid w:val="206A11BC"/>
    <w:rsid w:val="20B724D5"/>
    <w:rsid w:val="21132B7C"/>
    <w:rsid w:val="21466CC1"/>
    <w:rsid w:val="215313DE"/>
    <w:rsid w:val="216E0AF3"/>
    <w:rsid w:val="21A10725"/>
    <w:rsid w:val="21D94E53"/>
    <w:rsid w:val="21E94BEF"/>
    <w:rsid w:val="22C541CF"/>
    <w:rsid w:val="22F26762"/>
    <w:rsid w:val="22F3461B"/>
    <w:rsid w:val="23A31DC3"/>
    <w:rsid w:val="23AF71DA"/>
    <w:rsid w:val="23C10B07"/>
    <w:rsid w:val="23C75000"/>
    <w:rsid w:val="24223CEC"/>
    <w:rsid w:val="247C56A2"/>
    <w:rsid w:val="248C0A40"/>
    <w:rsid w:val="24A819DF"/>
    <w:rsid w:val="24E54A43"/>
    <w:rsid w:val="25AB104A"/>
    <w:rsid w:val="25D37B28"/>
    <w:rsid w:val="25E12217"/>
    <w:rsid w:val="26323CB8"/>
    <w:rsid w:val="26555BF8"/>
    <w:rsid w:val="26893043"/>
    <w:rsid w:val="269A7D3C"/>
    <w:rsid w:val="26D0702D"/>
    <w:rsid w:val="26E825C8"/>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87256D"/>
    <w:rsid w:val="29C0782D"/>
    <w:rsid w:val="29C56BF1"/>
    <w:rsid w:val="29D52BB5"/>
    <w:rsid w:val="29E81930"/>
    <w:rsid w:val="29F55728"/>
    <w:rsid w:val="29FA3933"/>
    <w:rsid w:val="2A273408"/>
    <w:rsid w:val="2A723A7C"/>
    <w:rsid w:val="2A731D21"/>
    <w:rsid w:val="2A7F3244"/>
    <w:rsid w:val="2AB949A8"/>
    <w:rsid w:val="2ACD0453"/>
    <w:rsid w:val="2ACE3A90"/>
    <w:rsid w:val="2B0A5203"/>
    <w:rsid w:val="2B0C0F7B"/>
    <w:rsid w:val="2B1238AE"/>
    <w:rsid w:val="2B252A91"/>
    <w:rsid w:val="2B4017F0"/>
    <w:rsid w:val="2B6348E0"/>
    <w:rsid w:val="2B786611"/>
    <w:rsid w:val="2B970537"/>
    <w:rsid w:val="2B9D7E25"/>
    <w:rsid w:val="2BE76212"/>
    <w:rsid w:val="2C09185D"/>
    <w:rsid w:val="2C0F7531"/>
    <w:rsid w:val="2C4C4F3B"/>
    <w:rsid w:val="2C7A0167"/>
    <w:rsid w:val="2C8F33BD"/>
    <w:rsid w:val="2C8F54B1"/>
    <w:rsid w:val="2D03015C"/>
    <w:rsid w:val="2D5662C8"/>
    <w:rsid w:val="2DA4361C"/>
    <w:rsid w:val="2DE41D3C"/>
    <w:rsid w:val="2DF56335"/>
    <w:rsid w:val="2DF9286A"/>
    <w:rsid w:val="2ECB2EFB"/>
    <w:rsid w:val="2ED6443A"/>
    <w:rsid w:val="2EE138F7"/>
    <w:rsid w:val="2F0C4BE3"/>
    <w:rsid w:val="2F2B5748"/>
    <w:rsid w:val="2F377CAB"/>
    <w:rsid w:val="2F4D1ED1"/>
    <w:rsid w:val="2FCB61DD"/>
    <w:rsid w:val="2FE34275"/>
    <w:rsid w:val="30952D41"/>
    <w:rsid w:val="309D23E8"/>
    <w:rsid w:val="30BA3228"/>
    <w:rsid w:val="30DD0CC4"/>
    <w:rsid w:val="30E271B6"/>
    <w:rsid w:val="31397F4B"/>
    <w:rsid w:val="31541DBA"/>
    <w:rsid w:val="315471D8"/>
    <w:rsid w:val="317070E4"/>
    <w:rsid w:val="31775428"/>
    <w:rsid w:val="318F7220"/>
    <w:rsid w:val="31B63FAB"/>
    <w:rsid w:val="31D25FD2"/>
    <w:rsid w:val="31D65E3F"/>
    <w:rsid w:val="31EB672C"/>
    <w:rsid w:val="31F02617"/>
    <w:rsid w:val="320D762A"/>
    <w:rsid w:val="323B3EF4"/>
    <w:rsid w:val="32655415"/>
    <w:rsid w:val="329A6E6D"/>
    <w:rsid w:val="32DC4272"/>
    <w:rsid w:val="32DD31FD"/>
    <w:rsid w:val="32F72511"/>
    <w:rsid w:val="33150BE9"/>
    <w:rsid w:val="3364565D"/>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56D6ABA"/>
    <w:rsid w:val="36070CBD"/>
    <w:rsid w:val="361E6007"/>
    <w:rsid w:val="363277FD"/>
    <w:rsid w:val="36483084"/>
    <w:rsid w:val="365E57FF"/>
    <w:rsid w:val="366A70C8"/>
    <w:rsid w:val="36AF7935"/>
    <w:rsid w:val="36B928EF"/>
    <w:rsid w:val="36D901FE"/>
    <w:rsid w:val="37164F30"/>
    <w:rsid w:val="37215DAE"/>
    <w:rsid w:val="372B7BCD"/>
    <w:rsid w:val="376728C4"/>
    <w:rsid w:val="376B6AD2"/>
    <w:rsid w:val="376E08C8"/>
    <w:rsid w:val="379067CC"/>
    <w:rsid w:val="37E868CC"/>
    <w:rsid w:val="37F60FE9"/>
    <w:rsid w:val="38021539"/>
    <w:rsid w:val="380A28CA"/>
    <w:rsid w:val="383A2C56"/>
    <w:rsid w:val="38514471"/>
    <w:rsid w:val="388C6E04"/>
    <w:rsid w:val="38910B5D"/>
    <w:rsid w:val="389A5030"/>
    <w:rsid w:val="38A327F3"/>
    <w:rsid w:val="38E250CA"/>
    <w:rsid w:val="39AA5B2A"/>
    <w:rsid w:val="39B95231"/>
    <w:rsid w:val="39E7313A"/>
    <w:rsid w:val="39EC1C54"/>
    <w:rsid w:val="3A184BD1"/>
    <w:rsid w:val="3A1F19CA"/>
    <w:rsid w:val="3A26548A"/>
    <w:rsid w:val="3A2F206E"/>
    <w:rsid w:val="3A810912"/>
    <w:rsid w:val="3A8B731D"/>
    <w:rsid w:val="3A8D375B"/>
    <w:rsid w:val="3A946897"/>
    <w:rsid w:val="3A9B7C32"/>
    <w:rsid w:val="3AAE4F93"/>
    <w:rsid w:val="3ACB48BB"/>
    <w:rsid w:val="3AD25272"/>
    <w:rsid w:val="3AFC6ED7"/>
    <w:rsid w:val="3B0112DE"/>
    <w:rsid w:val="3B282FD3"/>
    <w:rsid w:val="3B375346"/>
    <w:rsid w:val="3B5129DA"/>
    <w:rsid w:val="3B5B20B0"/>
    <w:rsid w:val="3BA33E48"/>
    <w:rsid w:val="3BBB7E54"/>
    <w:rsid w:val="3BBD0A54"/>
    <w:rsid w:val="3BBE58F0"/>
    <w:rsid w:val="3BDA41CF"/>
    <w:rsid w:val="3BE4409F"/>
    <w:rsid w:val="3BED2703"/>
    <w:rsid w:val="3C1557B6"/>
    <w:rsid w:val="3C663A24"/>
    <w:rsid w:val="3C75422F"/>
    <w:rsid w:val="3C7F41CC"/>
    <w:rsid w:val="3C9F32D2"/>
    <w:rsid w:val="3CAE272D"/>
    <w:rsid w:val="3D015D3A"/>
    <w:rsid w:val="3D386234"/>
    <w:rsid w:val="3D6406AA"/>
    <w:rsid w:val="3D7B0470"/>
    <w:rsid w:val="3D9D034F"/>
    <w:rsid w:val="3DD07A03"/>
    <w:rsid w:val="3DE32F0A"/>
    <w:rsid w:val="3E23065E"/>
    <w:rsid w:val="3E585D6B"/>
    <w:rsid w:val="3E66679D"/>
    <w:rsid w:val="3EC75511"/>
    <w:rsid w:val="3F41523B"/>
    <w:rsid w:val="3F5D34CD"/>
    <w:rsid w:val="3F9B2476"/>
    <w:rsid w:val="3FB3156E"/>
    <w:rsid w:val="3FC12A9B"/>
    <w:rsid w:val="40287B7C"/>
    <w:rsid w:val="402B55A8"/>
    <w:rsid w:val="40363F4D"/>
    <w:rsid w:val="403A4B1E"/>
    <w:rsid w:val="40516350"/>
    <w:rsid w:val="4081490E"/>
    <w:rsid w:val="408F79A5"/>
    <w:rsid w:val="40B17223"/>
    <w:rsid w:val="40BA692C"/>
    <w:rsid w:val="40C96B6F"/>
    <w:rsid w:val="4113146D"/>
    <w:rsid w:val="4158128D"/>
    <w:rsid w:val="41B62723"/>
    <w:rsid w:val="41C474D0"/>
    <w:rsid w:val="41C8474B"/>
    <w:rsid w:val="41CD47B2"/>
    <w:rsid w:val="41D45E19"/>
    <w:rsid w:val="423B584A"/>
    <w:rsid w:val="42B96BCD"/>
    <w:rsid w:val="43166C1A"/>
    <w:rsid w:val="43291B47"/>
    <w:rsid w:val="432F247C"/>
    <w:rsid w:val="43625A2A"/>
    <w:rsid w:val="437F06E0"/>
    <w:rsid w:val="43C31F9B"/>
    <w:rsid w:val="43D14C90"/>
    <w:rsid w:val="44093E52"/>
    <w:rsid w:val="442E06CB"/>
    <w:rsid w:val="44475071"/>
    <w:rsid w:val="445E3AFF"/>
    <w:rsid w:val="44612E7B"/>
    <w:rsid w:val="44753B35"/>
    <w:rsid w:val="448160DE"/>
    <w:rsid w:val="4490793F"/>
    <w:rsid w:val="44A571E8"/>
    <w:rsid w:val="45343151"/>
    <w:rsid w:val="456F5F37"/>
    <w:rsid w:val="45BE1410"/>
    <w:rsid w:val="45CA5863"/>
    <w:rsid w:val="45E00434"/>
    <w:rsid w:val="45F047F0"/>
    <w:rsid w:val="45F4583A"/>
    <w:rsid w:val="46054912"/>
    <w:rsid w:val="46112717"/>
    <w:rsid w:val="46307B3F"/>
    <w:rsid w:val="46317690"/>
    <w:rsid w:val="464109BE"/>
    <w:rsid w:val="466513CA"/>
    <w:rsid w:val="469448BA"/>
    <w:rsid w:val="46C422B2"/>
    <w:rsid w:val="46C818F2"/>
    <w:rsid w:val="46DC1289"/>
    <w:rsid w:val="472655E6"/>
    <w:rsid w:val="472D42FC"/>
    <w:rsid w:val="474451A1"/>
    <w:rsid w:val="477D2815"/>
    <w:rsid w:val="47982EAF"/>
    <w:rsid w:val="47CA38F8"/>
    <w:rsid w:val="48072039"/>
    <w:rsid w:val="481B63B6"/>
    <w:rsid w:val="487550B7"/>
    <w:rsid w:val="487B2E45"/>
    <w:rsid w:val="48B40105"/>
    <w:rsid w:val="48C20A74"/>
    <w:rsid w:val="48D569F9"/>
    <w:rsid w:val="48D83D6A"/>
    <w:rsid w:val="48F202EF"/>
    <w:rsid w:val="49747127"/>
    <w:rsid w:val="49B35FD2"/>
    <w:rsid w:val="49B45B0A"/>
    <w:rsid w:val="49BF4D9E"/>
    <w:rsid w:val="49D337CF"/>
    <w:rsid w:val="4A2319E6"/>
    <w:rsid w:val="4A642CF0"/>
    <w:rsid w:val="4A873D23"/>
    <w:rsid w:val="4AC565F9"/>
    <w:rsid w:val="4AF07AF1"/>
    <w:rsid w:val="4B4439C2"/>
    <w:rsid w:val="4BD110E2"/>
    <w:rsid w:val="4C261319"/>
    <w:rsid w:val="4C261844"/>
    <w:rsid w:val="4C3E48B5"/>
    <w:rsid w:val="4C5E4F57"/>
    <w:rsid w:val="4C6F4027"/>
    <w:rsid w:val="4C975D73"/>
    <w:rsid w:val="4CDF1128"/>
    <w:rsid w:val="4D0B54AD"/>
    <w:rsid w:val="4D16026A"/>
    <w:rsid w:val="4D265A75"/>
    <w:rsid w:val="4D2A1AB4"/>
    <w:rsid w:val="4D633045"/>
    <w:rsid w:val="4DA10848"/>
    <w:rsid w:val="4DBA72D7"/>
    <w:rsid w:val="4DBD57AB"/>
    <w:rsid w:val="4DDF6608"/>
    <w:rsid w:val="4E471E75"/>
    <w:rsid w:val="4E64507F"/>
    <w:rsid w:val="4E8D3684"/>
    <w:rsid w:val="4E957926"/>
    <w:rsid w:val="4F1E7270"/>
    <w:rsid w:val="4F224D8D"/>
    <w:rsid w:val="4F2833EB"/>
    <w:rsid w:val="4F2C30EB"/>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17D5E7F"/>
    <w:rsid w:val="51A11B6E"/>
    <w:rsid w:val="520143BB"/>
    <w:rsid w:val="520E29DF"/>
    <w:rsid w:val="5237602E"/>
    <w:rsid w:val="52397BDB"/>
    <w:rsid w:val="5261421A"/>
    <w:rsid w:val="52874813"/>
    <w:rsid w:val="52986A2B"/>
    <w:rsid w:val="52A068B2"/>
    <w:rsid w:val="53034162"/>
    <w:rsid w:val="53182FAD"/>
    <w:rsid w:val="53283BC9"/>
    <w:rsid w:val="53542C10"/>
    <w:rsid w:val="535A78E2"/>
    <w:rsid w:val="536F17F8"/>
    <w:rsid w:val="53874D93"/>
    <w:rsid w:val="53932FF4"/>
    <w:rsid w:val="53B15383"/>
    <w:rsid w:val="53CC09F8"/>
    <w:rsid w:val="53DC50DF"/>
    <w:rsid w:val="53DC53F9"/>
    <w:rsid w:val="543071D9"/>
    <w:rsid w:val="543C16DA"/>
    <w:rsid w:val="54843081"/>
    <w:rsid w:val="54E720BB"/>
    <w:rsid w:val="551B4A12"/>
    <w:rsid w:val="5588094F"/>
    <w:rsid w:val="558A2919"/>
    <w:rsid w:val="55D752C5"/>
    <w:rsid w:val="5634588C"/>
    <w:rsid w:val="56615E0C"/>
    <w:rsid w:val="567846EC"/>
    <w:rsid w:val="56AC0B61"/>
    <w:rsid w:val="56B45E9F"/>
    <w:rsid w:val="5714693E"/>
    <w:rsid w:val="57272B15"/>
    <w:rsid w:val="575C16B2"/>
    <w:rsid w:val="57966F2A"/>
    <w:rsid w:val="57AD207D"/>
    <w:rsid w:val="5806097D"/>
    <w:rsid w:val="580C3AB9"/>
    <w:rsid w:val="58134E48"/>
    <w:rsid w:val="583A6878"/>
    <w:rsid w:val="587873A1"/>
    <w:rsid w:val="5889335C"/>
    <w:rsid w:val="58B80B09"/>
    <w:rsid w:val="58C500FD"/>
    <w:rsid w:val="58DC7930"/>
    <w:rsid w:val="590C03A2"/>
    <w:rsid w:val="596334BB"/>
    <w:rsid w:val="59727BBE"/>
    <w:rsid w:val="59964C22"/>
    <w:rsid w:val="59A541C5"/>
    <w:rsid w:val="59A97E57"/>
    <w:rsid w:val="5A112DD4"/>
    <w:rsid w:val="5A4A24F3"/>
    <w:rsid w:val="5A5B1C29"/>
    <w:rsid w:val="5A7F2300"/>
    <w:rsid w:val="5AED49A0"/>
    <w:rsid w:val="5B92709A"/>
    <w:rsid w:val="5BDA5CF3"/>
    <w:rsid w:val="5BFE0297"/>
    <w:rsid w:val="5C050F4B"/>
    <w:rsid w:val="5C161EDE"/>
    <w:rsid w:val="5C207B33"/>
    <w:rsid w:val="5C880D1C"/>
    <w:rsid w:val="5C8F2EC8"/>
    <w:rsid w:val="5CA91A5D"/>
    <w:rsid w:val="5CDC2A68"/>
    <w:rsid w:val="5D04082A"/>
    <w:rsid w:val="5D2914FD"/>
    <w:rsid w:val="5D5E4DB7"/>
    <w:rsid w:val="5D611791"/>
    <w:rsid w:val="5D755C5D"/>
    <w:rsid w:val="5DAE0264"/>
    <w:rsid w:val="5DD5494D"/>
    <w:rsid w:val="5DDE74C5"/>
    <w:rsid w:val="5E337FF2"/>
    <w:rsid w:val="5E6A778C"/>
    <w:rsid w:val="5E8819C0"/>
    <w:rsid w:val="5E916AC6"/>
    <w:rsid w:val="5E9640DD"/>
    <w:rsid w:val="5E992621"/>
    <w:rsid w:val="5EC67DA5"/>
    <w:rsid w:val="5ED247CC"/>
    <w:rsid w:val="5EED5D91"/>
    <w:rsid w:val="5F3A0F0C"/>
    <w:rsid w:val="5F58262D"/>
    <w:rsid w:val="5F6419A2"/>
    <w:rsid w:val="5F6817F6"/>
    <w:rsid w:val="5F775691"/>
    <w:rsid w:val="600414DC"/>
    <w:rsid w:val="603319A6"/>
    <w:rsid w:val="605F1472"/>
    <w:rsid w:val="60A12843"/>
    <w:rsid w:val="60BA744E"/>
    <w:rsid w:val="60BB23FA"/>
    <w:rsid w:val="60F11A9E"/>
    <w:rsid w:val="60FB49D2"/>
    <w:rsid w:val="6138147B"/>
    <w:rsid w:val="618164DD"/>
    <w:rsid w:val="61D474C9"/>
    <w:rsid w:val="61F77A0A"/>
    <w:rsid w:val="62950A8E"/>
    <w:rsid w:val="629774D1"/>
    <w:rsid w:val="62B339C2"/>
    <w:rsid w:val="62BE64F4"/>
    <w:rsid w:val="62C9714A"/>
    <w:rsid w:val="631303F2"/>
    <w:rsid w:val="635A48B1"/>
    <w:rsid w:val="635B3466"/>
    <w:rsid w:val="637B00FA"/>
    <w:rsid w:val="63C90AB0"/>
    <w:rsid w:val="63DC4C88"/>
    <w:rsid w:val="64234172"/>
    <w:rsid w:val="6431668F"/>
    <w:rsid w:val="644D7933"/>
    <w:rsid w:val="64803EF5"/>
    <w:rsid w:val="64835103"/>
    <w:rsid w:val="64970BAF"/>
    <w:rsid w:val="64AA6F1D"/>
    <w:rsid w:val="64C33752"/>
    <w:rsid w:val="64F8164D"/>
    <w:rsid w:val="64FB738F"/>
    <w:rsid w:val="6502427A"/>
    <w:rsid w:val="655C1F5A"/>
    <w:rsid w:val="656C3DE9"/>
    <w:rsid w:val="65715BFD"/>
    <w:rsid w:val="65732D00"/>
    <w:rsid w:val="657F1D6E"/>
    <w:rsid w:val="65B34C8C"/>
    <w:rsid w:val="65C37EAD"/>
    <w:rsid w:val="65D82D5A"/>
    <w:rsid w:val="66050395"/>
    <w:rsid w:val="661A0932"/>
    <w:rsid w:val="66302426"/>
    <w:rsid w:val="66364452"/>
    <w:rsid w:val="6651710F"/>
    <w:rsid w:val="66624588"/>
    <w:rsid w:val="66624590"/>
    <w:rsid w:val="669B6734"/>
    <w:rsid w:val="66BE68C6"/>
    <w:rsid w:val="66C739CD"/>
    <w:rsid w:val="66D90189"/>
    <w:rsid w:val="66E85FB4"/>
    <w:rsid w:val="672158C0"/>
    <w:rsid w:val="67330E86"/>
    <w:rsid w:val="674033C8"/>
    <w:rsid w:val="67614E4C"/>
    <w:rsid w:val="677A5055"/>
    <w:rsid w:val="679C7C07"/>
    <w:rsid w:val="67B37AAD"/>
    <w:rsid w:val="67D03874"/>
    <w:rsid w:val="67F524F3"/>
    <w:rsid w:val="67F92005"/>
    <w:rsid w:val="68025435"/>
    <w:rsid w:val="687E630D"/>
    <w:rsid w:val="688F22C8"/>
    <w:rsid w:val="68C1269E"/>
    <w:rsid w:val="68C267B6"/>
    <w:rsid w:val="68CF738C"/>
    <w:rsid w:val="68F20812"/>
    <w:rsid w:val="69021FA8"/>
    <w:rsid w:val="69137A07"/>
    <w:rsid w:val="697415F1"/>
    <w:rsid w:val="697F3ADF"/>
    <w:rsid w:val="69935DE8"/>
    <w:rsid w:val="69DA3ABA"/>
    <w:rsid w:val="6A3762A4"/>
    <w:rsid w:val="6A631F51"/>
    <w:rsid w:val="6A841BD5"/>
    <w:rsid w:val="6A887F5F"/>
    <w:rsid w:val="6AAB7162"/>
    <w:rsid w:val="6AC3566F"/>
    <w:rsid w:val="6AEA5EDC"/>
    <w:rsid w:val="6B037C3A"/>
    <w:rsid w:val="6B2B4A32"/>
    <w:rsid w:val="6B3A67D0"/>
    <w:rsid w:val="6B4B7556"/>
    <w:rsid w:val="6B6179F5"/>
    <w:rsid w:val="6B7C13D5"/>
    <w:rsid w:val="6BCE135A"/>
    <w:rsid w:val="6BD72D2C"/>
    <w:rsid w:val="6BEA5A68"/>
    <w:rsid w:val="6C0652F9"/>
    <w:rsid w:val="6C53512B"/>
    <w:rsid w:val="6C560EC1"/>
    <w:rsid w:val="6C5C6966"/>
    <w:rsid w:val="6C8E0AE9"/>
    <w:rsid w:val="6CA04267"/>
    <w:rsid w:val="6CA63EB8"/>
    <w:rsid w:val="6CB227F2"/>
    <w:rsid w:val="6CC30793"/>
    <w:rsid w:val="6CC8224D"/>
    <w:rsid w:val="6D18328F"/>
    <w:rsid w:val="6D6A3304"/>
    <w:rsid w:val="6D8C5C0C"/>
    <w:rsid w:val="6D8D7335"/>
    <w:rsid w:val="6DF95048"/>
    <w:rsid w:val="6E0472B5"/>
    <w:rsid w:val="6E09753D"/>
    <w:rsid w:val="6E7320EC"/>
    <w:rsid w:val="6EA6211A"/>
    <w:rsid w:val="6EB73860"/>
    <w:rsid w:val="6EF255E1"/>
    <w:rsid w:val="6F3C1C82"/>
    <w:rsid w:val="6F4B5004"/>
    <w:rsid w:val="6F9E02F2"/>
    <w:rsid w:val="6FF00AC7"/>
    <w:rsid w:val="700F01D3"/>
    <w:rsid w:val="7015387B"/>
    <w:rsid w:val="705A41AE"/>
    <w:rsid w:val="70B30B1E"/>
    <w:rsid w:val="70D07922"/>
    <w:rsid w:val="70E14841"/>
    <w:rsid w:val="7113156F"/>
    <w:rsid w:val="713A123F"/>
    <w:rsid w:val="718524BB"/>
    <w:rsid w:val="718631F8"/>
    <w:rsid w:val="71CE1DE8"/>
    <w:rsid w:val="71D23226"/>
    <w:rsid w:val="71E60A7F"/>
    <w:rsid w:val="72A11576"/>
    <w:rsid w:val="72B56CCB"/>
    <w:rsid w:val="72D46929"/>
    <w:rsid w:val="72D57472"/>
    <w:rsid w:val="72D729DB"/>
    <w:rsid w:val="72EC0317"/>
    <w:rsid w:val="72F37D5D"/>
    <w:rsid w:val="73353469"/>
    <w:rsid w:val="73644117"/>
    <w:rsid w:val="736D3FC9"/>
    <w:rsid w:val="73BF6E3A"/>
    <w:rsid w:val="73D03795"/>
    <w:rsid w:val="74026044"/>
    <w:rsid w:val="74035919"/>
    <w:rsid w:val="741D30BD"/>
    <w:rsid w:val="74213FF1"/>
    <w:rsid w:val="74962374"/>
    <w:rsid w:val="7499627D"/>
    <w:rsid w:val="74C07CAE"/>
    <w:rsid w:val="74FB38D2"/>
    <w:rsid w:val="74FF3D98"/>
    <w:rsid w:val="750E0A19"/>
    <w:rsid w:val="75606932"/>
    <w:rsid w:val="75685790"/>
    <w:rsid w:val="756E5918"/>
    <w:rsid w:val="75712C55"/>
    <w:rsid w:val="75734D20"/>
    <w:rsid w:val="757B7431"/>
    <w:rsid w:val="758A7347"/>
    <w:rsid w:val="75976C60"/>
    <w:rsid w:val="75D7226C"/>
    <w:rsid w:val="76332FB4"/>
    <w:rsid w:val="763C3364"/>
    <w:rsid w:val="763E5F57"/>
    <w:rsid w:val="76740D50"/>
    <w:rsid w:val="769C1001"/>
    <w:rsid w:val="76D8244A"/>
    <w:rsid w:val="76EB38E3"/>
    <w:rsid w:val="77526568"/>
    <w:rsid w:val="775547B2"/>
    <w:rsid w:val="777404D2"/>
    <w:rsid w:val="77B55363"/>
    <w:rsid w:val="77F35CA4"/>
    <w:rsid w:val="781D7C27"/>
    <w:rsid w:val="783955CE"/>
    <w:rsid w:val="7875145D"/>
    <w:rsid w:val="788809AD"/>
    <w:rsid w:val="78A23E67"/>
    <w:rsid w:val="78AF7473"/>
    <w:rsid w:val="78BB3CBA"/>
    <w:rsid w:val="79291DBD"/>
    <w:rsid w:val="792B7DEB"/>
    <w:rsid w:val="79463D2A"/>
    <w:rsid w:val="79584959"/>
    <w:rsid w:val="796E3278"/>
    <w:rsid w:val="7984574E"/>
    <w:rsid w:val="79B80DE0"/>
    <w:rsid w:val="7A574C10"/>
    <w:rsid w:val="7A7F1A71"/>
    <w:rsid w:val="7AAC0AB8"/>
    <w:rsid w:val="7AAF2356"/>
    <w:rsid w:val="7AC901A9"/>
    <w:rsid w:val="7AD06AA1"/>
    <w:rsid w:val="7B011F41"/>
    <w:rsid w:val="7B0C59FB"/>
    <w:rsid w:val="7B101CDA"/>
    <w:rsid w:val="7B272834"/>
    <w:rsid w:val="7B587A97"/>
    <w:rsid w:val="7B7209AE"/>
    <w:rsid w:val="7BD644A9"/>
    <w:rsid w:val="7C162517"/>
    <w:rsid w:val="7C2D3A49"/>
    <w:rsid w:val="7C5950EA"/>
    <w:rsid w:val="7D657644"/>
    <w:rsid w:val="7D670C49"/>
    <w:rsid w:val="7D9A5540"/>
    <w:rsid w:val="7DA16686"/>
    <w:rsid w:val="7DB40352"/>
    <w:rsid w:val="7DF67493"/>
    <w:rsid w:val="7E3B4056"/>
    <w:rsid w:val="7E8640F9"/>
    <w:rsid w:val="7E8E06E9"/>
    <w:rsid w:val="7EA31D98"/>
    <w:rsid w:val="7EC81C39"/>
    <w:rsid w:val="7EF700DD"/>
    <w:rsid w:val="7F163DC7"/>
    <w:rsid w:val="7F2655FA"/>
    <w:rsid w:val="7F3160F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5"/>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6"/>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7"/>
    <w:unhideWhenUsed/>
    <w:qFormat/>
    <w:uiPriority w:val="9"/>
    <w:pPr>
      <w:keepNext/>
      <w:keepLines/>
      <w:outlineLvl w:val="2"/>
    </w:pPr>
    <w:rPr>
      <w:b/>
      <w:bCs/>
      <w:szCs w:val="32"/>
    </w:rPr>
  </w:style>
  <w:style w:type="paragraph" w:styleId="5">
    <w:name w:val="heading 4"/>
    <w:basedOn w:val="1"/>
    <w:next w:val="1"/>
    <w:link w:val="47"/>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unhideWhenUsed/>
    <w:qFormat/>
    <w:uiPriority w:val="9"/>
    <w:pPr>
      <w:keepNext/>
      <w:keepLines/>
      <w:spacing w:before="280" w:after="290" w:line="376" w:lineRule="auto"/>
      <w:outlineLvl w:val="4"/>
    </w:pPr>
    <w:rPr>
      <w:b/>
      <w:bCs/>
      <w:szCs w:val="28"/>
    </w:rPr>
  </w:style>
  <w:style w:type="paragraph" w:styleId="7">
    <w:name w:val="heading 6"/>
    <w:basedOn w:val="1"/>
    <w:next w:val="1"/>
    <w:unhideWhenUsed/>
    <w:qFormat/>
    <w:uiPriority w:val="9"/>
    <w:pPr>
      <w:keepNext/>
      <w:keepLines/>
      <w:outlineLvl w:val="5"/>
    </w:pPr>
    <w:rPr>
      <w:rFonts w:ascii="Cambria" w:hAnsi="Cambria"/>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annotation text"/>
    <w:basedOn w:val="1"/>
    <w:link w:val="39"/>
    <w:unhideWhenUsed/>
    <w:qFormat/>
    <w:uiPriority w:val="99"/>
    <w:pPr>
      <w:jc w:val="left"/>
    </w:pPr>
  </w:style>
  <w:style w:type="paragraph" w:styleId="10">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11">
    <w:name w:val="Body Text"/>
    <w:basedOn w:val="1"/>
    <w:next w:val="1"/>
    <w:qFormat/>
    <w:uiPriority w:val="99"/>
    <w:rPr>
      <w:szCs w:val="21"/>
    </w:rPr>
  </w:style>
  <w:style w:type="paragraph" w:styleId="12">
    <w:name w:val="Body Text Indent"/>
    <w:basedOn w:val="1"/>
    <w:link w:val="49"/>
    <w:qFormat/>
    <w:uiPriority w:val="0"/>
    <w:pPr>
      <w:ind w:left="200" w:leftChars="200"/>
    </w:pPr>
    <w:rPr>
      <w:szCs w:val="21"/>
    </w:rPr>
  </w:style>
  <w:style w:type="paragraph" w:styleId="13">
    <w:name w:val="Plain Text"/>
    <w:basedOn w:val="1"/>
    <w:qFormat/>
    <w:uiPriority w:val="0"/>
    <w:rPr>
      <w:rFonts w:hint="eastAsia" w:ascii="宋体" w:hAnsi="Courier New" w:eastAsia="宋体" w:cs="Times New Roman"/>
      <w:szCs w:val="20"/>
    </w:rPr>
  </w:style>
  <w:style w:type="paragraph" w:styleId="14">
    <w:name w:val="Body Text Indent 2"/>
    <w:basedOn w:val="1"/>
    <w:next w:val="13"/>
    <w:qFormat/>
    <w:uiPriority w:val="0"/>
    <w:pPr>
      <w:ind w:left="-718" w:leftChars="-342" w:firstLine="720" w:firstLineChars="225"/>
      <w:jc w:val="left"/>
    </w:pPr>
    <w:rPr>
      <w:sz w:val="32"/>
      <w:szCs w:val="32"/>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ind w:firstLine="0" w:firstLineChars="0"/>
    </w:pPr>
    <w:rPr>
      <w:rFonts w:hAnsi="宋体"/>
      <w:b/>
      <w:bCs/>
    </w:rPr>
  </w:style>
  <w:style w:type="paragraph" w:styleId="18">
    <w:name w:val="toc 2"/>
    <w:basedOn w:val="1"/>
    <w:next w:val="1"/>
    <w:unhideWhenUsed/>
    <w:qFormat/>
    <w:uiPriority w:val="39"/>
    <w:pPr>
      <w:tabs>
        <w:tab w:val="right" w:leader="dot" w:pos="8296"/>
      </w:tabs>
      <w:ind w:left="560" w:leftChars="200" w:firstLine="0" w:firstLineChars="0"/>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semiHidden/>
    <w:unhideWhenUsed/>
    <w:qFormat/>
    <w:uiPriority w:val="99"/>
    <w:pPr>
      <w:spacing w:beforeAutospacing="1" w:afterAutospacing="1"/>
      <w:jc w:val="left"/>
    </w:pPr>
    <w:rPr>
      <w:rFonts w:cs="Times New Roman"/>
      <w:kern w:val="0"/>
      <w:sz w:val="24"/>
    </w:rPr>
  </w:style>
  <w:style w:type="paragraph" w:styleId="21">
    <w:name w:val="index 1"/>
    <w:basedOn w:val="1"/>
    <w:next w:val="1"/>
    <w:qFormat/>
    <w:uiPriority w:val="0"/>
  </w:style>
  <w:style w:type="paragraph" w:styleId="22">
    <w:name w:val="annotation subject"/>
    <w:basedOn w:val="9"/>
    <w:next w:val="9"/>
    <w:link w:val="40"/>
    <w:semiHidden/>
    <w:unhideWhenUsed/>
    <w:qFormat/>
    <w:uiPriority w:val="99"/>
    <w:rPr>
      <w:b/>
      <w:bCs/>
    </w:rPr>
  </w:style>
  <w:style w:type="paragraph" w:styleId="23">
    <w:name w:val="Body Text First Indent 2"/>
    <w:basedOn w:val="12"/>
    <w:link w:val="50"/>
    <w:unhideWhenUsed/>
    <w:qFormat/>
    <w:uiPriority w:val="0"/>
    <w:pPr>
      <w:spacing w:after="120"/>
      <w:ind w:left="420" w:firstLine="420"/>
    </w:pPr>
    <w:rPr>
      <w:szCs w:val="22"/>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customStyle="1" w:styleId="29">
    <w:name w:val="正文文本首行缩进 21"/>
    <w:basedOn w:val="1"/>
    <w:qFormat/>
    <w:uiPriority w:val="0"/>
    <w:pPr>
      <w:ind w:left="420" w:leftChars="200" w:firstLine="420"/>
    </w:pPr>
  </w:style>
  <w:style w:type="paragraph" w:customStyle="1" w:styleId="30">
    <w:name w:val="Body Text First Indent 21"/>
    <w:basedOn w:val="1"/>
    <w:qFormat/>
    <w:uiPriority w:val="0"/>
    <w:pPr>
      <w:ind w:left="420" w:leftChars="200" w:firstLine="420"/>
    </w:pPr>
  </w:style>
  <w:style w:type="paragraph" w:customStyle="1" w:styleId="31">
    <w:name w:val="BodyTextIndent"/>
    <w:basedOn w:val="1"/>
    <w:qFormat/>
    <w:uiPriority w:val="0"/>
    <w:pPr>
      <w:widowControl/>
      <w:ind w:left="200" w:leftChars="200"/>
      <w:textAlignment w:val="baseline"/>
    </w:pPr>
    <w:rPr>
      <w:sz w:val="21"/>
      <w:szCs w:val="21"/>
    </w:rPr>
  </w:style>
  <w:style w:type="character" w:customStyle="1" w:styleId="32">
    <w:name w:val="页眉 字符"/>
    <w:basedOn w:val="26"/>
    <w:link w:val="16"/>
    <w:qFormat/>
    <w:uiPriority w:val="99"/>
    <w:rPr>
      <w:sz w:val="18"/>
      <w:szCs w:val="18"/>
    </w:rPr>
  </w:style>
  <w:style w:type="character" w:customStyle="1" w:styleId="33">
    <w:name w:val="页脚 字符"/>
    <w:basedOn w:val="26"/>
    <w:link w:val="15"/>
    <w:qFormat/>
    <w:uiPriority w:val="99"/>
    <w:rPr>
      <w:sz w:val="18"/>
      <w:szCs w:val="18"/>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2"/>
    <w:qFormat/>
    <w:uiPriority w:val="9"/>
    <w:rPr>
      <w:rFonts w:ascii="黑体" w:hAnsi="黑体" w:eastAsia="黑体"/>
      <w:b/>
      <w:bCs/>
      <w:kern w:val="44"/>
      <w:sz w:val="32"/>
      <w:szCs w:val="44"/>
    </w:rPr>
  </w:style>
  <w:style w:type="character" w:customStyle="1" w:styleId="36">
    <w:name w:val="标题 2 字符"/>
    <w:basedOn w:val="26"/>
    <w:link w:val="3"/>
    <w:qFormat/>
    <w:uiPriority w:val="9"/>
    <w:rPr>
      <w:rFonts w:ascii="楷体" w:hAnsi="楷体" w:eastAsia="楷体" w:cstheme="majorBidi"/>
      <w:b/>
      <w:bCs/>
      <w:sz w:val="32"/>
      <w:szCs w:val="32"/>
    </w:rPr>
  </w:style>
  <w:style w:type="character" w:customStyle="1" w:styleId="37">
    <w:name w:val="标题 3 字符"/>
    <w:basedOn w:val="26"/>
    <w:link w:val="4"/>
    <w:qFormat/>
    <w:uiPriority w:val="9"/>
    <w:rPr>
      <w:rFonts w:ascii="仿宋_GB2312" w:hAnsi="仿宋_GB2312" w:eastAsia="仿宋_GB2312"/>
      <w:b/>
      <w:bCs/>
      <w:sz w:val="28"/>
      <w:szCs w:val="32"/>
    </w:rPr>
  </w:style>
  <w:style w:type="character" w:customStyle="1" w:styleId="38">
    <w:name w:val="font01"/>
    <w:basedOn w:val="26"/>
    <w:qFormat/>
    <w:uiPriority w:val="0"/>
    <w:rPr>
      <w:rFonts w:hint="eastAsia" w:ascii="宋体" w:hAnsi="宋体" w:eastAsia="宋体" w:cs="宋体"/>
      <w:color w:val="000000"/>
      <w:sz w:val="21"/>
      <w:szCs w:val="21"/>
      <w:u w:val="none"/>
    </w:rPr>
  </w:style>
  <w:style w:type="character" w:customStyle="1" w:styleId="39">
    <w:name w:val="批注文字 字符"/>
    <w:basedOn w:val="26"/>
    <w:link w:val="9"/>
    <w:qFormat/>
    <w:uiPriority w:val="99"/>
    <w:rPr>
      <w:rFonts w:ascii="仿宋_GB2312" w:hAnsi="仿宋_GB2312" w:eastAsia="仿宋_GB2312" w:cstheme="minorBidi"/>
      <w:kern w:val="2"/>
      <w:sz w:val="28"/>
      <w:szCs w:val="22"/>
    </w:rPr>
  </w:style>
  <w:style w:type="character" w:customStyle="1" w:styleId="40">
    <w:name w:val="批注主题 字符"/>
    <w:basedOn w:val="39"/>
    <w:link w:val="22"/>
    <w:semiHidden/>
    <w:qFormat/>
    <w:uiPriority w:val="99"/>
    <w:rPr>
      <w:rFonts w:ascii="仿宋_GB2312" w:hAnsi="仿宋_GB2312" w:eastAsia="仿宋_GB2312" w:cstheme="minorBidi"/>
      <w:b/>
      <w:bCs/>
      <w:kern w:val="2"/>
      <w:sz w:val="28"/>
      <w:szCs w:val="22"/>
    </w:rPr>
  </w:style>
  <w:style w:type="paragraph" w:customStyle="1" w:styleId="41">
    <w:name w:val="NormalIndent"/>
    <w:basedOn w:val="1"/>
    <w:qFormat/>
    <w:uiPriority w:val="99"/>
    <w:pPr>
      <w:ind w:firstLine="420"/>
      <w:textAlignment w:val="baseline"/>
    </w:pPr>
    <w:rPr>
      <w:szCs w:val="21"/>
    </w:rPr>
  </w:style>
  <w:style w:type="character" w:customStyle="1" w:styleId="42">
    <w:name w:val="content1"/>
    <w:basedOn w:val="26"/>
    <w:qFormat/>
    <w:uiPriority w:val="0"/>
    <w:rPr>
      <w:rFonts w:hint="default"/>
      <w:sz w:val="21"/>
    </w:rPr>
  </w:style>
  <w:style w:type="paragraph" w:customStyle="1" w:styleId="43">
    <w:name w:val="Char2"/>
    <w:basedOn w:val="1"/>
    <w:qFormat/>
    <w:uiPriority w:val="0"/>
    <w:rPr>
      <w:rFonts w:ascii="Courier" w:hAnsi="Courier" w:cs="Courier"/>
      <w:szCs w:val="21"/>
    </w:rPr>
  </w:style>
  <w:style w:type="character" w:customStyle="1" w:styleId="44">
    <w:name w:val="NormalCharacter"/>
    <w:semiHidden/>
    <w:qFormat/>
    <w:uiPriority w:val="0"/>
  </w:style>
  <w:style w:type="paragraph" w:customStyle="1" w:styleId="45">
    <w:name w:val="Normal Indent1"/>
    <w:basedOn w:val="1"/>
    <w:qFormat/>
    <w:uiPriority w:val="99"/>
    <w:pPr>
      <w:ind w:firstLine="420"/>
    </w:pPr>
  </w:style>
  <w:style w:type="paragraph" w:styleId="46">
    <w:name w:val="List Paragraph"/>
    <w:basedOn w:val="1"/>
    <w:qFormat/>
    <w:uiPriority w:val="99"/>
    <w:pPr>
      <w:ind w:firstLine="420"/>
    </w:pPr>
  </w:style>
  <w:style w:type="character" w:customStyle="1" w:styleId="47">
    <w:name w:val="标题 4 字符"/>
    <w:basedOn w:val="26"/>
    <w:link w:val="5"/>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6"/>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qFormat/>
    <w:uiPriority w:val="0"/>
    <w:rPr>
      <w:rFonts w:ascii="仿宋_GB2312" w:hAnsi="仿宋_GB2312" w:eastAsia="仿宋_GB2312" w:cstheme="minorBidi"/>
      <w:kern w:val="2"/>
      <w:sz w:val="28"/>
      <w:szCs w:val="22"/>
    </w:rPr>
  </w:style>
  <w:style w:type="paragraph" w:customStyle="1" w:styleId="51">
    <w:name w:val="Body Text First Indent 2"/>
    <w:basedOn w:val="1"/>
    <w:qFormat/>
    <w:uiPriority w:val="0"/>
    <w:pPr>
      <w:ind w:left="420" w:leftChars="200" w:firstLine="420" w:firstLineChars="200"/>
    </w:pPr>
  </w:style>
  <w:style w:type="character" w:customStyle="1" w:styleId="52">
    <w:name w:val="font41"/>
    <w:basedOn w:val="26"/>
    <w:qFormat/>
    <w:uiPriority w:val="0"/>
    <w:rPr>
      <w:rFonts w:hint="eastAsia" w:ascii="仿宋_GB2312" w:eastAsia="仿宋_GB2312" w:cs="仿宋_GB2312"/>
      <w:b/>
      <w:bCs/>
      <w:color w:val="000000"/>
      <w:sz w:val="24"/>
      <w:szCs w:val="24"/>
      <w:u w:val="none"/>
    </w:rPr>
  </w:style>
  <w:style w:type="character" w:customStyle="1" w:styleId="53">
    <w:name w:val="font31"/>
    <w:basedOn w:val="26"/>
    <w:qFormat/>
    <w:uiPriority w:val="0"/>
    <w:rPr>
      <w:rFonts w:hint="eastAsia" w:ascii="仿宋_GB2312" w:eastAsia="仿宋_GB2312" w:cs="仿宋_GB2312"/>
      <w:color w:val="000000"/>
      <w:sz w:val="24"/>
      <w:szCs w:val="24"/>
      <w:u w:val="none"/>
    </w:rPr>
  </w:style>
  <w:style w:type="character" w:customStyle="1" w:styleId="54">
    <w:name w:val="font21"/>
    <w:basedOn w:val="26"/>
    <w:qFormat/>
    <w:uiPriority w:val="0"/>
    <w:rPr>
      <w:rFonts w:hint="eastAsia" w:ascii="仿宋_GB2312" w:eastAsia="仿宋_GB2312" w:cs="仿宋_GB2312"/>
      <w:b/>
      <w:bCs/>
      <w:color w:val="000000"/>
      <w:sz w:val="24"/>
      <w:szCs w:val="24"/>
      <w:u w:val="none"/>
    </w:rPr>
  </w:style>
  <w:style w:type="paragraph" w:customStyle="1" w:styleId="55">
    <w:name w:val="列出段落1"/>
    <w:basedOn w:val="1"/>
    <w:qFormat/>
    <w:uiPriority w:val="0"/>
    <w:pPr>
      <w:ind w:firstLine="420" w:firstLineChars="200"/>
    </w:pPr>
    <w:rPr>
      <w:rFonts w:ascii="Calibri" w:hAnsi="Calibri" w:eastAsia="宋体" w:cs="Times New Roman"/>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29</Pages>
  <Words>12261</Words>
  <Characters>13587</Characters>
  <Lines>109</Lines>
  <Paragraphs>30</Paragraphs>
  <TotalTime>12</TotalTime>
  <ScaleCrop>false</ScaleCrop>
  <LinksUpToDate>false</LinksUpToDate>
  <CharactersWithSpaces>13650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Administrator</cp:lastModifiedBy>
  <cp:lastPrinted>2021-04-25T06:46:00Z</cp:lastPrinted>
  <dcterms:modified xsi:type="dcterms:W3CDTF">2024-08-13T07:50:27Z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08A0AED3082D4F439B711CB6FCBFDF3B_13</vt:lpwstr>
  </property>
</Properties>
</file>