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604武邑县人民法院</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1757.65</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1450.06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208.59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1757.65</w:t>
            </w:r>
          </w:p>
        </w:tc>
        <w:tc>
          <w:tcPr>
            <w:tcW w:w="1971" w:type="dxa"/>
            <w:vAlign w:val="center"/>
          </w:tcPr>
          <w:p>
            <w:pPr>
              <w:pStyle w:val="16"/>
            </w:pPr>
            <w:r>
              <w:t>本年支出合计</w:t>
            </w:r>
          </w:p>
        </w:tc>
        <w:tc>
          <w:tcPr>
            <w:tcW w:w="1971" w:type="dxa"/>
            <w:vAlign w:val="center"/>
          </w:tcPr>
          <w:p>
            <w:pPr>
              <w:pStyle w:val="17"/>
            </w:pPr>
            <w:r>
              <w:t>1757.65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1757.65</w:t>
            </w:r>
          </w:p>
        </w:tc>
        <w:tc>
          <w:tcPr>
            <w:tcW w:w="1971" w:type="dxa"/>
            <w:vAlign w:val="center"/>
          </w:tcPr>
          <w:p>
            <w:pPr>
              <w:pStyle w:val="16"/>
            </w:pPr>
            <w:r>
              <w:t>支出总计</w:t>
            </w:r>
          </w:p>
        </w:tc>
        <w:tc>
          <w:tcPr>
            <w:tcW w:w="1971" w:type="dxa"/>
            <w:vAlign w:val="center"/>
          </w:tcPr>
          <w:p>
            <w:pPr>
              <w:pStyle w:val="17"/>
            </w:pPr>
            <w:r>
              <w:t>1757.65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604武邑县人民法院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1757.65</w:t>
            </w:r>
          </w:p>
        </w:tc>
        <w:tc>
          <w:tcPr>
            <w:tcW w:w="758" w:type="dxa"/>
            <w:vAlign w:val="center"/>
          </w:tcPr>
          <w:p>
            <w:pPr>
              <w:pStyle w:val="17"/>
            </w:pPr>
            <w:r>
              <w:t>1757.65</w:t>
            </w:r>
          </w:p>
        </w:tc>
        <w:tc>
          <w:tcPr>
            <w:tcW w:w="758" w:type="dxa"/>
            <w:vAlign w:val="center"/>
          </w:tcPr>
          <w:p>
            <w:pPr>
              <w:pStyle w:val="17"/>
            </w:pPr>
            <w:r>
              <w:t>1757.65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20405</w:t>
            </w:r>
          </w:p>
        </w:tc>
        <w:tc>
          <w:tcPr>
            <w:tcW w:w="758" w:type="dxa"/>
            <w:vAlign w:val="center"/>
          </w:tcPr>
          <w:p>
            <w:pPr>
              <w:pStyle w:val="14"/>
            </w:pPr>
            <w:r>
              <w:t>法院</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2040501</w:t>
            </w:r>
          </w:p>
        </w:tc>
        <w:tc>
          <w:tcPr>
            <w:tcW w:w="758" w:type="dxa"/>
            <w:vAlign w:val="center"/>
          </w:tcPr>
          <w:p>
            <w:pPr>
              <w:pStyle w:val="14"/>
            </w:pPr>
            <w:r>
              <w:t>行政运行</w:t>
            </w:r>
          </w:p>
        </w:tc>
        <w:tc>
          <w:tcPr>
            <w:tcW w:w="758" w:type="dxa"/>
            <w:vAlign w:val="center"/>
          </w:tcPr>
          <w:p>
            <w:pPr>
              <w:pStyle w:val="13"/>
            </w:pPr>
            <w:r>
              <w:t>1057.06</w:t>
            </w:r>
          </w:p>
        </w:tc>
        <w:tc>
          <w:tcPr>
            <w:tcW w:w="758" w:type="dxa"/>
            <w:vAlign w:val="center"/>
          </w:tcPr>
          <w:p>
            <w:pPr>
              <w:pStyle w:val="13"/>
            </w:pPr>
            <w:r>
              <w:t>1057.06</w:t>
            </w:r>
          </w:p>
        </w:tc>
        <w:tc>
          <w:tcPr>
            <w:tcW w:w="758" w:type="dxa"/>
            <w:vAlign w:val="center"/>
          </w:tcPr>
          <w:p>
            <w:pPr>
              <w:pStyle w:val="13"/>
            </w:pPr>
            <w:r>
              <w:t>1057.06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2040502</w:t>
            </w:r>
          </w:p>
        </w:tc>
        <w:tc>
          <w:tcPr>
            <w:tcW w:w="758" w:type="dxa"/>
            <w:vAlign w:val="center"/>
          </w:tcPr>
          <w:p>
            <w:pPr>
              <w:pStyle w:val="14"/>
            </w:pPr>
            <w:r>
              <w:t>一般行政管理事务</w:t>
            </w:r>
          </w:p>
        </w:tc>
        <w:tc>
          <w:tcPr>
            <w:tcW w:w="758" w:type="dxa"/>
            <w:vAlign w:val="center"/>
          </w:tcPr>
          <w:p>
            <w:pPr>
              <w:pStyle w:val="13"/>
            </w:pPr>
            <w:r>
              <w:t>393.00</w:t>
            </w:r>
          </w:p>
        </w:tc>
        <w:tc>
          <w:tcPr>
            <w:tcW w:w="758" w:type="dxa"/>
            <w:vAlign w:val="center"/>
          </w:tcPr>
          <w:p>
            <w:pPr>
              <w:pStyle w:val="13"/>
            </w:pPr>
            <w:r>
              <w:t>393.00</w:t>
            </w:r>
          </w:p>
        </w:tc>
        <w:tc>
          <w:tcPr>
            <w:tcW w:w="758" w:type="dxa"/>
            <w:vAlign w:val="center"/>
          </w:tcPr>
          <w:p>
            <w:pPr>
              <w:pStyle w:val="13"/>
            </w:pPr>
            <w:r>
              <w:t>393.00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114.59</w:t>
            </w:r>
          </w:p>
        </w:tc>
        <w:tc>
          <w:tcPr>
            <w:tcW w:w="758" w:type="dxa"/>
            <w:vAlign w:val="center"/>
          </w:tcPr>
          <w:p>
            <w:pPr>
              <w:pStyle w:val="13"/>
            </w:pPr>
            <w:r>
              <w:t>114.59</w:t>
            </w:r>
          </w:p>
        </w:tc>
        <w:tc>
          <w:tcPr>
            <w:tcW w:w="758" w:type="dxa"/>
            <w:vAlign w:val="center"/>
          </w:tcPr>
          <w:p>
            <w:pPr>
              <w:pStyle w:val="13"/>
            </w:pPr>
            <w:r>
              <w:t>114.59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94.00</w:t>
            </w:r>
          </w:p>
        </w:tc>
        <w:tc>
          <w:tcPr>
            <w:tcW w:w="758" w:type="dxa"/>
            <w:vAlign w:val="center"/>
          </w:tcPr>
          <w:p>
            <w:pPr>
              <w:pStyle w:val="13"/>
            </w:pPr>
            <w:r>
              <w:t>94.00</w:t>
            </w:r>
          </w:p>
        </w:tc>
        <w:tc>
          <w:tcPr>
            <w:tcW w:w="758" w:type="dxa"/>
            <w:vAlign w:val="center"/>
          </w:tcPr>
          <w:p>
            <w:pPr>
              <w:pStyle w:val="13"/>
            </w:pPr>
            <w:r>
              <w:t>94.00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1757.65</w:t>
            </w:r>
          </w:p>
        </w:tc>
        <w:tc>
          <w:tcPr>
            <w:tcW w:w="1095" w:type="dxa"/>
            <w:vAlign w:val="center"/>
          </w:tcPr>
          <w:p>
            <w:pPr>
              <w:pStyle w:val="17"/>
            </w:pPr>
            <w:r>
              <w:t>1364.65</w:t>
            </w:r>
          </w:p>
        </w:tc>
        <w:tc>
          <w:tcPr>
            <w:tcW w:w="1095" w:type="dxa"/>
            <w:vAlign w:val="center"/>
          </w:tcPr>
          <w:p>
            <w:pPr>
              <w:pStyle w:val="17"/>
            </w:pPr>
            <w:r>
              <w:t>393.00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1450.06</w:t>
            </w:r>
          </w:p>
        </w:tc>
        <w:tc>
          <w:tcPr>
            <w:tcW w:w="1095" w:type="dxa"/>
            <w:vAlign w:val="center"/>
          </w:tcPr>
          <w:p>
            <w:pPr>
              <w:pStyle w:val="13"/>
            </w:pPr>
            <w:r>
              <w:t>1057.06</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20405</w:t>
            </w:r>
          </w:p>
        </w:tc>
        <w:tc>
          <w:tcPr>
            <w:tcW w:w="1095" w:type="dxa"/>
            <w:vAlign w:val="center"/>
          </w:tcPr>
          <w:p>
            <w:pPr>
              <w:pStyle w:val="14"/>
            </w:pPr>
            <w:r>
              <w:t>法院</w:t>
            </w:r>
          </w:p>
        </w:tc>
        <w:tc>
          <w:tcPr>
            <w:tcW w:w="1095" w:type="dxa"/>
            <w:vAlign w:val="center"/>
          </w:tcPr>
          <w:p>
            <w:pPr>
              <w:pStyle w:val="13"/>
            </w:pPr>
            <w:r>
              <w:t>1450.06</w:t>
            </w:r>
          </w:p>
        </w:tc>
        <w:tc>
          <w:tcPr>
            <w:tcW w:w="1095" w:type="dxa"/>
            <w:vAlign w:val="center"/>
          </w:tcPr>
          <w:p>
            <w:pPr>
              <w:pStyle w:val="13"/>
            </w:pPr>
            <w:r>
              <w:t>1057.06</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2040501</w:t>
            </w:r>
          </w:p>
        </w:tc>
        <w:tc>
          <w:tcPr>
            <w:tcW w:w="1095" w:type="dxa"/>
            <w:vAlign w:val="center"/>
          </w:tcPr>
          <w:p>
            <w:pPr>
              <w:pStyle w:val="14"/>
            </w:pPr>
            <w:r>
              <w:t>行政运行</w:t>
            </w:r>
          </w:p>
        </w:tc>
        <w:tc>
          <w:tcPr>
            <w:tcW w:w="1095" w:type="dxa"/>
            <w:vAlign w:val="center"/>
          </w:tcPr>
          <w:p>
            <w:pPr>
              <w:pStyle w:val="13"/>
            </w:pPr>
            <w:r>
              <w:t>1057.06</w:t>
            </w:r>
          </w:p>
        </w:tc>
        <w:tc>
          <w:tcPr>
            <w:tcW w:w="1095" w:type="dxa"/>
            <w:vAlign w:val="center"/>
          </w:tcPr>
          <w:p>
            <w:pPr>
              <w:pStyle w:val="13"/>
            </w:pPr>
            <w:r>
              <w:t>1057.06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2040502</w:t>
            </w:r>
          </w:p>
        </w:tc>
        <w:tc>
          <w:tcPr>
            <w:tcW w:w="1095" w:type="dxa"/>
            <w:vAlign w:val="center"/>
          </w:tcPr>
          <w:p>
            <w:pPr>
              <w:pStyle w:val="14"/>
            </w:pPr>
            <w:r>
              <w:t>一般行政管理事务</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208.59</w:t>
            </w:r>
          </w:p>
        </w:tc>
        <w:tc>
          <w:tcPr>
            <w:tcW w:w="1095" w:type="dxa"/>
            <w:vAlign w:val="center"/>
          </w:tcPr>
          <w:p>
            <w:pPr>
              <w:pStyle w:val="13"/>
            </w:pPr>
            <w:r>
              <w:t>208.59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208.59</w:t>
            </w:r>
          </w:p>
        </w:tc>
        <w:tc>
          <w:tcPr>
            <w:tcW w:w="1095" w:type="dxa"/>
            <w:vAlign w:val="center"/>
          </w:tcPr>
          <w:p>
            <w:pPr>
              <w:pStyle w:val="13"/>
            </w:pPr>
            <w:r>
              <w:t>208.59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114.59</w:t>
            </w:r>
          </w:p>
        </w:tc>
        <w:tc>
          <w:tcPr>
            <w:tcW w:w="1095" w:type="dxa"/>
            <w:vAlign w:val="center"/>
          </w:tcPr>
          <w:p>
            <w:pPr>
              <w:pStyle w:val="13"/>
            </w:pPr>
            <w:r>
              <w:t>114.59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94.00</w:t>
            </w:r>
          </w:p>
        </w:tc>
        <w:tc>
          <w:tcPr>
            <w:tcW w:w="1095" w:type="dxa"/>
            <w:vAlign w:val="center"/>
          </w:tcPr>
          <w:p>
            <w:pPr>
              <w:pStyle w:val="13"/>
            </w:pPr>
            <w:r>
              <w:t>94.00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1757.65</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1450.06</w:t>
            </w:r>
          </w:p>
        </w:tc>
        <w:tc>
          <w:tcPr>
            <w:tcW w:w="1232" w:type="dxa"/>
            <w:vAlign w:val="center"/>
          </w:tcPr>
          <w:p>
            <w:pPr>
              <w:pStyle w:val="13"/>
            </w:pPr>
            <w:r>
              <w:t>1450.06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208.59</w:t>
            </w:r>
          </w:p>
        </w:tc>
        <w:tc>
          <w:tcPr>
            <w:tcW w:w="1232" w:type="dxa"/>
            <w:vAlign w:val="center"/>
          </w:tcPr>
          <w:p>
            <w:pPr>
              <w:pStyle w:val="13"/>
            </w:pPr>
            <w:r>
              <w:t>208.59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44.00</w:t>
            </w:r>
          </w:p>
        </w:tc>
        <w:tc>
          <w:tcPr>
            <w:tcW w:w="1232" w:type="dxa"/>
            <w:vAlign w:val="center"/>
          </w:tcPr>
          <w:p>
            <w:pPr>
              <w:pStyle w:val="13"/>
            </w:pPr>
            <w:r>
              <w:t>44.00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55.00</w:t>
            </w:r>
          </w:p>
        </w:tc>
        <w:tc>
          <w:tcPr>
            <w:tcW w:w="1232" w:type="dxa"/>
            <w:vAlign w:val="center"/>
          </w:tcPr>
          <w:p>
            <w:pPr>
              <w:pStyle w:val="13"/>
            </w:pPr>
            <w:r>
              <w:t>55.00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1757.65</w:t>
            </w:r>
          </w:p>
        </w:tc>
        <w:tc>
          <w:tcPr>
            <w:tcW w:w="1232" w:type="dxa"/>
            <w:vAlign w:val="center"/>
          </w:tcPr>
          <w:p>
            <w:pPr>
              <w:pStyle w:val="16"/>
            </w:pPr>
            <w:r>
              <w:t>本年支出合计</w:t>
            </w:r>
          </w:p>
        </w:tc>
        <w:tc>
          <w:tcPr>
            <w:tcW w:w="1232" w:type="dxa"/>
            <w:vAlign w:val="center"/>
          </w:tcPr>
          <w:p>
            <w:pPr>
              <w:pStyle w:val="17"/>
            </w:pPr>
            <w:r>
              <w:t>1757.65</w:t>
            </w:r>
          </w:p>
        </w:tc>
        <w:tc>
          <w:tcPr>
            <w:tcW w:w="1232" w:type="dxa"/>
            <w:vAlign w:val="center"/>
          </w:tcPr>
          <w:p>
            <w:pPr>
              <w:pStyle w:val="17"/>
            </w:pPr>
            <w:r>
              <w:t>1757.65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1757.65</w:t>
            </w:r>
          </w:p>
        </w:tc>
        <w:tc>
          <w:tcPr>
            <w:tcW w:w="1232" w:type="dxa"/>
            <w:vAlign w:val="center"/>
          </w:tcPr>
          <w:p>
            <w:pPr>
              <w:pStyle w:val="16"/>
            </w:pPr>
            <w:r>
              <w:t>支出总计</w:t>
            </w:r>
          </w:p>
        </w:tc>
        <w:tc>
          <w:tcPr>
            <w:tcW w:w="1232" w:type="dxa"/>
            <w:vAlign w:val="center"/>
          </w:tcPr>
          <w:p>
            <w:pPr>
              <w:pStyle w:val="17"/>
            </w:pPr>
            <w:r>
              <w:t>1757.65</w:t>
            </w:r>
          </w:p>
        </w:tc>
        <w:tc>
          <w:tcPr>
            <w:tcW w:w="1232" w:type="dxa"/>
            <w:vAlign w:val="center"/>
          </w:tcPr>
          <w:p>
            <w:pPr>
              <w:pStyle w:val="17"/>
            </w:pPr>
            <w:r>
              <w:t>1757.65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1757.65</w:t>
            </w:r>
          </w:p>
        </w:tc>
        <w:tc>
          <w:tcPr>
            <w:tcW w:w="1643" w:type="dxa"/>
            <w:vAlign w:val="center"/>
          </w:tcPr>
          <w:p>
            <w:pPr>
              <w:pStyle w:val="17"/>
            </w:pPr>
            <w:r>
              <w:t>1364.65</w:t>
            </w:r>
          </w:p>
        </w:tc>
        <w:tc>
          <w:tcPr>
            <w:tcW w:w="1643" w:type="dxa"/>
            <w:vAlign w:val="center"/>
          </w:tcPr>
          <w:p>
            <w:pPr>
              <w:pStyle w:val="17"/>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1450.06</w:t>
            </w:r>
          </w:p>
        </w:tc>
        <w:tc>
          <w:tcPr>
            <w:tcW w:w="1643" w:type="dxa"/>
            <w:vAlign w:val="center"/>
          </w:tcPr>
          <w:p>
            <w:pPr>
              <w:pStyle w:val="13"/>
            </w:pPr>
            <w:r>
              <w:t>1057.06</w:t>
            </w: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20405</w:t>
            </w:r>
          </w:p>
        </w:tc>
        <w:tc>
          <w:tcPr>
            <w:tcW w:w="1643" w:type="dxa"/>
            <w:vAlign w:val="center"/>
          </w:tcPr>
          <w:p>
            <w:pPr>
              <w:pStyle w:val="14"/>
            </w:pPr>
            <w:r>
              <w:t>法院</w:t>
            </w:r>
          </w:p>
        </w:tc>
        <w:tc>
          <w:tcPr>
            <w:tcW w:w="1643" w:type="dxa"/>
            <w:vAlign w:val="center"/>
          </w:tcPr>
          <w:p>
            <w:pPr>
              <w:pStyle w:val="13"/>
            </w:pPr>
            <w:r>
              <w:t>1450.06</w:t>
            </w:r>
          </w:p>
        </w:tc>
        <w:tc>
          <w:tcPr>
            <w:tcW w:w="1643" w:type="dxa"/>
            <w:vAlign w:val="center"/>
          </w:tcPr>
          <w:p>
            <w:pPr>
              <w:pStyle w:val="13"/>
            </w:pPr>
            <w:r>
              <w:t>1057.06</w:t>
            </w: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2040501</w:t>
            </w:r>
          </w:p>
        </w:tc>
        <w:tc>
          <w:tcPr>
            <w:tcW w:w="1643" w:type="dxa"/>
            <w:vAlign w:val="center"/>
          </w:tcPr>
          <w:p>
            <w:pPr>
              <w:pStyle w:val="14"/>
            </w:pPr>
            <w:r>
              <w:t>行政运行</w:t>
            </w:r>
          </w:p>
        </w:tc>
        <w:tc>
          <w:tcPr>
            <w:tcW w:w="1643" w:type="dxa"/>
            <w:vAlign w:val="center"/>
          </w:tcPr>
          <w:p>
            <w:pPr>
              <w:pStyle w:val="13"/>
            </w:pPr>
            <w:r>
              <w:t>1057.06</w:t>
            </w:r>
          </w:p>
        </w:tc>
        <w:tc>
          <w:tcPr>
            <w:tcW w:w="1643" w:type="dxa"/>
            <w:vAlign w:val="center"/>
          </w:tcPr>
          <w:p>
            <w:pPr>
              <w:pStyle w:val="13"/>
            </w:pPr>
            <w:r>
              <w:t>1057.06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2040502</w:t>
            </w:r>
          </w:p>
        </w:tc>
        <w:tc>
          <w:tcPr>
            <w:tcW w:w="1643" w:type="dxa"/>
            <w:vAlign w:val="center"/>
          </w:tcPr>
          <w:p>
            <w:pPr>
              <w:pStyle w:val="14"/>
            </w:pPr>
            <w:r>
              <w:t>一般行政管理事务</w:t>
            </w:r>
          </w:p>
        </w:tc>
        <w:tc>
          <w:tcPr>
            <w:tcW w:w="1643" w:type="dxa"/>
            <w:vAlign w:val="center"/>
          </w:tcPr>
          <w:p>
            <w:pPr>
              <w:pStyle w:val="13"/>
            </w:pPr>
            <w:r>
              <w:t>393.00</w:t>
            </w:r>
          </w:p>
        </w:tc>
        <w:tc>
          <w:tcPr>
            <w:tcW w:w="1643" w:type="dxa"/>
            <w:vAlign w:val="center"/>
          </w:tcPr>
          <w:p>
            <w:pPr>
              <w:pStyle w:val="13"/>
            </w:pP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208.59</w:t>
            </w:r>
          </w:p>
        </w:tc>
        <w:tc>
          <w:tcPr>
            <w:tcW w:w="1643" w:type="dxa"/>
            <w:vAlign w:val="center"/>
          </w:tcPr>
          <w:p>
            <w:pPr>
              <w:pStyle w:val="13"/>
            </w:pPr>
            <w:r>
              <w:t>208.59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208.59</w:t>
            </w:r>
          </w:p>
        </w:tc>
        <w:tc>
          <w:tcPr>
            <w:tcW w:w="1643" w:type="dxa"/>
            <w:vAlign w:val="center"/>
          </w:tcPr>
          <w:p>
            <w:pPr>
              <w:pStyle w:val="13"/>
            </w:pPr>
            <w:r>
              <w:t>208.59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94.00</w:t>
            </w:r>
          </w:p>
        </w:tc>
        <w:tc>
          <w:tcPr>
            <w:tcW w:w="1643" w:type="dxa"/>
            <w:vAlign w:val="center"/>
          </w:tcPr>
          <w:p>
            <w:pPr>
              <w:pStyle w:val="13"/>
            </w:pPr>
            <w:r>
              <w:t>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1364.65</w:t>
            </w:r>
          </w:p>
        </w:tc>
        <w:tc>
          <w:tcPr>
            <w:tcW w:w="1643" w:type="dxa"/>
            <w:vAlign w:val="center"/>
          </w:tcPr>
          <w:p>
            <w:pPr>
              <w:pStyle w:val="17"/>
            </w:pPr>
            <w:r>
              <w:t>1257.91</w:t>
            </w:r>
          </w:p>
        </w:tc>
        <w:tc>
          <w:tcPr>
            <w:tcW w:w="1643" w:type="dxa"/>
            <w:vAlign w:val="center"/>
          </w:tcPr>
          <w:p>
            <w:pPr>
              <w:pStyle w:val="17"/>
            </w:pPr>
            <w:r>
              <w:t>106.74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1143.32</w:t>
            </w:r>
          </w:p>
        </w:tc>
        <w:tc>
          <w:tcPr>
            <w:tcW w:w="1643" w:type="dxa"/>
            <w:vAlign w:val="center"/>
          </w:tcPr>
          <w:p>
            <w:pPr>
              <w:pStyle w:val="13"/>
            </w:pPr>
            <w:r>
              <w:t>1143.32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354.66</w:t>
            </w:r>
          </w:p>
        </w:tc>
        <w:tc>
          <w:tcPr>
            <w:tcW w:w="1643" w:type="dxa"/>
            <w:vAlign w:val="center"/>
          </w:tcPr>
          <w:p>
            <w:pPr>
              <w:pStyle w:val="13"/>
            </w:pPr>
            <w:r>
              <w:t>354.66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366.78</w:t>
            </w:r>
          </w:p>
        </w:tc>
        <w:tc>
          <w:tcPr>
            <w:tcW w:w="1643" w:type="dxa"/>
            <w:vAlign w:val="center"/>
          </w:tcPr>
          <w:p>
            <w:pPr>
              <w:pStyle w:val="13"/>
            </w:pPr>
            <w:r>
              <w:t>366.78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217.11</w:t>
            </w:r>
          </w:p>
        </w:tc>
        <w:tc>
          <w:tcPr>
            <w:tcW w:w="1643" w:type="dxa"/>
            <w:vAlign w:val="center"/>
          </w:tcPr>
          <w:p>
            <w:pPr>
              <w:pStyle w:val="13"/>
            </w:pPr>
            <w:r>
              <w:t>217.11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8.86</w:t>
            </w:r>
          </w:p>
        </w:tc>
        <w:tc>
          <w:tcPr>
            <w:tcW w:w="1643" w:type="dxa"/>
            <w:vAlign w:val="center"/>
          </w:tcPr>
          <w:p>
            <w:pPr>
              <w:pStyle w:val="13"/>
            </w:pPr>
            <w:r>
              <w:t>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94.00</w:t>
            </w:r>
          </w:p>
        </w:tc>
        <w:tc>
          <w:tcPr>
            <w:tcW w:w="1643" w:type="dxa"/>
            <w:vAlign w:val="center"/>
          </w:tcPr>
          <w:p>
            <w:pPr>
              <w:pStyle w:val="13"/>
            </w:pPr>
            <w:r>
              <w:t>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2.91</w:t>
            </w:r>
          </w:p>
        </w:tc>
        <w:tc>
          <w:tcPr>
            <w:tcW w:w="1643" w:type="dxa"/>
            <w:vAlign w:val="center"/>
          </w:tcPr>
          <w:p>
            <w:pPr>
              <w:pStyle w:val="13"/>
            </w:pPr>
            <w:r>
              <w:t>2.91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106.74</w:t>
            </w:r>
          </w:p>
        </w:tc>
        <w:tc>
          <w:tcPr>
            <w:tcW w:w="1643" w:type="dxa"/>
            <w:vAlign w:val="center"/>
          </w:tcPr>
          <w:p>
            <w:pPr>
              <w:pStyle w:val="13"/>
            </w:pPr>
          </w:p>
        </w:tc>
        <w:tc>
          <w:tcPr>
            <w:tcW w:w="1643" w:type="dxa"/>
            <w:vAlign w:val="center"/>
          </w:tcPr>
          <w:p>
            <w:pPr>
              <w:pStyle w:val="13"/>
            </w:pPr>
            <w:r>
              <w:t>106.74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1.70</w:t>
            </w:r>
          </w:p>
        </w:tc>
        <w:tc>
          <w:tcPr>
            <w:tcW w:w="1643" w:type="dxa"/>
            <w:vAlign w:val="center"/>
          </w:tcPr>
          <w:p>
            <w:pPr>
              <w:pStyle w:val="13"/>
            </w:pPr>
          </w:p>
        </w:tc>
        <w:tc>
          <w:tcPr>
            <w:tcW w:w="1643"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14.43</w:t>
            </w:r>
          </w:p>
        </w:tc>
        <w:tc>
          <w:tcPr>
            <w:tcW w:w="1643" w:type="dxa"/>
            <w:vAlign w:val="center"/>
          </w:tcPr>
          <w:p>
            <w:pPr>
              <w:pStyle w:val="13"/>
            </w:pPr>
          </w:p>
        </w:tc>
        <w:tc>
          <w:tcPr>
            <w:tcW w:w="1643" w:type="dxa"/>
            <w:vAlign w:val="center"/>
          </w:tcPr>
          <w:p>
            <w:pPr>
              <w:pStyle w:val="13"/>
            </w:pPr>
            <w:r>
              <w:t>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6.39</w:t>
            </w:r>
          </w:p>
        </w:tc>
        <w:tc>
          <w:tcPr>
            <w:tcW w:w="1643" w:type="dxa"/>
            <w:vAlign w:val="center"/>
          </w:tcPr>
          <w:p>
            <w:pPr>
              <w:pStyle w:val="13"/>
            </w:pPr>
          </w:p>
        </w:tc>
        <w:tc>
          <w:tcPr>
            <w:tcW w:w="1643" w:type="dxa"/>
            <w:vAlign w:val="center"/>
          </w:tcPr>
          <w:p>
            <w:pPr>
              <w:pStyle w:val="13"/>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9.95</w:t>
            </w:r>
          </w:p>
        </w:tc>
        <w:tc>
          <w:tcPr>
            <w:tcW w:w="1643" w:type="dxa"/>
            <w:vAlign w:val="center"/>
          </w:tcPr>
          <w:p>
            <w:pPr>
              <w:pStyle w:val="13"/>
            </w:pPr>
          </w:p>
        </w:tc>
        <w:tc>
          <w:tcPr>
            <w:tcW w:w="1643" w:type="dxa"/>
            <w:vAlign w:val="center"/>
          </w:tcPr>
          <w:p>
            <w:pPr>
              <w:pStyle w:val="13"/>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48.42</w:t>
            </w:r>
          </w:p>
        </w:tc>
        <w:tc>
          <w:tcPr>
            <w:tcW w:w="1643" w:type="dxa"/>
            <w:vAlign w:val="center"/>
          </w:tcPr>
          <w:p>
            <w:pPr>
              <w:pStyle w:val="13"/>
            </w:pPr>
          </w:p>
        </w:tc>
        <w:tc>
          <w:tcPr>
            <w:tcW w:w="1643" w:type="dxa"/>
            <w:vAlign w:val="center"/>
          </w:tcPr>
          <w:p>
            <w:pPr>
              <w:pStyle w:val="13"/>
            </w:pPr>
            <w:r>
              <w:t>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0.85</w:t>
            </w:r>
          </w:p>
        </w:tc>
        <w:tc>
          <w:tcPr>
            <w:tcW w:w="1643" w:type="dxa"/>
            <w:vAlign w:val="center"/>
          </w:tcPr>
          <w:p>
            <w:pPr>
              <w:pStyle w:val="13"/>
            </w:pPr>
          </w:p>
        </w:tc>
        <w:tc>
          <w:tcPr>
            <w:tcW w:w="1643"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604武邑县人民法院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武邑县人民法院2023年部门预算信息公开情况说明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武邑县人民法院2023年部门预算信息公开情况说明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预算法》、《地方预决算公开操作规程》和《关于进一步推进预算公开工作的实施意见》规定，现将武邑县人民法院2023年部门预算公开如下：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（一）依法审判法律规定由基层人民法院管辖的刑事、民事、行政等第一审案件。</w:t>
      </w:r>
    </w:p>
    <w:p>
      <w:pPr>
        <w:pStyle w:val="19"/>
      </w:pPr>
      <w:r>
        <w:t>（二）依法审判上级人民法院指定、同级人民法院移送的刑事、民事、行政等第一审案件。</w:t>
      </w:r>
    </w:p>
    <w:p>
      <w:pPr>
        <w:pStyle w:val="19"/>
      </w:pPr>
      <w:r>
        <w:t>（三）审查和受理各类申诉案件，审判各类再审案件，处理来信来访。</w:t>
      </w:r>
    </w:p>
    <w:p>
      <w:pPr>
        <w:pStyle w:val="19"/>
      </w:pPr>
      <w:r>
        <w:t>（四）依法办理发生法律效力的民事、行政案件判决和裁定执行事项及刑事案件判决和裁定中关于财产部分的执行事项；办理法律规定由基层人民法院执行的其他法律文书的执行事项。</w:t>
      </w:r>
    </w:p>
    <w:p>
      <w:pPr>
        <w:pStyle w:val="19"/>
      </w:pPr>
      <w:r>
        <w:t>（五）负责本院审判工作的调查研究，总结审判工作经验。</w:t>
      </w:r>
    </w:p>
    <w:p>
      <w:pPr>
        <w:pStyle w:val="19"/>
      </w:pPr>
      <w:r>
        <w:t>（六）负责本院干警思想政治教育和业务培训工作；按照权限管理法官和其他工作人员；协同上级法院及县主管部门管理全院的机构设置、人员编制工作。</w:t>
      </w:r>
    </w:p>
    <w:p>
      <w:pPr>
        <w:pStyle w:val="19"/>
      </w:pPr>
      <w:r>
        <w:t>（七）管理本院的有关经费及物资装备。</w:t>
      </w:r>
    </w:p>
    <w:p>
      <w:pPr>
        <w:pStyle w:val="19"/>
      </w:pPr>
      <w:r>
        <w:t>（八）负责本院司法技术鉴定、通讯、计算机等技术管理工作。</w:t>
      </w:r>
    </w:p>
    <w:p>
      <w:pPr>
        <w:pStyle w:val="19"/>
      </w:pPr>
      <w:r>
        <w:t>（九）在审判工作中宣传法制，教育公民忠于社会主义祖国，自觉遵守宪法、法律和社会公德。</w:t>
      </w:r>
    </w:p>
    <w:p>
      <w:pPr>
        <w:pStyle w:val="19"/>
      </w:pPr>
      <w:r>
        <w:t>（十）完成上级法院和县委、县人大交办的其他工作。</w:t>
      </w:r>
    </w:p>
    <w:p>
      <w:pPr>
        <w:pStyle w:val="19"/>
      </w:pPr>
      <w:r>
        <w:t>（十一）承办其他应由基层人民法院负责的工作。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武邑县人民法院本级</w:t>
            </w:r>
          </w:p>
        </w:tc>
        <w:tc>
          <w:tcPr>
            <w:tcW w:w="2464" w:type="dxa"/>
            <w:vAlign w:val="center"/>
          </w:tcPr>
          <w:p>
            <w:pPr>
              <w:pStyle w:val="15"/>
            </w:pPr>
            <w:r>
              <w:t>行政</w:t>
            </w:r>
          </w:p>
        </w:tc>
        <w:tc>
          <w:tcPr>
            <w:tcW w:w="2464" w:type="dxa"/>
            <w:vAlign w:val="center"/>
          </w:tcPr>
          <w:p>
            <w:pPr>
              <w:pStyle w:val="15"/>
            </w:pPr>
            <w:r>
              <w:t>副厅（地）级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ascii="Times New Roman" w:hAnsi="Times New Roman" w:eastAsia="方正仿宋_GBK" w:cs="Times New Roman"/>
          <w:color w:val="000000"/>
          <w:sz w:val="28"/>
        </w:rPr>
        <w:t>部门预算的编制实行综合预算管理，即全部收入和支出都反映在预算中。武邑县人民法院机关及所属事业单位的收支包含在部门预算中。</w:t>
      </w:r>
    </w:p>
    <w:p>
      <w:pPr>
        <w:ind w:firstLine="640"/>
        <w:rPr>
          <w:rFonts w:ascii="Times New Roman" w:hAnsi="Times New Roman" w:eastAsia="仿宋" w:cs="Times New Roman"/>
          <w:sz w:val="32"/>
          <w:szCs w:val="32"/>
        </w:rPr>
      </w:pPr>
      <w:bookmarkStart w:id="11" w:name="_Toc_3_3_0000000012"/>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反映本部门当年收入。20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万元，政府性基金预算收入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万元，国有资本经营预算收入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万元，财政专户收入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万元，事业收入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万元，上级补助收入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万元，附属单位上缴收入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万元，经营收入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万元，其他收入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firstLineChars="200"/>
      </w:pPr>
      <w:r>
        <w:rPr>
          <w:rFonts w:hint="eastAsia" w:ascii="Times New Roman" w:hAnsi="Times New Roman" w:eastAsia="仿宋" w:cs="Times New Roman"/>
          <w:sz w:val="32"/>
          <w:szCs w:val="32"/>
        </w:rPr>
        <w:t>收支预算总表支出栏、基本支出表、项目支出表按经济分类和功能分类科目编制，反映2</w:t>
      </w:r>
      <w:r>
        <w:rPr>
          <w:rFonts w:hint="eastAsia" w:ascii="Times New Roman" w:hAnsi="Times New Roman" w:eastAsia="仿宋" w:cs="Times New Roman"/>
          <w:sz w:val="32"/>
          <w:szCs w:val="32"/>
          <w:lang w:val="en-US" w:eastAsia="zh-CN"/>
        </w:rPr>
        <w:t>023</w:t>
      </w:r>
      <w:r>
        <w:rPr>
          <w:rFonts w:hint="eastAsia" w:ascii="Times New Roman" w:hAnsi="Times New Roman" w:eastAsia="仿宋" w:cs="Times New Roman"/>
          <w:sz w:val="32"/>
          <w:szCs w:val="32"/>
        </w:rPr>
        <w:t>年度部门预算支出的总体情况。20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年部门预算支出</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万元，其中，基本支出</w:t>
      </w:r>
      <w:r>
        <w:rPr>
          <w:rFonts w:hint="eastAsia" w:eastAsia="仿宋" w:cs="Times New Roman"/>
          <w:sz w:val="32"/>
          <w:szCs w:val="32"/>
          <w:lang w:val="en-US" w:eastAsia="zh-CN"/>
        </w:rPr>
        <w:t>1</w:t>
      </w:r>
      <w:bookmarkStart w:id="18" w:name="_GoBack"/>
      <w:bookmarkEnd w:id="18"/>
      <w:r>
        <w:rPr>
          <w:rFonts w:hint="eastAsia" w:ascii="Times New Roman" w:hAnsi="Times New Roman" w:eastAsia="仿宋" w:cs="Times New Roman"/>
          <w:sz w:val="32"/>
          <w:szCs w:val="32"/>
          <w:lang w:val="en-US" w:eastAsia="zh-CN"/>
        </w:rPr>
        <w:t>364.65</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1257.91</w:t>
      </w:r>
      <w:r>
        <w:rPr>
          <w:rFonts w:hint="eastAsia" w:ascii="Times New Roman" w:hAnsi="Times New Roman" w:eastAsia="仿宋" w:cs="Times New Roman"/>
          <w:sz w:val="32"/>
          <w:szCs w:val="32"/>
        </w:rPr>
        <w:t>万元与公用经费</w:t>
      </w:r>
      <w:r>
        <w:rPr>
          <w:rFonts w:hint="eastAsia" w:ascii="Times New Roman" w:hAnsi="Times New Roman" w:eastAsia="仿宋" w:cs="Times New Roman"/>
          <w:sz w:val="32"/>
          <w:szCs w:val="32"/>
          <w:lang w:val="en-US" w:eastAsia="zh-CN"/>
        </w:rPr>
        <w:t>106.74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393</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一般行政管理事务</w:t>
      </w:r>
      <w:r>
        <w:rPr>
          <w:rFonts w:hint="eastAsia" w:ascii="Times New Roman" w:hAnsi="Times New Roman" w:eastAsia="仿宋" w:cs="Times New Roman"/>
          <w:sz w:val="32"/>
          <w:szCs w:val="32"/>
          <w:lang w:val="en-US" w:eastAsia="zh-CN"/>
        </w:rPr>
        <w:t>393</w:t>
      </w:r>
      <w:r>
        <w:rPr>
          <w:rFonts w:hint="eastAsia" w:ascii="宋体" w:hAnsi="宋体" w:eastAsia="宋体" w:cs="Times New Roman"/>
          <w:color w:val="auto"/>
          <w:sz w:val="32"/>
          <w:szCs w:val="32"/>
          <w:lang w:eastAsia="zh-CN"/>
        </w:rPr>
        <w:t>万元、案件</w:t>
      </w:r>
      <w:r>
        <w:rPr>
          <w:rFonts w:hint="eastAsia" w:ascii="宋体" w:hAnsi="宋体" w:cs="Times New Roman"/>
          <w:color w:val="auto"/>
          <w:sz w:val="32"/>
          <w:szCs w:val="32"/>
          <w:lang w:eastAsia="zh-CN"/>
        </w:rPr>
        <w:t>审判</w:t>
      </w:r>
      <w:r>
        <w:rPr>
          <w:rFonts w:hint="eastAsia" w:ascii="宋体" w:hAnsi="宋体" w:cs="Times New Roman"/>
          <w:color w:val="auto"/>
          <w:sz w:val="32"/>
          <w:szCs w:val="32"/>
          <w:lang w:val="en-US" w:eastAsia="zh-CN"/>
        </w:rPr>
        <w:t>0</w:t>
      </w:r>
      <w:r>
        <w:rPr>
          <w:rFonts w:hint="eastAsia" w:ascii="宋体" w:hAnsi="宋体" w:eastAsia="宋体" w:cs="Times New Roman"/>
          <w:color w:val="auto"/>
          <w:sz w:val="32"/>
          <w:szCs w:val="32"/>
          <w:lang w:eastAsia="zh-CN"/>
        </w:rPr>
        <w:t>万元、“两庭”建设</w:t>
      </w:r>
      <w:r>
        <w:rPr>
          <w:rFonts w:hint="eastAsia" w:ascii="宋体" w:hAnsi="宋体" w:cs="Times New Roman"/>
          <w:color w:val="auto"/>
          <w:sz w:val="32"/>
          <w:szCs w:val="32"/>
          <w:lang w:val="en-US" w:eastAsia="zh-CN"/>
        </w:rPr>
        <w:t>0</w:t>
      </w:r>
      <w:r>
        <w:rPr>
          <w:rFonts w:hint="eastAsia" w:ascii="宋体" w:hAnsi="宋体" w:eastAsia="宋体" w:cs="Times New Roman"/>
          <w:color w:val="auto"/>
          <w:sz w:val="32"/>
          <w:szCs w:val="32"/>
          <w:lang w:eastAsia="zh-CN"/>
        </w:rPr>
        <w:t>万元、</w:t>
      </w:r>
      <w:r>
        <w:rPr>
          <w:rFonts w:hint="eastAsia" w:ascii="宋体" w:hAnsi="宋体" w:cs="Times New Roman"/>
          <w:color w:val="auto"/>
          <w:sz w:val="32"/>
          <w:szCs w:val="32"/>
          <w:lang w:val="en-US" w:eastAsia="zh-CN"/>
        </w:rPr>
        <w:t>其他法院支出0</w:t>
      </w:r>
      <w:r>
        <w:rPr>
          <w:rFonts w:hint="eastAsia" w:ascii="宋体" w:hAnsi="宋体" w:eastAsia="宋体" w:cs="Times New Roman"/>
          <w:color w:val="auto"/>
          <w:sz w:val="32"/>
          <w:szCs w:val="32"/>
          <w:lang w:val="en-US" w:eastAsia="zh-CN"/>
        </w:rPr>
        <w:t>万元、</w:t>
      </w:r>
      <w:r>
        <w:rPr>
          <w:rFonts w:hint="eastAsia" w:ascii="Times New Roman" w:hAnsi="Times New Roman" w:eastAsia="仿宋" w:cs="Times New Roman"/>
          <w:sz w:val="32"/>
          <w:szCs w:val="32"/>
        </w:rPr>
        <w:t>；其他支出</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pP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年部门预算较20</w:t>
      </w: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215.86</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512.92</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人员工资调整及测算口径变化</w:t>
      </w:r>
      <w:r>
        <w:rPr>
          <w:rFonts w:hint="eastAsia" w:ascii="Times New Roman" w:hAnsi="Times New Roman" w:eastAsia="仿宋" w:cs="Times New Roman"/>
          <w:sz w:val="32"/>
          <w:szCs w:val="32"/>
        </w:rPr>
        <w:t>；项目支出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297.05</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项目资金年初安排减少</w:t>
      </w:r>
      <w:r>
        <w:rPr>
          <w:rFonts w:hint="eastAsia" w:ascii="Times New Roman" w:hAnsi="Times New Roman" w:eastAsia="仿宋" w:cs="Times New Roman"/>
          <w:sz w:val="32"/>
          <w:szCs w:val="32"/>
        </w:rPr>
        <w:t>。</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autoSpaceDE w:val="0"/>
        <w:autoSpaceDN w:val="0"/>
        <w:adjustRightInd w:val="0"/>
        <w:ind w:left="198" w:firstLine="640" w:firstLineChars="200"/>
        <w:jc w:val="left"/>
      </w:pPr>
      <w:r>
        <w:rPr>
          <w:rFonts w:hint="eastAsia" w:ascii="Times New Roman" w:hAnsi="Times New Roman" w:eastAsia="仿宋" w:cs="Times New Roman"/>
          <w:sz w:val="32"/>
          <w:szCs w:val="32"/>
        </w:rPr>
        <w:t>机关运行经费共计安排</w:t>
      </w:r>
      <w:r>
        <w:rPr>
          <w:rFonts w:hint="eastAsia" w:ascii="Times New Roman" w:hAnsi="Times New Roman" w:eastAsia="仿宋" w:cs="Times New Roman"/>
          <w:sz w:val="32"/>
          <w:szCs w:val="32"/>
          <w:lang w:val="en-US" w:eastAsia="zh-CN"/>
        </w:rPr>
        <w:t>106.74万</w:t>
      </w:r>
      <w:r>
        <w:rPr>
          <w:rFonts w:hint="eastAsia" w:ascii="Times New Roman" w:hAnsi="Times New Roman" w:eastAsia="仿宋" w:cs="Times New Roman"/>
          <w:sz w:val="32"/>
          <w:szCs w:val="32"/>
        </w:rPr>
        <w:t>元，主要用于保证机关正常运转的办公</w:t>
      </w:r>
      <w:r>
        <w:rPr>
          <w:rFonts w:hint="eastAsia" w:ascii="Times New Roman" w:hAnsi="Times New Roman" w:eastAsia="仿宋" w:cs="Times New Roman"/>
          <w:sz w:val="32"/>
          <w:szCs w:val="32"/>
          <w:lang w:eastAsia="zh-CN"/>
        </w:rPr>
        <w:t>费、</w:t>
      </w:r>
      <w:r>
        <w:rPr>
          <w:rFonts w:hint="eastAsia" w:ascii="Times New Roman" w:hAnsi="Times New Roman" w:eastAsia="仿宋" w:cs="Times New Roman"/>
          <w:sz w:val="32"/>
          <w:szCs w:val="32"/>
        </w:rPr>
        <w:t>印刷费、办公用房水电费、办公用房取暖费、日常维修费等支出。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Times New Roman" w:hAnsi="Times New Roman" w:eastAsia="仿宋" w:cs="Times New Roman"/>
          <w:sz w:val="32"/>
          <w:szCs w:val="32"/>
          <w:lang w:val="en-US" w:eastAsia="zh-CN" w:bidi="ar-SA"/>
        </w:rPr>
        <w:t>2023年</w:t>
      </w:r>
      <w:r>
        <w:rPr>
          <w:rFonts w:hint="eastAsia" w:ascii="Times New Roman" w:hAnsi="Times New Roman" w:eastAsia="仿宋" w:cs="Times New Roman"/>
          <w:sz w:val="32"/>
          <w:szCs w:val="32"/>
        </w:rPr>
        <w:t>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依法审理各类案件；依法惩治刑事犯罪；监督行政机关依法行政。促进社会和谐，维护社会稳定，服务全县工作大局，发挥服务保障职能。依法积极推进案件执行工作，切实保障群众合法权益，维护社会公平正义以及促进社会和谐，维护社会稳定。不断提高干警队伍素质和执法能力，推进信息公开，提升审判质效，改进司法工作作风，树立法院良好形象。依法管理法院司法行政工作；承办其它应由县人民法院负责的工作及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妥善审理刑事、民事、行政等一审案件，法律文书的执行，做好审判管理工作。</w:t>
      </w:r>
    </w:p>
    <w:p>
      <w:pPr>
        <w:pStyle w:val="24"/>
      </w:pPr>
      <w:r>
        <w:t>绩效目标：依法审理一审刑事、民事、行政案件，积极推进执行本院已经发生的法律文书和法律规定由本院执行的其他生效的法律文书及委托执行案件，提高结案质量，提高结案率；规范保障促进审判管理工作，完善审判质效评估体系，促进审判质效，降低发改率、调撤率，缩短平均审理天数，提高庭审直播率，实现法定（正常）审限内结案率、裁判文书上网率、庭审录像率、案卷归档率、电子卷宗质量率达到省法院统一要求，提升司法公信力。</w:t>
      </w:r>
    </w:p>
    <w:p>
      <w:pPr>
        <w:pStyle w:val="24"/>
      </w:pPr>
      <w:r>
        <w:t>绩效指标：绩效指标：结案率达到90%以上，裁判文书上网率、法定审限内结案率、案卷归档率均达到100%。</w:t>
      </w:r>
    </w:p>
    <w:p>
      <w:pPr>
        <w:pStyle w:val="24"/>
      </w:pPr>
      <w:r>
        <w:rPr>
          <w:rFonts w:hint="eastAsia"/>
          <w:lang w:val="en-US" w:eastAsia="zh-CN"/>
        </w:rPr>
        <w:t>2.</w:t>
      </w:r>
      <w:r>
        <w:t>完成涉法涉诉类案件的息诉罢访工作，依法办理国家赔偿案件。</w:t>
      </w:r>
    </w:p>
    <w:p>
      <w:pPr>
        <w:pStyle w:val="24"/>
      </w:pPr>
      <w:r>
        <w:t>绩效目标：</w:t>
      </w:r>
    </w:p>
    <w:p>
      <w:pPr>
        <w:pStyle w:val="24"/>
      </w:pPr>
      <w:r>
        <w:rPr>
          <w:rFonts w:hint="eastAsia"/>
          <w:lang w:eastAsia="zh-CN"/>
        </w:rPr>
        <w:t>（</w:t>
      </w:r>
      <w:r>
        <w:rPr>
          <w:rFonts w:hint="eastAsia"/>
          <w:lang w:val="en-US" w:eastAsia="zh-CN"/>
        </w:rPr>
        <w:t>1</w:t>
      </w:r>
      <w:r>
        <w:rPr>
          <w:rFonts w:hint="eastAsia"/>
          <w:lang w:eastAsia="zh-CN"/>
        </w:rPr>
        <w:t>）、</w:t>
      </w:r>
      <w:r>
        <w:t>完成涉法涉诉类上访案件的息诉罢访工作，做好两会、重大工作活动期间的维稳工作，接待分流越级上访人员、协助处理到上级法院的集体访和闹访人员的稳控遣访工作，保障信访工作正常进行，提高信访案件结案率、信访受理满意度，维护国家机关的正常工作秩序，做好稳控工作。</w:t>
      </w:r>
    </w:p>
    <w:p>
      <w:pPr>
        <w:pStyle w:val="24"/>
      </w:pPr>
      <w:r>
        <w:rPr>
          <w:rFonts w:hint="eastAsia"/>
          <w:lang w:eastAsia="zh-CN"/>
        </w:rPr>
        <w:t>（</w:t>
      </w:r>
      <w:r>
        <w:rPr>
          <w:rFonts w:hint="eastAsia"/>
          <w:lang w:val="en-US" w:eastAsia="zh-CN"/>
        </w:rPr>
        <w:t>2</w:t>
      </w:r>
      <w:r>
        <w:rPr>
          <w:rFonts w:hint="eastAsia"/>
          <w:lang w:eastAsia="zh-CN"/>
        </w:rPr>
        <w:t>）、</w:t>
      </w:r>
      <w:r>
        <w:t>不断完善司法救助，切实保护民生，让人民群众感受到司法以人为本，享受到司法人文关怀。及时发放司法救助金，化解人民的矛盾。</w:t>
      </w:r>
    </w:p>
    <w:p>
      <w:pPr>
        <w:pStyle w:val="24"/>
      </w:pPr>
      <w:r>
        <w:rPr>
          <w:rFonts w:hint="eastAsia"/>
          <w:lang w:eastAsia="zh-CN"/>
        </w:rPr>
        <w:t>（</w:t>
      </w:r>
      <w:r>
        <w:rPr>
          <w:rFonts w:hint="eastAsia"/>
          <w:lang w:val="en-US" w:eastAsia="zh-CN"/>
        </w:rPr>
        <w:t>3</w:t>
      </w:r>
      <w:r>
        <w:rPr>
          <w:rFonts w:hint="eastAsia"/>
          <w:lang w:eastAsia="zh-CN"/>
        </w:rPr>
        <w:t>）</w:t>
      </w:r>
      <w:r>
        <w:t>、依法办理国家赔偿案件，执行赔偿委员会的决定事项，审查处理告诉申诉案件，保护被侵害人的合法权益，促进行政机关、司法机关依法履行职责，保障当事人的合法权益。</w:t>
      </w:r>
    </w:p>
    <w:p>
      <w:pPr>
        <w:pStyle w:val="24"/>
      </w:pPr>
      <w:r>
        <w:t>绩效指标：信访案件结案率达到80%以上，信访处理满意度达到80%以上，司法救助资金发放到位率达到95%以上，化解矛盾率达到80%以上。</w:t>
      </w:r>
    </w:p>
    <w:p>
      <w:pPr>
        <w:pStyle w:val="24"/>
      </w:pPr>
      <w:r>
        <w:rPr>
          <w:rFonts w:hint="eastAsia"/>
          <w:lang w:val="en-US" w:eastAsia="zh-CN"/>
        </w:rPr>
        <w:t>3.</w:t>
      </w:r>
      <w:r>
        <w:t>综合业务管理和综合事务管理能力进一步增强</w:t>
      </w:r>
    </w:p>
    <w:p>
      <w:pPr>
        <w:pStyle w:val="24"/>
      </w:pPr>
      <w:r>
        <w:t>绩效目标：</w:t>
      </w:r>
    </w:p>
    <w:p>
      <w:pPr>
        <w:pStyle w:val="24"/>
      </w:pPr>
      <w:r>
        <w:rPr>
          <w:rFonts w:hint="eastAsia"/>
          <w:lang w:eastAsia="zh-CN"/>
        </w:rPr>
        <w:t>（</w:t>
      </w:r>
      <w:r>
        <w:rPr>
          <w:rFonts w:hint="eastAsia"/>
          <w:lang w:val="en-US" w:eastAsia="zh-CN"/>
        </w:rPr>
        <w:t>1</w:t>
      </w:r>
      <w:r>
        <w:rPr>
          <w:rFonts w:hint="eastAsia"/>
          <w:lang w:eastAsia="zh-CN"/>
        </w:rPr>
        <w:t>）</w:t>
      </w:r>
      <w:r>
        <w:t>、综合业务管理：加强我院队伍建设，不断提高队伍素质和执法能力；加强我院基础设施及信息化建设，加强培训及法院文化建设，推进信息公开；总结上级法院及其他兄弟法院审判业务工作经验，建立绩效考核制度，提升审判质效；加强对外宣传以及舆论引导，改进司法工作作风，树立法院良好形象。</w:t>
      </w:r>
    </w:p>
    <w:p>
      <w:pPr>
        <w:pStyle w:val="24"/>
      </w:pPr>
      <w:r>
        <w:rPr>
          <w:rFonts w:hint="eastAsia"/>
          <w:lang w:eastAsia="zh-CN"/>
        </w:rPr>
        <w:t>（</w:t>
      </w:r>
      <w:r>
        <w:rPr>
          <w:rFonts w:hint="eastAsia"/>
          <w:lang w:val="en-US" w:eastAsia="zh-CN"/>
        </w:rPr>
        <w:t>2</w:t>
      </w:r>
      <w:r>
        <w:rPr>
          <w:rFonts w:hint="eastAsia"/>
          <w:lang w:eastAsia="zh-CN"/>
        </w:rPr>
        <w:t>）、</w:t>
      </w:r>
      <w:r>
        <w:t>综合事务管理：领导基层人民法庭的监察工作，管理基层法庭司法行政工作，承办其他应由我院负责的工作，高质高效的完成年度各项工作。</w:t>
      </w:r>
    </w:p>
    <w:p>
      <w:pPr>
        <w:pStyle w:val="24"/>
      </w:pPr>
      <w:r>
        <w:t>绩效指标：综合业务管理工作完成率达到100%，综合事务管理工作完成率达到100%。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加强预算管理，严格预算执行。预算单位必须严格按照批复的预算，不能突破支出预算，确保专款专用；未经批准，不得擅自调整和变更预算，强化预算严肃性。重视财政资金的使用管理，实行相应的跟踪问效，对财政资金使用中存在的分配不合理和效益不高甚至浪费的问题，要及时处理，充分发挥财政资金使用效益。</w:t>
      </w:r>
    </w:p>
    <w:p>
      <w:pPr>
        <w:pStyle w:val="25"/>
      </w:pPr>
      <w:r>
        <w:rPr>
          <w:rFonts w:hint="eastAsia"/>
          <w:lang w:val="en-US" w:eastAsia="zh-CN"/>
        </w:rPr>
        <w:t>2.</w:t>
      </w:r>
      <w:r>
        <w:t>提高内审作用，加强内部监督。要提高内部审计机构层次，给予其应有的权威性和独立性。对内部单位开展定期或不定期审计，发现问题及时纠正，将审计监督关口前移，把问题解决在萌芽状态。内审人员要提高政治素质、业务素质和法规素质，认真落实审计决定和意见，真正做到通过内审加强内控，提高单位管理水平。</w:t>
      </w:r>
    </w:p>
    <w:p>
      <w:pPr>
        <w:pStyle w:val="25"/>
      </w:pPr>
      <w:r>
        <w:rPr>
          <w:rFonts w:hint="eastAsia"/>
          <w:lang w:val="en-US" w:eastAsia="zh-CN"/>
        </w:rPr>
        <w:t>3.</w:t>
      </w:r>
      <w:r>
        <w:t>提高财务人员素质，加强会计基础工作。坚持会计人员持证上岗，严格会计人员的从业资格审查能力，加强继续教育，提高法规意识和业务技能，充分发挥会计人员在内控建设中的重要作用。</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1、书记员和劳务派遣人员经费绩效目标表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1.目标内容1保障机关运行，依法管理法院司法行政工作，承办其它应由县人民法院负责的工作及任务。</w:t>
            </w:r>
          </w:p>
          <w:p>
            <w:pPr>
              <w:pStyle w:val="14"/>
            </w:pPr>
            <w:r>
              <w:t>2.目标内容2保障干警权益，提高干警队伍素质和执法能力，为促进社会和谐，维护社会稳定，服务全县工作大局，发挥服务保障职能。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辅助庭审工作</w:t>
            </w:r>
          </w:p>
        </w:tc>
        <w:tc>
          <w:tcPr>
            <w:tcW w:w="2466" w:type="dxa"/>
            <w:vAlign w:val="center"/>
          </w:tcPr>
          <w:p>
            <w:pPr>
              <w:pStyle w:val="14"/>
            </w:pPr>
            <w:r>
              <w:t>辅助庭审工作</w:t>
            </w:r>
          </w:p>
        </w:tc>
        <w:tc>
          <w:tcPr>
            <w:tcW w:w="2466" w:type="dxa"/>
            <w:vAlign w:val="center"/>
          </w:tcPr>
          <w:p>
            <w:pPr>
              <w:pStyle w:val="14"/>
            </w:pPr>
            <w:r>
              <w:t>辅助庭审工作</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办理质效率</w:t>
            </w:r>
          </w:p>
        </w:tc>
        <w:tc>
          <w:tcPr>
            <w:tcW w:w="2466" w:type="dxa"/>
            <w:vAlign w:val="center"/>
          </w:tcPr>
          <w:p>
            <w:pPr>
              <w:pStyle w:val="14"/>
            </w:pPr>
            <w:r>
              <w:t>案件审判执行质效</w:t>
            </w:r>
          </w:p>
        </w:tc>
        <w:tc>
          <w:tcPr>
            <w:tcW w:w="2466" w:type="dxa"/>
            <w:vAlign w:val="center"/>
          </w:tcPr>
          <w:p>
            <w:pPr>
              <w:pStyle w:val="14"/>
            </w:pPr>
            <w:r>
              <w:t>案件审判执行质效</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案件结案率</w:t>
            </w:r>
          </w:p>
        </w:tc>
        <w:tc>
          <w:tcPr>
            <w:tcW w:w="2466" w:type="dxa"/>
            <w:vAlign w:val="center"/>
          </w:tcPr>
          <w:p>
            <w:pPr>
              <w:pStyle w:val="14"/>
            </w:pPr>
            <w:r>
              <w:t>案件审判执行完结率</w:t>
            </w:r>
          </w:p>
        </w:tc>
        <w:tc>
          <w:tcPr>
            <w:tcW w:w="2466" w:type="dxa"/>
            <w:vAlign w:val="center"/>
          </w:tcPr>
          <w:p>
            <w:pPr>
              <w:pStyle w:val="14"/>
            </w:pPr>
            <w:r>
              <w:t>≥90%</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预算内资金</w:t>
            </w:r>
          </w:p>
        </w:tc>
        <w:tc>
          <w:tcPr>
            <w:tcW w:w="2466" w:type="dxa"/>
            <w:vAlign w:val="center"/>
          </w:tcPr>
          <w:p>
            <w:pPr>
              <w:pStyle w:val="14"/>
            </w:pPr>
            <w:r>
              <w:t>控制在预算成本内</w:t>
            </w:r>
          </w:p>
        </w:tc>
        <w:tc>
          <w:tcPr>
            <w:tcW w:w="2466" w:type="dxa"/>
            <w:vAlign w:val="center"/>
          </w:tcPr>
          <w:p>
            <w:pPr>
              <w:pStyle w:val="14"/>
            </w:pPr>
            <w:r>
              <w:t>控制在预算资金内</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干警和群众满意率</w:t>
            </w:r>
          </w:p>
        </w:tc>
        <w:tc>
          <w:tcPr>
            <w:tcW w:w="2466" w:type="dxa"/>
            <w:vAlign w:val="center"/>
          </w:tcPr>
          <w:p>
            <w:pPr>
              <w:pStyle w:val="14"/>
            </w:pPr>
            <w:r>
              <w:t>事务完成后干警和群众满意情况</w:t>
            </w:r>
          </w:p>
        </w:tc>
        <w:tc>
          <w:tcPr>
            <w:tcW w:w="2466" w:type="dxa"/>
            <w:vAlign w:val="center"/>
          </w:tcPr>
          <w:p>
            <w:pPr>
              <w:pStyle w:val="14"/>
            </w:pPr>
            <w:r>
              <w:t>干警和群众满意情况</w:t>
            </w:r>
          </w:p>
        </w:tc>
        <w:tc>
          <w:tcPr>
            <w:tcW w:w="2466" w:type="dxa"/>
            <w:vAlign w:val="center"/>
          </w:tcPr>
          <w:p>
            <w:pPr>
              <w:pStyle w:val="14"/>
            </w:pPr>
            <w:r>
              <w:t>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2、自筹人员经费绩效目标表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1.目标内容1保障工资足额及时发放</w:t>
            </w:r>
          </w:p>
          <w:p>
            <w:pPr>
              <w:pStyle w:val="14"/>
            </w:pPr>
            <w:r>
              <w:t>2.目标内容2保障各类保险等及时缴纳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足额下达</w:t>
            </w:r>
          </w:p>
        </w:tc>
        <w:tc>
          <w:tcPr>
            <w:tcW w:w="2466" w:type="dxa"/>
            <w:vAlign w:val="center"/>
          </w:tcPr>
          <w:p>
            <w:pPr>
              <w:pStyle w:val="14"/>
            </w:pPr>
            <w:r>
              <w:t>足额下达</w:t>
            </w:r>
          </w:p>
        </w:tc>
        <w:tc>
          <w:tcPr>
            <w:tcW w:w="2466" w:type="dxa"/>
            <w:vAlign w:val="center"/>
          </w:tcPr>
          <w:p>
            <w:pPr>
              <w:pStyle w:val="14"/>
            </w:pPr>
            <w:r>
              <w:t>下达足额资金</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规定时间拨付下达</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支出完成率</w:t>
            </w:r>
          </w:p>
        </w:tc>
        <w:tc>
          <w:tcPr>
            <w:tcW w:w="2466" w:type="dxa"/>
            <w:vAlign w:val="center"/>
          </w:tcPr>
          <w:p>
            <w:pPr>
              <w:pStyle w:val="14"/>
            </w:pPr>
            <w:r>
              <w:t>支出完成率</w:t>
            </w:r>
          </w:p>
        </w:tc>
        <w:tc>
          <w:tcPr>
            <w:tcW w:w="2466" w:type="dxa"/>
            <w:vAlign w:val="center"/>
          </w:tcPr>
          <w:p>
            <w:pPr>
              <w:pStyle w:val="14"/>
            </w:pPr>
            <w:r>
              <w:t>按时完成支出进度</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职工安心工作</w:t>
            </w:r>
          </w:p>
        </w:tc>
        <w:tc>
          <w:tcPr>
            <w:tcW w:w="2466" w:type="dxa"/>
            <w:vAlign w:val="center"/>
          </w:tcPr>
          <w:p>
            <w:pPr>
              <w:pStyle w:val="14"/>
            </w:pPr>
            <w:r>
              <w:t>职工安心工作</w:t>
            </w:r>
          </w:p>
        </w:tc>
        <w:tc>
          <w:tcPr>
            <w:tcW w:w="2466" w:type="dxa"/>
            <w:vAlign w:val="center"/>
          </w:tcPr>
          <w:p>
            <w:pPr>
              <w:pStyle w:val="14"/>
            </w:pPr>
            <w:r>
              <w:t>使用效率达到预期目标</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服务对象满意度</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3、自筹人员经费绩效目标表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1.目标内容1保障工资足额及时发放</w:t>
            </w:r>
          </w:p>
          <w:p>
            <w:pPr>
              <w:pStyle w:val="14"/>
            </w:pPr>
            <w:r>
              <w:t>2.目标内容2保障各类保险及时缴纳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足额下达</w:t>
            </w:r>
          </w:p>
        </w:tc>
        <w:tc>
          <w:tcPr>
            <w:tcW w:w="2466" w:type="dxa"/>
            <w:vAlign w:val="center"/>
          </w:tcPr>
          <w:p>
            <w:pPr>
              <w:pStyle w:val="14"/>
            </w:pPr>
            <w:r>
              <w:t>足额下达</w:t>
            </w:r>
          </w:p>
        </w:tc>
        <w:tc>
          <w:tcPr>
            <w:tcW w:w="2466" w:type="dxa"/>
            <w:vAlign w:val="center"/>
          </w:tcPr>
          <w:p>
            <w:pPr>
              <w:pStyle w:val="14"/>
            </w:pPr>
            <w:r>
              <w:t>下达足额资金</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规定时间拨付下达</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支出完成率</w:t>
            </w:r>
          </w:p>
        </w:tc>
        <w:tc>
          <w:tcPr>
            <w:tcW w:w="2466" w:type="dxa"/>
            <w:vAlign w:val="center"/>
          </w:tcPr>
          <w:p>
            <w:pPr>
              <w:pStyle w:val="14"/>
            </w:pPr>
            <w:r>
              <w:t>支出完成率</w:t>
            </w:r>
          </w:p>
        </w:tc>
        <w:tc>
          <w:tcPr>
            <w:tcW w:w="2466" w:type="dxa"/>
            <w:vAlign w:val="center"/>
          </w:tcPr>
          <w:p>
            <w:pPr>
              <w:pStyle w:val="14"/>
            </w:pPr>
            <w:r>
              <w:t>按时完成支出进度</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职工安心工作</w:t>
            </w:r>
          </w:p>
        </w:tc>
        <w:tc>
          <w:tcPr>
            <w:tcW w:w="2466" w:type="dxa"/>
            <w:vAlign w:val="center"/>
          </w:tcPr>
          <w:p>
            <w:pPr>
              <w:pStyle w:val="14"/>
            </w:pPr>
            <w:r>
              <w:t>职工安心工作</w:t>
            </w:r>
          </w:p>
        </w:tc>
        <w:tc>
          <w:tcPr>
            <w:tcW w:w="2466" w:type="dxa"/>
            <w:vAlign w:val="center"/>
          </w:tcPr>
          <w:p>
            <w:pPr>
              <w:pStyle w:val="14"/>
            </w:pPr>
            <w:r>
              <w:t>使用效率达到预期目标</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服务对象满意度</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2023年，武邑县人民法院安排政府采购预算172.00万元。具体内容见下表。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604武邑县人民法院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c>
          <w:tcPr>
            <w:tcW w:w="924" w:type="dxa"/>
            <w:vAlign w:val="center"/>
          </w:tcPr>
          <w:p>
            <w:pPr>
              <w:pStyle w:val="17"/>
            </w:pPr>
            <w:r>
              <w:t>172.00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武邑县人民法院本级小计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c>
          <w:tcPr>
            <w:tcW w:w="924" w:type="dxa"/>
            <w:vAlign w:val="center"/>
          </w:tcPr>
          <w:p>
            <w:pPr>
              <w:pStyle w:val="17"/>
            </w:pPr>
            <w:r>
              <w:t>172.00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书记员和劳务派遣人员经费</w:t>
            </w:r>
          </w:p>
        </w:tc>
        <w:tc>
          <w:tcPr>
            <w:tcW w:w="924" w:type="dxa"/>
            <w:vAlign w:val="center"/>
          </w:tcPr>
          <w:p>
            <w:pPr>
              <w:pStyle w:val="13"/>
            </w:pPr>
            <w:r>
              <w:t>304.00</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172.00</w:t>
            </w:r>
          </w:p>
        </w:tc>
        <w:tc>
          <w:tcPr>
            <w:tcW w:w="924" w:type="dxa"/>
            <w:vAlign w:val="center"/>
          </w:tcPr>
          <w:p>
            <w:pPr>
              <w:pStyle w:val="13"/>
            </w:pPr>
            <w:r>
              <w:t>172.00</w:t>
            </w:r>
          </w:p>
        </w:tc>
        <w:tc>
          <w:tcPr>
            <w:tcW w:w="924" w:type="dxa"/>
            <w:vAlign w:val="center"/>
          </w:tcPr>
          <w:p>
            <w:pPr>
              <w:pStyle w:val="13"/>
            </w:pPr>
            <w:r>
              <w:t>172.00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武邑县人民法院（含所属单位）上年末固定资产金额为</w:t>
      </w:r>
      <w:r>
        <w:rPr>
          <w:rFonts w:hint="eastAsia" w:eastAsia="方正仿宋_GBK" w:cs="Times New Roman"/>
          <w:b w:val="0"/>
          <w:color w:val="000000"/>
          <w:sz w:val="28"/>
          <w:lang w:val="en-US" w:eastAsia="zh-CN"/>
        </w:rPr>
        <w:t>950.82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604武邑县人民法院</w:t>
            </w:r>
          </w:p>
        </w:tc>
        <w:tc>
          <w:tcPr>
            <w:tcW w:w="9195"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262"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土地、房屋及构筑物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w:t>
            </w:r>
          </w:p>
        </w:tc>
        <w:tc>
          <w:tcPr>
            <w:tcW w:w="4262" w:type="dxa"/>
            <w:vAlign w:val="center"/>
          </w:tcPr>
          <w:p>
            <w:pPr>
              <w:pStyle w:val="13"/>
              <w:rPr>
                <w:rFonts w:hint="default" w:eastAsia="方正书宋_GBK"/>
                <w:lang w:val="en-US" w:eastAsia="zh-CN"/>
              </w:rPr>
            </w:pPr>
            <w:r>
              <w:rPr>
                <w:rFonts w:hint="eastAsia"/>
                <w:lang w:val="en-US" w:eastAsia="zh-CN"/>
              </w:rPr>
              <w:t>187.81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通用设备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424</w:t>
            </w:r>
          </w:p>
        </w:tc>
        <w:tc>
          <w:tcPr>
            <w:tcW w:w="4262" w:type="dxa"/>
            <w:vAlign w:val="center"/>
          </w:tcPr>
          <w:p>
            <w:pPr>
              <w:pStyle w:val="13"/>
              <w:rPr>
                <w:rFonts w:hint="default" w:eastAsia="方正书宋_GBK"/>
                <w:lang w:val="en-US" w:eastAsia="zh-CN"/>
              </w:rPr>
            </w:pPr>
            <w:r>
              <w:rPr>
                <w:rFonts w:hint="eastAsia"/>
                <w:lang w:val="en-US" w:eastAsia="zh-CN"/>
              </w:rPr>
              <w:t>595.67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lang w:eastAsia="zh-CN"/>
              </w:rPr>
            </w:pPr>
            <w:r>
              <w:rPr>
                <w:rFonts w:hint="eastAsia"/>
                <w:lang w:eastAsia="zh-CN"/>
              </w:rPr>
              <w:t>专用设备</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4262" w:type="dxa"/>
            <w:vAlign w:val="center"/>
          </w:tcPr>
          <w:p>
            <w:pPr>
              <w:pStyle w:val="13"/>
              <w:rPr>
                <w:rFonts w:hint="default" w:eastAsia="方正书宋_GBK"/>
                <w:lang w:val="en-US" w:eastAsia="zh-CN"/>
              </w:rPr>
            </w:pPr>
            <w:r>
              <w:rPr>
                <w:rFonts w:hint="eastAsia"/>
                <w:lang w:val="en-US" w:eastAsia="zh-CN"/>
              </w:rPr>
              <w:t>152.86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lang w:eastAsia="zh-CN"/>
              </w:rPr>
            </w:pPr>
            <w:r>
              <w:rPr>
                <w:rFonts w:hint="eastAsia"/>
                <w:lang w:eastAsia="zh-CN"/>
              </w:rPr>
              <w:t>家具、用具、装具及动植物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116</w:t>
            </w:r>
          </w:p>
        </w:tc>
        <w:tc>
          <w:tcPr>
            <w:tcW w:w="4262" w:type="dxa"/>
            <w:vAlign w:val="center"/>
          </w:tcPr>
          <w:p>
            <w:pPr>
              <w:pStyle w:val="13"/>
              <w:rPr>
                <w:rFonts w:hint="default"/>
                <w:lang w:val="en-US" w:eastAsia="zh-CN"/>
              </w:rPr>
            </w:pPr>
            <w:r>
              <w:rPr>
                <w:rFonts w:hint="eastAsia"/>
                <w:lang w:val="en-US" w:eastAsia="zh-CN"/>
              </w:rPr>
              <w:t>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lang w:eastAsia="zh-CN"/>
              </w:rPr>
            </w:pPr>
            <w:r>
              <w:rPr>
                <w:rFonts w:hint="eastAsia"/>
                <w:lang w:eastAsia="zh-CN"/>
              </w:rPr>
              <w:t>合计</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567</w:t>
            </w:r>
          </w:p>
        </w:tc>
        <w:tc>
          <w:tcPr>
            <w:tcW w:w="4262" w:type="dxa"/>
            <w:vAlign w:val="center"/>
          </w:tcPr>
          <w:p>
            <w:pPr>
              <w:pStyle w:val="13"/>
              <w:rPr>
                <w:rFonts w:hint="default"/>
                <w:lang w:val="en-US" w:eastAsia="zh-CN"/>
              </w:rPr>
            </w:pPr>
            <w:r>
              <w:rPr>
                <w:rFonts w:hint="eastAsia"/>
                <w:lang w:val="en-US" w:eastAsia="zh-CN"/>
              </w:rPr>
              <w:t>950.82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560" w:firstLineChars="200"/>
        <w:jc w:val="both"/>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5FD81"/>
    <w:multiLevelType w:val="singleLevel"/>
    <w:tmpl w:val="EA35FD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TJkNGQ1NGM4ZWJiODBkMDg5MTVmNjBiNmRmOGUifQ=="/>
  </w:docVars>
  <w:rsids>
    <w:rsidRoot w:val="00000000"/>
    <w:rsid w:val="01F8334F"/>
    <w:rsid w:val="025571F7"/>
    <w:rsid w:val="044F6CF0"/>
    <w:rsid w:val="0A0339F6"/>
    <w:rsid w:val="0F603E3E"/>
    <w:rsid w:val="1C077918"/>
    <w:rsid w:val="1FB839DD"/>
    <w:rsid w:val="212937EF"/>
    <w:rsid w:val="34675FBA"/>
    <w:rsid w:val="36C6019A"/>
    <w:rsid w:val="3967149F"/>
    <w:rsid w:val="39D67B61"/>
    <w:rsid w:val="3AC03B51"/>
    <w:rsid w:val="44223212"/>
    <w:rsid w:val="4D821F37"/>
    <w:rsid w:val="513960D0"/>
    <w:rsid w:val="54B82FC8"/>
    <w:rsid w:val="605660CC"/>
    <w:rsid w:val="609B4531"/>
    <w:rsid w:val="67462368"/>
    <w:rsid w:val="6E9B5990"/>
    <w:rsid w:val="781B09D2"/>
    <w:rsid w:val="7A9B5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2023-01-17T17:06:18Z</dcterms:created>
  <dcterms:modified xsi:type="dcterms:W3CDTF">2023-01-17T09:06:18Z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2023-01-17T17:06:13Z</dcterms:created>
  <dcterms:modified xsi:type="dcterms:W3CDTF">2023-01-17T09:06:13Z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2023-01-17T17:06:11Z</dcterms:created>
  <dcterms:modified xsi:type="dcterms:W3CDTF">2023-01-17T09:06:11Z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2023-01-17T17:06:18Z</dcterms:created>
  <dcterms:modified xsi:type="dcterms:W3CDTF">2023-01-17T09:06:18Z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3c96ed-71ad-4cd1-b1b2-8bf1850073b0}">
  <ds:schemaRefs/>
</ds:datastoreItem>
</file>

<file path=customXml/itemProps10.xml><?xml version="1.0" encoding="utf-8"?>
<ds:datastoreItem xmlns:ds="http://schemas.openxmlformats.org/officeDocument/2006/customXml" ds:itemID="{bb780e9a-f0a7-4b00-89d2-fee5b6e0be21}">
  <ds:schemaRefs/>
</ds:datastoreItem>
</file>

<file path=customXml/itemProps11.xml><?xml version="1.0" encoding="utf-8"?>
<ds:datastoreItem xmlns:ds="http://schemas.openxmlformats.org/officeDocument/2006/customXml" ds:itemID="{5ed74e06-0d5a-4ec4-8eec-63188b11a2f3}">
  <ds:schemaRefs/>
</ds:datastoreItem>
</file>

<file path=customXml/itemProps12.xml><?xml version="1.0" encoding="utf-8"?>
<ds:datastoreItem xmlns:ds="http://schemas.openxmlformats.org/officeDocument/2006/customXml" ds:itemID="{62431f8e-27fd-46a8-b378-b8cd4b8f69f6}">
  <ds:schemaRefs/>
</ds:datastoreItem>
</file>

<file path=customXml/itemProps13.xml><?xml version="1.0" encoding="utf-8"?>
<ds:datastoreItem xmlns:ds="http://schemas.openxmlformats.org/officeDocument/2006/customXml" ds:itemID="{9d244c11-ba72-42f9-b542-1c743ab5e3b4}">
  <ds:schemaRefs/>
</ds:datastoreItem>
</file>

<file path=customXml/itemProps14.xml><?xml version="1.0" encoding="utf-8"?>
<ds:datastoreItem xmlns:ds="http://schemas.openxmlformats.org/officeDocument/2006/customXml" ds:itemID="{bc535e9d-1e37-4009-858d-f67dd5304b1d}">
  <ds:schemaRefs/>
</ds:datastoreItem>
</file>

<file path=customXml/itemProps15.xml><?xml version="1.0" encoding="utf-8"?>
<ds:datastoreItem xmlns:ds="http://schemas.openxmlformats.org/officeDocument/2006/customXml" ds:itemID="{00bc9db5-1e4f-4f4e-b9e7-3f58d14b0b70}">
  <ds:schemaRefs/>
</ds:datastoreItem>
</file>

<file path=customXml/itemProps16.xml><?xml version="1.0" encoding="utf-8"?>
<ds:datastoreItem xmlns:ds="http://schemas.openxmlformats.org/officeDocument/2006/customXml" ds:itemID="{08d093eb-468f-4bf4-8adb-2eb42e514b66}">
  <ds:schemaRefs/>
</ds:datastoreItem>
</file>

<file path=customXml/itemProps17.xml><?xml version="1.0" encoding="utf-8"?>
<ds:datastoreItem xmlns:ds="http://schemas.openxmlformats.org/officeDocument/2006/customXml" ds:itemID="{986b74a8-56d5-4207-8f12-028afa7a44bf}">
  <ds:schemaRefs/>
</ds:datastoreItem>
</file>

<file path=customXml/itemProps18.xml><?xml version="1.0" encoding="utf-8"?>
<ds:datastoreItem xmlns:ds="http://schemas.openxmlformats.org/officeDocument/2006/customXml" ds:itemID="{913e542d-2434-4072-a4b1-b1108b01bf9a}">
  <ds:schemaRefs/>
</ds:datastoreItem>
</file>

<file path=customXml/itemProps19.xml><?xml version="1.0" encoding="utf-8"?>
<ds:datastoreItem xmlns:ds="http://schemas.openxmlformats.org/officeDocument/2006/customXml" ds:itemID="{746cddb3-9170-4b22-9f01-920e4a39a64a}">
  <ds:schemaRefs/>
</ds:datastoreItem>
</file>

<file path=customXml/itemProps2.xml><?xml version="1.0" encoding="utf-8"?>
<ds:datastoreItem xmlns:ds="http://schemas.openxmlformats.org/officeDocument/2006/customXml" ds:itemID="{e03881f1-d7cb-4f57-b9d9-67a4ea857804}">
  <ds:schemaRefs/>
</ds:datastoreItem>
</file>

<file path=customXml/itemProps20.xml><?xml version="1.0" encoding="utf-8"?>
<ds:datastoreItem xmlns:ds="http://schemas.openxmlformats.org/officeDocument/2006/customXml" ds:itemID="{81e21d3a-f648-40cd-ad99-0f2f98e6b354}">
  <ds:schemaRefs/>
</ds:datastoreItem>
</file>

<file path=customXml/itemProps21.xml><?xml version="1.0" encoding="utf-8"?>
<ds:datastoreItem xmlns:ds="http://schemas.openxmlformats.org/officeDocument/2006/customXml" ds:itemID="{251d8cbc-cb3e-4e6c-b305-07fd77d2e829}">
  <ds:schemaRefs/>
</ds:datastoreItem>
</file>

<file path=customXml/itemProps22.xml><?xml version="1.0" encoding="utf-8"?>
<ds:datastoreItem xmlns:ds="http://schemas.openxmlformats.org/officeDocument/2006/customXml" ds:itemID="{426e370c-f53f-4d4d-b8f2-4ad33489d81c}">
  <ds:schemaRefs/>
</ds:datastoreItem>
</file>

<file path=customXml/itemProps3.xml><?xml version="1.0" encoding="utf-8"?>
<ds:datastoreItem xmlns:ds="http://schemas.openxmlformats.org/officeDocument/2006/customXml" ds:itemID="{b693c709-d802-4267-8212-cf6c161e4750}">
  <ds:schemaRefs/>
</ds:datastoreItem>
</file>

<file path=customXml/itemProps4.xml><?xml version="1.0" encoding="utf-8"?>
<ds:datastoreItem xmlns:ds="http://schemas.openxmlformats.org/officeDocument/2006/customXml" ds:itemID="{d7d8b788-06a7-41c0-bf75-a547ce7ccc0c}">
  <ds:schemaRefs/>
</ds:datastoreItem>
</file>

<file path=customXml/itemProps5.xml><?xml version="1.0" encoding="utf-8"?>
<ds:datastoreItem xmlns:ds="http://schemas.openxmlformats.org/officeDocument/2006/customXml" ds:itemID="{cd5ca5e7-b2fc-4df4-b36b-44225bd75c4d}">
  <ds:schemaRefs/>
</ds:datastoreItem>
</file>

<file path=customXml/itemProps6.xml><?xml version="1.0" encoding="utf-8"?>
<ds:datastoreItem xmlns:ds="http://schemas.openxmlformats.org/officeDocument/2006/customXml" ds:itemID="{c39f5e37-e7df-418b-bc83-7ebf1c22b8c4}">
  <ds:schemaRefs/>
</ds:datastoreItem>
</file>

<file path=customXml/itemProps7.xml><?xml version="1.0" encoding="utf-8"?>
<ds:datastoreItem xmlns:ds="http://schemas.openxmlformats.org/officeDocument/2006/customXml" ds:itemID="{b59cd406-6dc6-44c4-a516-b777fa9b4a6e}">
  <ds:schemaRefs/>
</ds:datastoreItem>
</file>

<file path=customXml/itemProps8.xml><?xml version="1.0" encoding="utf-8"?>
<ds:datastoreItem xmlns:ds="http://schemas.openxmlformats.org/officeDocument/2006/customXml" ds:itemID="{69b6272b-92ee-49ac-a490-105439fa8a8e}">
  <ds:schemaRefs/>
</ds:datastoreItem>
</file>

<file path=customXml/itemProps9.xml><?xml version="1.0" encoding="utf-8"?>
<ds:datastoreItem xmlns:ds="http://schemas.openxmlformats.org/officeDocument/2006/customXml" ds:itemID="{87e5e036-1727-4d42-a297-38a795e2b89e}">
  <ds:schemaRefs/>
</ds:datastoreItem>
</file>

<file path=docProps/app.xml><?xml version="1.0" encoding="utf-8"?>
<Properties xmlns="http://schemas.openxmlformats.org/officeDocument/2006/extended-properties" xmlns:vt="http://schemas.openxmlformats.org/officeDocument/2006/docPropsVTypes">
  <Pages>38</Pages>
  <Words>7446</Words>
  <Characters>8955</Characters>
  <TotalTime>2</TotalTime>
  <ScaleCrop>false</ScaleCrop>
  <LinksUpToDate>false</LinksUpToDate>
  <CharactersWithSpaces>9102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2023-01-17T17:06:00Z</dcterms:created>
  <dc:creator>Administrator</dc:creator>
  <cp:lastModifiedBy>Administrator</cp:lastModifiedBy>
  <dcterms:modified xsi:type="dcterms:W3CDTF">2024-08-15T03:00:49Z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C943806E76AF40FFBFA7036B5B8B5ACE_13</vt:lpwstr>
  </property>
</Properties>
</file>